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2.xml" ContentType="application/vnd.openxmlformats-officedocument.wordprocessingml.header+xml"/>
  <Override PartName="/word/footer19.xml" ContentType="application/vnd.openxmlformats-officedocument.wordprocessingml.footer+xml"/>
  <Override PartName="/word/header13.xml" ContentType="application/vnd.openxmlformats-officedocument.wordprocessingml.head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29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drawing>
          <wp:inline distT="0" distB="0" distL="0" distR="0">
            <wp:extent cx="1408608" cy="8191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8608" cy="819150"/>
                    </a:xfrm>
                    <a:prstGeom prst="rect">
                      <a:avLst/>
                    </a:prstGeom>
                  </pic:spPr>
                </pic:pic>
              </a:graphicData>
            </a:graphic>
          </wp:inline>
        </w:drawing>
      </w:r>
      <w:r>
        <w:rPr>
          <w:rFonts w:ascii="Times New Roman" w:hAnsi="Times New Roman" w:cs="Times New Roman" w:eastAsia="Times New Roman" w:hint="default"/>
          <w:position w:val="-25"/>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556" w:right="1539" w:firstLine="0"/>
        <w:jc w:val="center"/>
        <w:rPr>
          <w:rFonts w:ascii="宋体" w:hAnsi="宋体" w:cs="宋体" w:eastAsia="宋体" w:hint="default"/>
          <w:sz w:val="36"/>
          <w:szCs w:val="36"/>
        </w:rPr>
      </w:pPr>
      <w:r>
        <w:rPr>
          <w:rFonts w:ascii="宋体" w:hAnsi="宋体" w:cs="宋体" w:eastAsia="宋体" w:hint="default"/>
          <w:b/>
          <w:bCs/>
          <w:sz w:val="36"/>
          <w:szCs w:val="36"/>
        </w:rPr>
        <w:t>北京中长石基信息技术股份有限公司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556" w:right="153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556" w:right="153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133"/>
        <w:jc w:val="left"/>
        <w:rPr>
          <w:b w:val="0"/>
          <w:bCs w:val="0"/>
        </w:rPr>
      </w:pP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136" w:firstLine="562"/>
        <w:jc w:val="both"/>
        <w:rPr>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w w:val="99"/>
        </w:rPr>
        <w:t> </w:t>
      </w:r>
      <w:r>
        <w:rPr/>
        <w:t>带的法律责任。</w:t>
      </w:r>
      <w:r>
        <w:rPr>
          <w:b w:val="0"/>
          <w:bCs w:val="0"/>
        </w:rPr>
      </w:r>
    </w:p>
    <w:p>
      <w:pPr>
        <w:pStyle w:val="Heading2"/>
        <w:spacing w:line="386" w:lineRule="auto"/>
        <w:ind w:right="1131" w:firstLine="562"/>
        <w:jc w:val="both"/>
        <w:rPr>
          <w:b w:val="0"/>
          <w:bCs w:val="0"/>
        </w:rPr>
      </w:pPr>
      <w:r>
        <w:rPr>
          <w:w w:val="95"/>
        </w:rPr>
        <w:t>公司负责人李仲初、主管会计工作负责人赖德源及会计机构负责人</w:t>
      </w:r>
      <w:r>
        <w:rPr>
          <w:rFonts w:ascii="Times New Roman" w:hAnsi="Times New Roman" w:cs="Times New Roman" w:eastAsia="Times New Roman" w:hint="default"/>
          <w:w w:val="95"/>
        </w:rPr>
        <w:t>(</w:t>
      </w:r>
      <w:r>
        <w:rPr>
          <w:w w:val="95"/>
        </w:rPr>
        <w:t>会计主</w:t>
      </w:r>
      <w:r>
        <w:rPr>
          <w:w w:val="99"/>
        </w:rPr>
        <w:t> </w:t>
      </w:r>
      <w:r>
        <w:rPr/>
        <w:t>管人员</w:t>
      </w:r>
      <w:r>
        <w:rPr>
          <w:rFonts w:ascii="Times New Roman" w:hAnsi="Times New Roman" w:cs="Times New Roman" w:eastAsia="Times New Roman" w:hint="default"/>
        </w:rPr>
        <w:t>)</w:t>
      </w:r>
      <w:r>
        <w:rPr/>
        <w:t>李天达声明：保证年度报告中财务报告的真实、准确、完整。</w:t>
      </w:r>
      <w:r>
        <w:rPr>
          <w:b w:val="0"/>
          <w:bCs w:val="0"/>
        </w:rPr>
      </w:r>
    </w:p>
    <w:p>
      <w:pPr>
        <w:pStyle w:val="Heading2"/>
        <w:spacing w:line="472" w:lineRule="auto" w:before="148"/>
        <w:ind w:left="714" w:right="1133"/>
        <w:jc w:val="left"/>
        <w:rPr>
          <w:b w:val="0"/>
          <w:bCs w:val="0"/>
        </w:rPr>
      </w:pPr>
      <w:r>
        <w:rPr/>
        <w:t>所有董事均已出席了审议本报告的董事会会议。</w:t>
      </w:r>
      <w:r>
        <w:rPr>
          <w:w w:val="99"/>
        </w:rPr>
        <w:t> </w:t>
      </w:r>
      <w:r>
        <w:rPr>
          <w:spacing w:val="2"/>
        </w:rPr>
        <w:t>本年度报告所涉及的未来计划等前瞻性陈述，不构成公司对投资者的实质</w:t>
      </w:r>
      <w:r>
        <w:rPr>
          <w:b w:val="0"/>
          <w:bCs w:val="0"/>
          <w:spacing w:val="2"/>
        </w:rPr>
      </w:r>
    </w:p>
    <w:p>
      <w:pPr>
        <w:pStyle w:val="Heading2"/>
        <w:spacing w:line="408" w:lineRule="auto" w:before="0"/>
        <w:ind w:right="1129"/>
        <w:jc w:val="left"/>
        <w:rPr>
          <w:b w:val="0"/>
          <w:bCs w:val="0"/>
        </w:rPr>
      </w:pPr>
      <w:r>
        <w:rPr>
          <w:spacing w:val="2"/>
        </w:rPr>
        <w:t>承诺，请投资者注意投资风险，并保持足够的风险认识，理解计划、预测与承</w:t>
      </w:r>
      <w:r>
        <w:rPr>
          <w:w w:val="99"/>
        </w:rPr>
        <w:t> </w:t>
      </w:r>
      <w:r>
        <w:rPr/>
        <w:t>诺之间的差异。</w:t>
      </w:r>
      <w:r>
        <w:rPr>
          <w:b w:val="0"/>
          <w:bCs w:val="0"/>
        </w:rPr>
      </w:r>
    </w:p>
    <w:p>
      <w:pPr>
        <w:pStyle w:val="Heading2"/>
        <w:spacing w:line="408" w:lineRule="auto"/>
        <w:ind w:right="1135" w:firstLine="562"/>
        <w:jc w:val="both"/>
        <w:rPr>
          <w:b w:val="0"/>
          <w:bCs w:val="0"/>
        </w:rPr>
      </w:pPr>
      <w:r>
        <w:rPr>
          <w:spacing w:val="2"/>
        </w:rPr>
        <w:t>公司存在因行业新技术发展变革导致的技术风险，公司传统业务依赖酒店</w:t>
      </w:r>
      <w:r>
        <w:rPr>
          <w:w w:val="99"/>
        </w:rPr>
        <w:t> </w:t>
      </w:r>
      <w:r>
        <w:rPr>
          <w:spacing w:val="2"/>
        </w:rPr>
        <w:t>行业发展的市场及政策风险，公司资产和业务规模扩大所带来的经营管理风险</w:t>
      </w:r>
      <w:r>
        <w:rPr>
          <w:w w:val="99"/>
        </w:rPr>
        <w:t> </w:t>
      </w:r>
      <w:r>
        <w:rPr>
          <w:spacing w:val="2"/>
        </w:rPr>
        <w:t>和海外投资风险，以及与互联网企业合作进展不确定性的风险，敬请广大投资</w:t>
      </w:r>
      <w:r>
        <w:rPr>
          <w:w w:val="99"/>
        </w:rPr>
        <w:t> </w:t>
      </w:r>
      <w:r>
        <w:rPr/>
        <w:t>者注意投资风险。</w:t>
      </w:r>
      <w:r>
        <w:rPr>
          <w:b w:val="0"/>
          <w:bCs w:val="0"/>
        </w:rPr>
      </w:r>
    </w:p>
    <w:p>
      <w:pPr>
        <w:pStyle w:val="Heading2"/>
        <w:spacing w:line="240" w:lineRule="auto"/>
        <w:ind w:left="714" w:right="0"/>
        <w:jc w:val="left"/>
        <w:rPr>
          <w:b w:val="0"/>
          <w:bCs w:val="0"/>
        </w:rPr>
      </w:pPr>
      <w:r>
        <w:rPr/>
        <w:t>公司经本次董事会审议通过的利润分配预案为：以</w:t>
      </w:r>
      <w:r>
        <w:rPr>
          <w:spacing w:val="-65"/>
        </w:rPr>
        <w:t> </w:t>
      </w:r>
      <w:r>
        <w:rPr>
          <w:rFonts w:ascii="Times New Roman" w:hAnsi="Times New Roman" w:cs="Times New Roman" w:eastAsia="Times New Roman" w:hint="default"/>
        </w:rPr>
        <w:t>1,066,903,353</w:t>
      </w:r>
      <w:r>
        <w:rPr>
          <w:rFonts w:ascii="Times New Roman" w:hAnsi="Times New Roman" w:cs="Times New Roman" w:eastAsia="Times New Roman" w:hint="default"/>
          <w:spacing w:val="4"/>
        </w:rPr>
        <w:t> </w:t>
      </w:r>
      <w:r>
        <w:rPr/>
        <w:t>为基数，</w:t>
      </w:r>
      <w:r>
        <w:rPr>
          <w:b w:val="0"/>
          <w:bCs w:val="0"/>
        </w:rPr>
      </w:r>
    </w:p>
    <w:p>
      <w:pPr>
        <w:pStyle w:val="Heading2"/>
        <w:spacing w:line="386" w:lineRule="auto" w:before="236"/>
        <w:ind w:right="1124"/>
        <w:jc w:val="left"/>
        <w:rPr>
          <w:b w:val="0"/>
          <w:bCs w:val="0"/>
        </w:rPr>
      </w:pPr>
      <w:r>
        <w:rPr>
          <w:w w:val="99"/>
        </w:rPr>
        <w:t>向全体股东每</w:t>
      </w:r>
      <w:r>
        <w:rPr>
          <w:spacing w:val="-69"/>
          <w:w w:val="99"/>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
          <w:w w:val="100"/>
        </w:rPr>
        <w:t> </w:t>
      </w:r>
      <w:r>
        <w:rPr>
          <w:w w:val="99"/>
        </w:rPr>
        <w:t>股派发现金红利</w:t>
      </w:r>
      <w:r>
        <w:rPr>
          <w:spacing w:val="-69"/>
          <w:w w:val="99"/>
        </w:rPr>
        <w:t> </w:t>
      </w:r>
      <w:r>
        <w:rPr>
          <w:rFonts w:ascii="Times New Roman" w:hAnsi="Times New Roman" w:cs="Times New Roman" w:eastAsia="Times New Roman" w:hint="default"/>
          <w:w w:val="100"/>
        </w:rPr>
        <w:t>1.00 </w:t>
      </w:r>
      <w:r>
        <w:rPr>
          <w:spacing w:val="-23"/>
          <w:w w:val="99"/>
        </w:rPr>
        <w:t>元（含税），送红股</w:t>
      </w:r>
      <w:r>
        <w:rPr>
          <w:spacing w:val="-69"/>
          <w:w w:val="99"/>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 </w:t>
      </w:r>
      <w:r>
        <w:rPr>
          <w:spacing w:val="-23"/>
          <w:w w:val="99"/>
        </w:rPr>
        <w:t>股（含税），不以公</w:t>
      </w:r>
      <w:r>
        <w:rPr>
          <w:w w:val="99"/>
        </w:rPr>
        <w:t> </w:t>
      </w:r>
      <w:r>
        <w:rPr/>
        <w:t>积金转增股本。</w:t>
      </w:r>
      <w:r>
        <w:rPr>
          <w:b w:val="0"/>
          <w:bCs w:val="0"/>
        </w:rPr>
      </w:r>
    </w:p>
    <w:p>
      <w:pPr>
        <w:spacing w:after="0" w:line="386" w:lineRule="auto"/>
        <w:jc w:val="left"/>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556" w:right="153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8"/>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经营情况讨论与分析</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18"/>
              </w:rPr>
              <w:t> </w:t>
            </w:r>
            <w:r>
              <w:rPr/>
              <w:t>董事、监事、高级管理人员和员工情况</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8"/>
              </w:rPr>
              <w:t> </w:t>
            </w:r>
            <w:r>
              <w:rPr/>
              <w:t>公司治理</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8">
            <w:r>
              <w:rPr/>
              <w:t>第十节</w:t>
            </w:r>
            <w:r>
              <w:rPr>
                <w:spacing w:val="-18"/>
              </w:rPr>
              <w:t> </w:t>
            </w:r>
            <w:r>
              <w:rPr/>
              <w:t>公司债券相关情况</w:t>
            </w:r>
            <w:r>
              <w:rPr>
                <w:rFonts w:ascii="Times New Roman" w:hAnsi="Times New Roman" w:cs="Times New Roman" w:eastAsia="Times New Roman" w:hint="default"/>
              </w:rPr>
              <w:tab/>
              <w:t>99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7"/>
              </w:rPr>
              <w:t> </w:t>
            </w:r>
            <w:r>
              <w:rPr/>
              <w:t>财务报告</w:t>
            </w:r>
            <w:r>
              <w:rPr>
                <w:rFonts w:ascii="Times New Roman" w:hAnsi="Times New Roman" w:cs="Times New Roman" w:eastAsia="Times New Roman" w:hint="default"/>
              </w:rPr>
              <w:tab/>
              <w:t>100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18"/>
              </w:rPr>
              <w:t> </w:t>
            </w:r>
            <w:r>
              <w:rPr/>
              <w:t>备查文件目录</w:t>
            </w:r>
            <w:r>
              <w:rPr>
                <w:rFonts w:ascii="Times New Roman" w:hAnsi="Times New Roman" w:cs="Times New Roman" w:eastAsia="Times New Roman" w:hint="default"/>
              </w:rPr>
              <w:tab/>
              <w:t>239</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80" w:top="1060" w:bottom="1160" w:left="980" w:right="0"/>
        </w:sectPr>
      </w:pPr>
    </w:p>
    <w:p>
      <w:pPr>
        <w:spacing w:before="945"/>
        <w:ind w:left="556" w:right="153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9"/>
        <w:gridCol w:w="613"/>
        <w:gridCol w:w="5429"/>
      </w:tblGrid>
      <w:tr>
        <w:trPr>
          <w:trHeight w:val="403"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2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公司、石基信息、本公司</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p>
        </w:tc>
      </w:tr>
      <w:tr>
        <w:trPr>
          <w:trHeight w:val="403" w:hRule="exact"/>
        </w:trPr>
        <w:tc>
          <w:tcPr>
            <w:tcW w:w="352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北京中长石基信息技术股份有限公司公司章程</w:t>
            </w:r>
          </w:p>
        </w:tc>
      </w:tr>
      <w:tr>
        <w:trPr>
          <w:trHeight w:val="401" w:hRule="exact"/>
        </w:trPr>
        <w:tc>
          <w:tcPr>
            <w:tcW w:w="352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北京证监局</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中国证券监督管理委员会北京监管局</w:t>
            </w:r>
          </w:p>
        </w:tc>
      </w:tr>
      <w:tr>
        <w:trPr>
          <w:trHeight w:val="401" w:hRule="exact"/>
        </w:trPr>
        <w:tc>
          <w:tcPr>
            <w:tcW w:w="352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北京中长石基信息技术股份有限公司股东大会</w:t>
            </w:r>
          </w:p>
        </w:tc>
      </w:tr>
      <w:tr>
        <w:trPr>
          <w:trHeight w:val="401" w:hRule="exact"/>
        </w:trPr>
        <w:tc>
          <w:tcPr>
            <w:tcW w:w="352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北京中长石基信息技术股份有限公司董事会</w:t>
            </w:r>
          </w:p>
        </w:tc>
      </w:tr>
      <w:tr>
        <w:trPr>
          <w:trHeight w:val="408" w:hRule="exact"/>
        </w:trPr>
        <w:tc>
          <w:tcPr>
            <w:tcW w:w="352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北京中长石基信息技术股份有限公司监事会</w:t>
            </w:r>
          </w:p>
        </w:tc>
      </w:tr>
      <w:tr>
        <w:trPr>
          <w:trHeight w:val="39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一级子公司</w:t>
            </w:r>
          </w:p>
        </w:tc>
      </w:tr>
      <w:tr>
        <w:trPr>
          <w:trHeight w:val="40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北京石基</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r>
      <w:tr>
        <w:trPr>
          <w:trHeight w:val="401"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上海石基</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r>
      <w:tr>
        <w:trPr>
          <w:trHeight w:val="40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北海石基</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r>
      <w:tr>
        <w:trPr>
          <w:trHeight w:val="401"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敏付科技</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敏付科技有限公司</w:t>
            </w:r>
          </w:p>
        </w:tc>
      </w:tr>
      <w:tr>
        <w:trPr>
          <w:trHeight w:val="40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杭州西软</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r>
      <w:tr>
        <w:trPr>
          <w:trHeight w:val="401"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石基（香港）</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石基（香港）有限公司</w:t>
            </w:r>
          </w:p>
        </w:tc>
      </w:tr>
      <w:tr>
        <w:trPr>
          <w:trHeight w:val="40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中电器件</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中国电子器件工业有限公司</w:t>
            </w:r>
          </w:p>
        </w:tc>
      </w:tr>
      <w:tr>
        <w:trPr>
          <w:trHeight w:val="401"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航信华仪</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北京航信华仪软件技术有限公司</w:t>
            </w:r>
          </w:p>
        </w:tc>
      </w:tr>
      <w:tr>
        <w:trPr>
          <w:trHeight w:val="40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石基商用</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石基商用信息技术有限公司</w:t>
            </w:r>
          </w:p>
        </w:tc>
      </w:tr>
      <w:tr>
        <w:trPr>
          <w:trHeight w:val="401"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石基昆仑</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r>
      <w:tr>
        <w:trPr>
          <w:trHeight w:val="40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思迅软件</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深圳市思迅软件股份有限公司</w:t>
            </w:r>
          </w:p>
        </w:tc>
      </w:tr>
      <w:tr>
        <w:trPr>
          <w:trHeight w:val="401"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正品贵德</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r>
      <w:tr>
        <w:trPr>
          <w:trHeight w:val="409"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百望金税</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百望金税科技有限公司</w:t>
            </w:r>
          </w:p>
        </w:tc>
      </w:tr>
      <w:tr>
        <w:trPr>
          <w:trHeight w:val="39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二级重要子公司</w:t>
            </w:r>
          </w:p>
        </w:tc>
      </w:tr>
      <w:tr>
        <w:trPr>
          <w:trHeight w:val="40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银石科技</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银石科技有限公司</w:t>
            </w:r>
          </w:p>
        </w:tc>
      </w:tr>
      <w:tr>
        <w:trPr>
          <w:trHeight w:val="71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石基信息技术（香港</w:t>
            </w:r>
            <w:r>
              <w:rPr>
                <w:rFonts w:ascii="宋体" w:hAnsi="宋体" w:cs="宋体" w:eastAsia="宋体" w:hint="default"/>
                <w:spacing w:val="-92"/>
                <w:sz w:val="18"/>
                <w:szCs w:val="18"/>
              </w:rPr>
              <w:t>）</w:t>
            </w:r>
            <w:r>
              <w:rPr>
                <w:rFonts w:ascii="宋体" w:hAnsi="宋体" w:cs="宋体" w:eastAsia="宋体" w:hint="default"/>
                <w:sz w:val="18"/>
                <w:szCs w:val="18"/>
              </w:rPr>
              <w:t>，原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2"/>
                <w:sz w:val="18"/>
                <w:szCs w:val="18"/>
              </w:rPr>
              <w:t>r</w:t>
            </w:r>
            <w:r>
              <w:rPr>
                <w:rFonts w:ascii="Times New Roman" w:hAnsi="Times New Roman" w:cs="Times New Roman" w:eastAsia="Times New Roman" w:hint="default"/>
                <w:spacing w:val="-1"/>
                <w:sz w:val="18"/>
                <w:szCs w:val="18"/>
              </w:rPr>
              <w:t>a</w:t>
            </w:r>
            <w:r>
              <w:rPr>
                <w:rFonts w:ascii="Times New Roman" w:hAnsi="Times New Roman" w:cs="Times New Roman" w:eastAsia="Times New Roman" w:hint="default"/>
                <w:spacing w:val="1"/>
                <w:w w:val="99"/>
                <w:sz w:val="18"/>
                <w:szCs w:val="18"/>
              </w:rPr>
              <w:t>s</w:t>
            </w:r>
            <w:r>
              <w:rPr>
                <w:rFonts w:ascii="Times New Roman" w:hAnsi="Times New Roman" w:cs="Times New Roman" w:eastAsia="Times New Roman" w:hint="default"/>
                <w:spacing w:val="-4"/>
                <w:sz w:val="18"/>
                <w:szCs w:val="18"/>
              </w:rPr>
              <w:t>y</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z w:val="18"/>
                <w:szCs w:val="18"/>
              </w:rPr>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7" w:right="691"/>
              <w:jc w:val="left"/>
              <w:rPr>
                <w:rFonts w:ascii="宋体" w:hAnsi="宋体" w:cs="宋体" w:eastAsia="宋体" w:hint="default"/>
                <w:sz w:val="18"/>
                <w:szCs w:val="18"/>
              </w:rPr>
            </w:pPr>
            <w:r>
              <w:rPr>
                <w:rFonts w:ascii="Times New Roman" w:hAnsi="Times New Roman" w:cs="Times New Roman" w:eastAsia="Times New Roman" w:hint="default"/>
                <w:sz w:val="18"/>
                <w:szCs w:val="18"/>
              </w:rPr>
              <w:t>Shiji Information Technology( Hong Kong)Limited</w:t>
            </w:r>
            <w:r>
              <w:rPr>
                <w:rFonts w:ascii="宋体" w:hAnsi="宋体" w:cs="宋体" w:eastAsia="宋体" w:hint="default"/>
                <w:sz w:val="18"/>
                <w:szCs w:val="18"/>
              </w:rPr>
              <w:t>，原</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Infrasys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日正式更名；</w:t>
            </w:r>
          </w:p>
        </w:tc>
      </w:tr>
      <w:tr>
        <w:trPr>
          <w:trHeight w:val="40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广州万迅</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广州万迅电脑软件有限公司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Galasys</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或银科环企</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Galasys</w:t>
            </w:r>
            <w:r>
              <w:rPr>
                <w:rFonts w:ascii="Times New Roman"/>
                <w:spacing w:val="-4"/>
                <w:sz w:val="18"/>
              </w:rPr>
              <w:t> </w:t>
            </w:r>
            <w:r>
              <w:rPr>
                <w:rFonts w:ascii="Times New Roman"/>
                <w:sz w:val="18"/>
              </w:rPr>
              <w:t>Plc.</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浩华</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浩华管理顾问（亚太）有限公司及浩华管理顾问（北京）有限公司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石基零售或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Shiji</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Retail</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Shiji Retail Information Technology Co.</w:t>
            </w:r>
            <w:r>
              <w:rPr>
                <w:rFonts w:ascii="Times New Roman"/>
                <w:spacing w:val="-29"/>
                <w:sz w:val="18"/>
              </w:rPr>
              <w:t> </w:t>
            </w:r>
            <w:r>
              <w:rPr>
                <w:rFonts w:ascii="Times New Roman"/>
                <w:sz w:val="18"/>
              </w:rPr>
              <w:t>Ltd.</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石基新加坡或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Shiji</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Singapore</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Shiji</w:t>
            </w:r>
            <w:r>
              <w:rPr>
                <w:rFonts w:ascii="宋体" w:hAnsi="宋体" w:cs="宋体" w:eastAsia="宋体" w:hint="default"/>
                <w:sz w:val="18"/>
                <w:szCs w:val="18"/>
              </w:rPr>
              <w:t>（</w:t>
            </w:r>
            <w:r>
              <w:rPr>
                <w:rFonts w:ascii="Times New Roman" w:hAnsi="Times New Roman" w:cs="Times New Roman" w:eastAsia="Times New Roman" w:hint="default"/>
                <w:sz w:val="18"/>
                <w:szCs w:val="18"/>
              </w:rPr>
              <w:t>Singapore</w:t>
            </w:r>
            <w:r>
              <w:rPr>
                <w:rFonts w:ascii="宋体" w:hAnsi="宋体" w:cs="宋体" w:eastAsia="宋体" w:hint="default"/>
                <w:sz w:val="18"/>
                <w:szCs w:val="18"/>
              </w:rPr>
              <w:t>）</w:t>
            </w:r>
            <w:r>
              <w:rPr>
                <w:rFonts w:ascii="Times New Roman" w:hAnsi="Times New Roman" w:cs="Times New Roman" w:eastAsia="Times New Roman" w:hint="default"/>
                <w:sz w:val="18"/>
                <w:szCs w:val="18"/>
              </w:rPr>
              <w:t>Pte.Ltd</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StayNTouch</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StayNTouch</w:t>
            </w:r>
            <w:r>
              <w:rPr>
                <w:rFonts w:ascii="Times New Roman"/>
                <w:spacing w:val="-18"/>
                <w:sz w:val="18"/>
              </w:rPr>
              <w:t> </w:t>
            </w:r>
            <w:r>
              <w:rPr>
                <w:rFonts w:ascii="Times New Roman"/>
                <w:sz w:val="18"/>
              </w:rPr>
              <w:t>Inc.</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石基欧洲</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Shiji</w:t>
            </w:r>
            <w:r>
              <w:rPr>
                <w:rFonts w:ascii="Times New Roman"/>
                <w:spacing w:val="-5"/>
                <w:sz w:val="18"/>
              </w:rPr>
              <w:t> </w:t>
            </w:r>
            <w:r>
              <w:rPr>
                <w:rFonts w:ascii="Times New Roman"/>
                <w:sz w:val="18"/>
              </w:rPr>
              <w:t>GmbH</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Snapshot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Snapshot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GmbH</w:t>
            </w:r>
            <w:r>
              <w:rPr>
                <w:rFonts w:ascii="宋体" w:hAnsi="宋体" w:cs="宋体" w:eastAsia="宋体" w:hint="default"/>
                <w:sz w:val="18"/>
                <w:szCs w:val="18"/>
              </w:rPr>
              <w:t>，现已与原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AC</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Project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GmbH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合并为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Shiji</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GmbH</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AC</w:t>
            </w:r>
            <w:r>
              <w:rPr>
                <w:rFonts w:ascii="Times New Roman"/>
                <w:spacing w:val="-3"/>
                <w:sz w:val="18"/>
              </w:rPr>
              <w:t> </w:t>
            </w:r>
            <w:r>
              <w:rPr>
                <w:rFonts w:ascii="Times New Roman"/>
                <w:sz w:val="18"/>
              </w:rPr>
              <w:t>Project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AC</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Project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GmbH</w:t>
            </w:r>
            <w:r>
              <w:rPr>
                <w:rFonts w:ascii="宋体" w:hAnsi="宋体" w:cs="宋体" w:eastAsia="宋体" w:hint="default"/>
                <w:sz w:val="18"/>
                <w:szCs w:val="18"/>
              </w:rPr>
              <w:t>，现已与原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Snapshot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GmbH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合并为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Shiji</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GmbH</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RR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Review</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Rank</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Review Rank</w:t>
            </w:r>
            <w:r>
              <w:rPr>
                <w:rFonts w:ascii="Times New Roman"/>
                <w:spacing w:val="-7"/>
                <w:sz w:val="18"/>
              </w:rPr>
              <w:t> </w:t>
            </w:r>
            <w:r>
              <w:rPr>
                <w:rFonts w:ascii="Times New Roman"/>
                <w:sz w:val="18"/>
              </w:rPr>
              <w:t>S.A.</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石基美国或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SHIJI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(US)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SHIJI (US)</w:t>
            </w:r>
            <w:r>
              <w:rPr>
                <w:rFonts w:ascii="Times New Roman"/>
                <w:spacing w:val="-2"/>
                <w:sz w:val="18"/>
              </w:rPr>
              <w:t> </w:t>
            </w:r>
            <w:r>
              <w:rPr>
                <w:rFonts w:ascii="Times New Roman"/>
                <w:sz w:val="18"/>
              </w:rPr>
              <w:t>Inc.</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商用星联</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北京商用星联信息科技有限公司</w:t>
            </w:r>
          </w:p>
        </w:tc>
      </w:tr>
      <w:tr>
        <w:trPr>
          <w:trHeight w:val="40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北京宝库</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北京宝库在线网络技术有限公司</w:t>
            </w:r>
          </w:p>
        </w:tc>
      </w:tr>
      <w:tr>
        <w:trPr>
          <w:trHeight w:val="396"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三级及以下重要子公司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南京银石</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南京银石计算机系统有限公司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现化电脑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现化电脑系统（北京）有限公司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科传控股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科传计算机科技控股有限公司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石基大商信息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北京石基大商信息技术有限公司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富基信息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北京富基融通信息技术有限公司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长益科技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北京长京益康信息科技有限公司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上海时运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上海时运信息技术有限公司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广州合光</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广州合光信息科技有限公司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石基澳大利亚或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Shiji(Australia)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Shiji(Australia)Pty</w:t>
            </w:r>
            <w:r>
              <w:rPr>
                <w:rFonts w:ascii="Times New Roman"/>
                <w:spacing w:val="-8"/>
                <w:sz w:val="18"/>
              </w:rPr>
              <w:t> </w:t>
            </w:r>
            <w:r>
              <w:rPr>
                <w:rFonts w:ascii="Times New Roman"/>
                <w:sz w:val="18"/>
              </w:rPr>
              <w:t>ltd</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石基印度或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Shiji</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India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Shiji India</w:t>
            </w:r>
            <w:r>
              <w:rPr>
                <w:rFonts w:ascii="Times New Roman"/>
                <w:spacing w:val="-7"/>
                <w:sz w:val="18"/>
              </w:rPr>
              <w:t> </w:t>
            </w:r>
            <w:r>
              <w:rPr>
                <w:rFonts w:ascii="Times New Roman"/>
                <w:sz w:val="18"/>
              </w:rPr>
              <w:t>LLP</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石基马来西亚或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Shiji</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Malaysia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Shiji Malaysia Sdn</w:t>
            </w:r>
            <w:r>
              <w:rPr>
                <w:rFonts w:ascii="Times New Roman"/>
                <w:spacing w:val="-6"/>
                <w:sz w:val="18"/>
              </w:rPr>
              <w:t> </w:t>
            </w:r>
            <w:r>
              <w:rPr>
                <w:rFonts w:ascii="Times New Roman"/>
                <w:sz w:val="18"/>
              </w:rPr>
              <w:t>Bhd</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苏州环企</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银科环企软件（苏州）有限公司</w:t>
            </w:r>
          </w:p>
        </w:tc>
      </w:tr>
      <w:tr>
        <w:trPr>
          <w:trHeight w:val="72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石基德国</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Shiji</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Deutschland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GmbH</w:t>
            </w:r>
            <w:r>
              <w:rPr>
                <w:rFonts w:ascii="宋体" w:hAnsi="宋体" w:cs="宋体" w:eastAsia="宋体" w:hint="default"/>
                <w:sz w:val="18"/>
                <w:szCs w:val="18"/>
              </w:rPr>
              <w:t>，由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Hetras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Deutschland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GmbH </w:t>
            </w: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日更名而成</w:t>
            </w:r>
          </w:p>
        </w:tc>
      </w:tr>
      <w:tr>
        <w:trPr>
          <w:trHeight w:val="396"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其他重要参股子公司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未来酒店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浙江未来酒店网络技术有限公司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迅付信息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迅付信息科技有限公司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Kalibri</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Kalibri Labs</w:t>
            </w:r>
            <w:r>
              <w:rPr>
                <w:rFonts w:ascii="Times New Roman"/>
                <w:spacing w:val="-8"/>
                <w:sz w:val="18"/>
              </w:rPr>
              <w:t> </w:t>
            </w:r>
            <w:r>
              <w:rPr>
                <w:rFonts w:ascii="Times New Roman"/>
                <w:sz w:val="18"/>
              </w:rPr>
              <w:t>LLC</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Touchpeak</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Touchpeak Software,</w:t>
            </w:r>
            <w:r>
              <w:rPr>
                <w:rFonts w:ascii="Times New Roman"/>
                <w:spacing w:val="-21"/>
                <w:sz w:val="18"/>
              </w:rPr>
              <w:t> </w:t>
            </w:r>
            <w:r>
              <w:rPr>
                <w:rFonts w:ascii="Times New Roman"/>
                <w:sz w:val="18"/>
              </w:rPr>
              <w:t>Inc.</w:t>
            </w:r>
          </w:p>
        </w:tc>
      </w:tr>
      <w:tr>
        <w:trPr>
          <w:trHeight w:val="397"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淘宝（中国）</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淘宝（中国）软件有限公司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专业名词</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SAAS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软件即服务</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ARR</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年度可重复订阅费</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MRR</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月度可重复订阅费</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1133"/>
        <w:jc w:val="left"/>
        <w:rPr>
          <w:b w:val="0"/>
          <w:bCs w:val="0"/>
        </w:rPr>
      </w:pPr>
      <w:bookmarkStart w:name="_bookmark0" w:id="1"/>
      <w:bookmarkEnd w:id="1"/>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3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4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石基信息</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002153</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石基信息</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Beijing Shiji Information Technology Co.,</w:t>
            </w:r>
            <w:r>
              <w:rPr>
                <w:rFonts w:ascii="Times New Roman"/>
                <w:spacing w:val="-29"/>
                <w:sz w:val="18"/>
              </w:rPr>
              <w:t> </w:t>
            </w:r>
            <w:r>
              <w:rPr>
                <w:rFonts w:ascii="Times New Roman"/>
                <w:sz w:val="18"/>
              </w:rPr>
              <w:t>Ltd.</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李仲初</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北京市海淀区复兴路甲</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100036</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北京市石景山区玉泉路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号楼燕保大厦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层，北京市东城区东水井胡同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层</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100040</w:t>
            </w:r>
            <w:r>
              <w:rPr>
                <w:rFonts w:ascii="宋体" w:hAnsi="宋体" w:cs="宋体" w:eastAsia="宋体" w:hint="default"/>
                <w:sz w:val="18"/>
                <w:szCs w:val="18"/>
              </w:rPr>
              <w:t>，</w:t>
            </w:r>
            <w:r>
              <w:rPr>
                <w:rFonts w:ascii="Times New Roman" w:hAnsi="Times New Roman" w:cs="Times New Roman" w:eastAsia="Times New Roman" w:hint="default"/>
                <w:sz w:val="18"/>
                <w:szCs w:val="18"/>
              </w:rPr>
              <w:t>100010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www.shijigroup.com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IR@shijigroup.com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罗芳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赵文瑜</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北京市石景山区玉泉路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号楼燕</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保大厦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层证券部</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北京市石景山区玉泉路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号楼燕</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保大厦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层证券部</w:t>
            </w:r>
          </w:p>
        </w:tc>
      </w:tr>
      <w:tr>
        <w:trPr>
          <w:trHeight w:val="394"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010-68249356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010-68249356</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010-68183776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010-68183776</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1">
              <w:r>
                <w:rPr>
                  <w:rFonts w:ascii="Times New Roman"/>
                  <w:sz w:val="18"/>
                </w:rPr>
                <w:t>luofang@shijigroup.com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any.zhao@shijigroup.com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深圳证券交易所、公司董事会秘书办公室</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b/>
          <w:bCs/>
          <w:sz w:val="23"/>
          <w:szCs w:val="23"/>
        </w:rPr>
      </w:pPr>
    </w:p>
    <w:p>
      <w:pPr>
        <w:pStyle w:val="Heading3"/>
        <w:spacing w:line="240" w:lineRule="auto" w:before="26"/>
        <w:ind w:right="1133"/>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63434298-5</w:t>
            </w:r>
            <w:r>
              <w:rPr>
                <w:rFonts w:ascii="宋体" w:hAnsi="宋体" w:cs="宋体" w:eastAsia="宋体" w:hint="default"/>
                <w:sz w:val="18"/>
                <w:szCs w:val="18"/>
              </w:rPr>
              <w:t>，无变更</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张昆、张海啸</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41"/>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6"/>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3,097,519,391.45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2,961,186,590.64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2,662,608,134.04</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463,482,459.69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419,028,697.62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388,790,331.19</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412,310,624.39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390,403,534.34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375,524,963.57</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499,339,508.47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513,062,230.22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613,237,760.85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0.36</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0.36</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10,228,255,474.94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6,787,524,575.56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6,057,269,280.00</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8,309,225,315.33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5,251,402,125.92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4,939,387,704.50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18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7"/>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3"/>
        <w:spacing w:line="240" w:lineRule="auto"/>
        <w:ind w:right="1133"/>
        <w:jc w:val="left"/>
        <w:rPr>
          <w:b w:val="0"/>
          <w:bCs w:val="0"/>
        </w:rPr>
      </w:pPr>
      <w:r>
        <w:rPr/>
        <w:t>八、分季度主要财务指标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1"/>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531,076,014.16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724,636,554.96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734,788,118.19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1,107,018,704.14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66,923,674.97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137,141,427.52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111,904,813.33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147,512,543.87</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59,848,692.35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129,532,745.28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104,485,851.09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118,443,335.68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-87,476,560.94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175,030,950.85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187,857,788.30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223,927,330.26</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0"/>
        <w:gridCol w:w="1429"/>
        <w:gridCol w:w="1416"/>
        <w:gridCol w:w="1419"/>
        <w:gridCol w:w="1205"/>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9"/>
              <w:jc w:val="left"/>
              <w:rPr>
                <w:rFonts w:ascii="宋体" w:hAnsi="宋体" w:cs="宋体" w:eastAsia="宋体" w:hint="default"/>
                <w:sz w:val="18"/>
                <w:szCs w:val="18"/>
              </w:rPr>
            </w:pPr>
            <w:r>
              <w:rPr>
                <w:rFonts w:ascii="宋体" w:hAnsi="宋体" w:cs="宋体" w:eastAsia="宋体" w:hint="default"/>
                <w:spacing w:val="-4"/>
                <w:sz w:val="18"/>
                <w:szCs w:val="18"/>
              </w:rPr>
              <w:t>非流动资产处置损益（包括已计提资产减值准备的冲</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销部分）</w:t>
            </w:r>
          </w:p>
        </w:tc>
        <w:tc>
          <w:tcPr>
            <w:tcW w:w="1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75,472.98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-13,551,953.46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-626,156.56</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2,247,437.80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1"/>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照国家统一标准定额或定量享受的政府补助除外）</w:t>
            </w:r>
          </w:p>
        </w:tc>
        <w:tc>
          <w:tcPr>
            <w:tcW w:w="1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1,483,310.00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6,419,397.00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6,726,763.40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jc w:val="left"/>
              <w:rPr>
                <w:rFonts w:ascii="宋体" w:hAnsi="宋体" w:cs="宋体" w:eastAsia="宋体" w:hint="default"/>
                <w:sz w:val="18"/>
                <w:szCs w:val="18"/>
              </w:rPr>
            </w:pPr>
            <w:r>
              <w:rPr>
                <w:rFonts w:ascii="宋体" w:hAnsi="宋体" w:cs="宋体" w:eastAsia="宋体" w:hint="default"/>
                <w:spacing w:val="-4"/>
                <w:sz w:val="18"/>
                <w:szCs w:val="18"/>
              </w:rPr>
              <w:t>企业取得子公司、联营企业及合营企业的投资成本小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于取得投资时应享有被投资单位可辨认净资产公允 价值产生的收益</w:t>
            </w:r>
          </w:p>
        </w:tc>
        <w:tc>
          <w:tcPr>
            <w:tcW w:w="1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-4,606,208.46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55,024,676.14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31,695,286.53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9,891,032.16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宋体" w:hAnsi="宋体" w:cs="宋体" w:eastAsia="宋体" w:hint="default"/>
                <w:sz w:val="18"/>
                <w:szCs w:val="18"/>
              </w:rPr>
              <w:t>理财产品收益</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100"/>
        <w:gridCol w:w="578"/>
        <w:gridCol w:w="851"/>
        <w:gridCol w:w="1416"/>
        <w:gridCol w:w="1419"/>
        <w:gridCol w:w="1205"/>
      </w:tblGrid>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
              <w:jc w:val="left"/>
              <w:rPr>
                <w:rFonts w:ascii="宋体" w:hAnsi="宋体" w:cs="宋体" w:eastAsia="宋体" w:hint="default"/>
                <w:sz w:val="18"/>
                <w:szCs w:val="18"/>
              </w:rPr>
            </w:pPr>
            <w:r>
              <w:rPr>
                <w:rFonts w:ascii="宋体" w:hAnsi="宋体" w:cs="宋体" w:eastAsia="宋体" w:hint="default"/>
                <w:spacing w:val="-4"/>
                <w:sz w:val="18"/>
                <w:szCs w:val="18"/>
              </w:rPr>
              <w:t>因不可抗力因素，如遭受自然灾害而计提的各项资产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减值准备</w:t>
            </w:r>
          </w:p>
        </w:tc>
        <w:tc>
          <w:tcPr>
            <w:tcW w:w="142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42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42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105"/>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 的损益</w:t>
            </w:r>
          </w:p>
        </w:tc>
        <w:tc>
          <w:tcPr>
            <w:tcW w:w="142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5"/>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 当期净损益</w:t>
            </w:r>
          </w:p>
        </w:tc>
        <w:tc>
          <w:tcPr>
            <w:tcW w:w="142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42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 </w:t>
            </w:r>
            <w:r>
              <w:rPr>
                <w:rFonts w:ascii="宋体" w:hAnsi="宋体" w:cs="宋体" w:eastAsia="宋体" w:hint="default"/>
                <w:spacing w:val="-4"/>
                <w:sz w:val="18"/>
                <w:szCs w:val="18"/>
              </w:rPr>
              <w:t>持有交易性金融资产、交易性金融负债产生的公允价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值变动损益，以及处置交易性金融资产、交易性金融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负债和可供出售金融资产取得的投资收益</w:t>
            </w:r>
          </w:p>
        </w:tc>
        <w:tc>
          <w:tcPr>
            <w:tcW w:w="578"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42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42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105"/>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 允价值变动产生的损益</w:t>
            </w:r>
          </w:p>
        </w:tc>
        <w:tc>
          <w:tcPr>
            <w:tcW w:w="142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
              <w:jc w:val="left"/>
              <w:rPr>
                <w:rFonts w:ascii="宋体" w:hAnsi="宋体" w:cs="宋体" w:eastAsia="宋体" w:hint="default"/>
                <w:sz w:val="18"/>
                <w:szCs w:val="18"/>
              </w:rPr>
            </w:pPr>
            <w:r>
              <w:rPr>
                <w:rFonts w:ascii="宋体" w:hAnsi="宋体" w:cs="宋体" w:eastAsia="宋体" w:hint="default"/>
                <w:spacing w:val="-4"/>
                <w:sz w:val="18"/>
                <w:szCs w:val="18"/>
              </w:rPr>
              <w:t>根据税收、会计等法律、法规的要求对当期损益进行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一次性调整对当期损益的影响</w:t>
            </w:r>
          </w:p>
        </w:tc>
        <w:tc>
          <w:tcPr>
            <w:tcW w:w="142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42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2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41" w:right="0"/>
              <w:jc w:val="left"/>
              <w:rPr>
                <w:rFonts w:ascii="Times New Roman" w:hAnsi="Times New Roman" w:cs="Times New Roman" w:eastAsia="Times New Roman" w:hint="default"/>
                <w:sz w:val="18"/>
                <w:szCs w:val="18"/>
              </w:rPr>
            </w:pPr>
            <w:r>
              <w:rPr>
                <w:rFonts w:ascii="Times New Roman"/>
                <w:sz w:val="18"/>
              </w:rPr>
              <w:t>6,060,052.92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-396.96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37,034,464.40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2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left="515" w:right="0"/>
              <w:jc w:val="left"/>
              <w:rPr>
                <w:rFonts w:ascii="Times New Roman" w:hAnsi="Times New Roman" w:cs="Times New Roman" w:eastAsia="Times New Roman" w:hint="default"/>
                <w:sz w:val="18"/>
                <w:szCs w:val="18"/>
              </w:rPr>
            </w:pPr>
            <w:r>
              <w:rPr>
                <w:rFonts w:ascii="Times New Roman"/>
                <w:sz w:val="18"/>
              </w:rPr>
              <w:t>-122,601.92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-39,174,940.41</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429" w:type="dxa"/>
            <w:gridSpan w:val="2"/>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15,095,538.63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可供出售金融资产减值准备</w:t>
            </w:r>
          </w:p>
        </w:tc>
        <w:tc>
          <w:tcPr>
            <w:tcW w:w="1429" w:type="dxa"/>
            <w:gridSpan w:val="2"/>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-2,547,720.70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2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10,000,987.17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3,065,157.74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2,414,790.12</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2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left="441" w:right="0"/>
              <w:jc w:val="left"/>
              <w:rPr>
                <w:rFonts w:ascii="Times New Roman" w:hAnsi="Times New Roman" w:cs="Times New Roman" w:eastAsia="Times New Roman" w:hint="default"/>
                <w:sz w:val="18"/>
                <w:szCs w:val="18"/>
              </w:rPr>
            </w:pPr>
            <w:r>
              <w:rPr>
                <w:rFonts w:ascii="Times New Roman"/>
                <w:sz w:val="18"/>
              </w:rPr>
              <w:t>1,348,087.65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813,621.56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418,443.05</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51,171,835.30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28,625,163.28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13,265,367.62</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9"/>
        <w:gridCol w:w="1277"/>
        <w:gridCol w:w="6875"/>
      </w:tblGrid>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6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3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96,622,079.81</w:t>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增值税退税收入系公司根据国务院</w:t>
            </w: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[2000]18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《鼓励软件产业和集成电路产业发 </w:t>
            </w:r>
            <w:r>
              <w:rPr>
                <w:rFonts w:ascii="宋体" w:hAnsi="宋体" w:cs="宋体" w:eastAsia="宋体" w:hint="default"/>
                <w:spacing w:val="-3"/>
                <w:sz w:val="18"/>
                <w:szCs w:val="18"/>
              </w:rPr>
              <w:t>展的若干政策》及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国发</w:t>
            </w:r>
            <w:r>
              <w:rPr>
                <w:rFonts w:ascii="Times New Roman" w:hAnsi="Times New Roman" w:cs="Times New Roman" w:eastAsia="Times New Roman" w:hint="default"/>
                <w:spacing w:val="-3"/>
                <w:sz w:val="18"/>
                <w:szCs w:val="18"/>
              </w:rPr>
              <w:t>[2011]4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《关于印发进一步鼓励软件产业和集成电路产业发展 </w:t>
            </w:r>
            <w:r>
              <w:rPr>
                <w:rFonts w:ascii="宋体" w:hAnsi="宋体" w:cs="宋体" w:eastAsia="宋体" w:hint="default"/>
                <w:spacing w:val="-1"/>
                <w:sz w:val="18"/>
                <w:szCs w:val="18"/>
              </w:rPr>
              <w:t>若干政策的通知》的规定，报告期内应收到的自行开发软件销售增值税退税收入，由于</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该收入预计可以持续获得，故将其不作为非经常性损益。</w:t>
            </w:r>
          </w:p>
        </w:tc>
      </w:tr>
    </w:tbl>
    <w:p>
      <w:pPr>
        <w:spacing w:after="0" w:line="307"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537"/>
        <w:jc w:val="center"/>
        <w:rPr>
          <w:b w:val="0"/>
          <w:bCs w:val="0"/>
        </w:rPr>
      </w:pPr>
      <w:bookmarkStart w:name="_bookmark1" w:id="2"/>
      <w:bookmarkEnd w:id="2"/>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33"/>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52" w:right="1133"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7"/>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Heading7"/>
        <w:spacing w:line="240" w:lineRule="auto" w:before="83"/>
        <w:ind w:left="575" w:right="1133"/>
        <w:jc w:val="left"/>
        <w:rPr>
          <w:b w:val="0"/>
          <w:bCs w:val="0"/>
        </w:rPr>
      </w:pPr>
      <w:r>
        <w:rPr>
          <w:rFonts w:ascii="Times New Roman" w:hAnsi="Times New Roman" w:cs="Times New Roman" w:eastAsia="Times New Roman" w:hint="default"/>
        </w:rPr>
        <w:t>1</w:t>
      </w:r>
      <w:r>
        <w:rPr/>
        <w:t>、行业发展态势</w:t>
      </w:r>
      <w:r>
        <w:rPr>
          <w:b w:val="0"/>
          <w:bCs w:val="0"/>
        </w:rPr>
      </w:r>
    </w:p>
    <w:p>
      <w:pPr>
        <w:pStyle w:val="Heading7"/>
        <w:spacing w:line="240" w:lineRule="auto" w:before="59"/>
        <w:ind w:left="575" w:right="1133"/>
        <w:jc w:val="left"/>
        <w:rPr>
          <w:b w:val="0"/>
          <w:bCs w:val="0"/>
        </w:rPr>
      </w:pPr>
      <w:r>
        <w:rPr/>
        <w:t>（</w:t>
      </w:r>
      <w:r>
        <w:rPr>
          <w:rFonts w:ascii="Times New Roman" w:hAnsi="Times New Roman" w:cs="Times New Roman" w:eastAsia="Times New Roman" w:hint="default"/>
        </w:rPr>
        <w:t>1</w:t>
      </w:r>
      <w:r>
        <w:rPr/>
        <w:t>）行业发展态势分析及应对措施</w:t>
      </w:r>
      <w:r>
        <w:rPr>
          <w:b w:val="0"/>
          <w:bCs w:val="0"/>
        </w:rPr>
      </w:r>
    </w:p>
    <w:p>
      <w:pPr>
        <w:pStyle w:val="BodyText"/>
        <w:spacing w:line="290" w:lineRule="auto" w:before="62"/>
        <w:ind w:left="573" w:right="1133"/>
        <w:jc w:val="left"/>
      </w:pPr>
      <w:r>
        <w:rPr>
          <w:rFonts w:ascii="Times New Roman" w:hAnsi="Times New Roman" w:cs="Times New Roman" w:eastAsia="Times New Roman" w:hint="default"/>
        </w:rPr>
        <w:t>1</w:t>
      </w:r>
      <w:r>
        <w:rPr/>
        <w:t>）中国大消费行业发展空间巨大</w:t>
      </w:r>
      <w:r>
        <w:rPr>
          <w:w w:val="100"/>
        </w:rPr>
        <w:t> </w:t>
      </w:r>
      <w:r>
        <w:rPr>
          <w:spacing w:val="-2"/>
        </w:rPr>
        <w:t>石基信息致力于为酒店、餐饮、零售、休闲娱乐等大消费行业提供整体信息化解决方案。我国改革开</w:t>
      </w:r>
    </w:p>
    <w:p>
      <w:pPr>
        <w:pStyle w:val="BodyText"/>
        <w:spacing w:line="256" w:lineRule="auto"/>
        <w:ind w:right="1126"/>
        <w:jc w:val="both"/>
      </w:pPr>
      <w:r>
        <w:rPr/>
        <w:t>放以来，人均</w:t>
      </w:r>
      <w:r>
        <w:rPr>
          <w:rFonts w:ascii="Times New Roman" w:hAnsi="Times New Roman" w:cs="Times New Roman" w:eastAsia="Times New Roman" w:hint="default"/>
        </w:rPr>
        <w:t>GDP</w:t>
      </w:r>
      <w:r>
        <w:rPr/>
        <w:t>提升</w:t>
      </w:r>
      <w:r>
        <w:rPr>
          <w:rFonts w:ascii="Times New Roman" w:hAnsi="Times New Roman" w:cs="Times New Roman" w:eastAsia="Times New Roman" w:hint="default"/>
        </w:rPr>
        <w:t>40</w:t>
      </w:r>
      <w:r>
        <w:rPr/>
        <w:t>倍以上，从</w:t>
      </w:r>
      <w:r>
        <w:rPr>
          <w:rFonts w:ascii="Times New Roman" w:hAnsi="Times New Roman" w:cs="Times New Roman" w:eastAsia="Times New Roman" w:hint="default"/>
        </w:rPr>
        <w:t>200</w:t>
      </w:r>
      <w:r>
        <w:rPr/>
        <w:t>美元发展到超过</w:t>
      </w:r>
      <w:r>
        <w:rPr>
          <w:rFonts w:ascii="Times New Roman" w:hAnsi="Times New Roman" w:cs="Times New Roman" w:eastAsia="Times New Roman" w:hint="default"/>
        </w:rPr>
        <w:t>9000</w:t>
      </w:r>
      <w:r>
        <w:rPr/>
        <w:t>美元，已经进入消费升级的新时期，为我国</w:t>
      </w:r>
      <w:r>
        <w:rPr>
          <w:spacing w:val="-27"/>
        </w:rPr>
        <w:t> </w:t>
      </w:r>
      <w:r>
        <w:rPr>
          <w:spacing w:val="-27"/>
        </w:rPr>
      </w:r>
      <w:r>
        <w:rPr>
          <w:spacing w:val="-1"/>
        </w:rPr>
        <w:t>大消费行业的发展提供了良好的经济基础。世界旅游组织（</w:t>
      </w:r>
      <w:r>
        <w:rPr>
          <w:rFonts w:ascii="Times New Roman" w:hAnsi="Times New Roman" w:cs="Times New Roman" w:eastAsia="Times New Roman" w:hint="default"/>
          <w:spacing w:val="-1"/>
        </w:rPr>
        <w:t>UNWTO</w:t>
      </w:r>
      <w:r>
        <w:rPr>
          <w:spacing w:val="-1"/>
        </w:rPr>
        <w:t>）数据显示，中国连续多年保持世界</w:t>
      </w:r>
      <w:r>
        <w:rPr>
          <w:spacing w:val="-22"/>
        </w:rPr>
        <w:t> </w:t>
      </w:r>
      <w:r>
        <w:rPr>
          <w:spacing w:val="-22"/>
        </w:rPr>
      </w:r>
      <w:r>
        <w:rPr/>
        <w:t>第一大出境旅游客源国和全球第四大入境旅游接待国地位。</w:t>
      </w:r>
    </w:p>
    <w:p>
      <w:pPr>
        <w:pStyle w:val="BodyText"/>
        <w:spacing w:line="261" w:lineRule="auto" w:before="61"/>
        <w:ind w:right="1105" w:firstLine="420"/>
        <w:jc w:val="both"/>
      </w:pPr>
      <w:r>
        <w:rPr>
          <w:spacing w:val="-2"/>
        </w:rPr>
        <w:t>总体来看，当前我国消费市场基本平稳，消费升级势头不减，消费对经济增长的基础性作用进一步增</w:t>
      </w:r>
      <w:r>
        <w:rPr>
          <w:w w:val="100"/>
        </w:rPr>
        <w:t> </w:t>
      </w:r>
      <w:r>
        <w:rPr>
          <w:spacing w:val="-3"/>
        </w:rPr>
        <w:t>强。根据国家统计局的统计，</w:t>
      </w:r>
      <w:r>
        <w:rPr>
          <w:rFonts w:ascii="Times New Roman" w:hAnsi="Times New Roman" w:cs="Times New Roman" w:eastAsia="Times New Roman" w:hint="default"/>
          <w:spacing w:val="-3"/>
        </w:rPr>
        <w:t>2018</w:t>
      </w:r>
      <w:r>
        <w:rPr>
          <w:spacing w:val="-3"/>
        </w:rPr>
        <w:t>年我国全年社会消费品零售总额</w:t>
      </w:r>
      <w:r>
        <w:rPr>
          <w:rFonts w:ascii="Times New Roman" w:hAnsi="Times New Roman" w:cs="Times New Roman" w:eastAsia="Times New Roman" w:hint="default"/>
          <w:spacing w:val="-3"/>
        </w:rPr>
        <w:t>38.1</w:t>
      </w:r>
      <w:r>
        <w:rPr>
          <w:spacing w:val="-3"/>
        </w:rPr>
        <w:t>万亿元，同比增长</w:t>
      </w:r>
      <w:r>
        <w:rPr>
          <w:rFonts w:ascii="Times New Roman" w:hAnsi="Times New Roman" w:cs="Times New Roman" w:eastAsia="Times New Roman" w:hint="default"/>
          <w:spacing w:val="-3"/>
        </w:rPr>
        <w:t>9%</w:t>
      </w:r>
      <w:r>
        <w:rPr>
          <w:spacing w:val="-3"/>
        </w:rPr>
        <w:t>，保持平稳较</w:t>
      </w:r>
      <w:r>
        <w:rPr>
          <w:spacing w:val="-5"/>
        </w:rPr>
        <w:t> </w:t>
      </w:r>
      <w:r>
        <w:rPr>
          <w:spacing w:val="-5"/>
        </w:rPr>
      </w:r>
      <w:r>
        <w:rPr>
          <w:spacing w:val="-2"/>
        </w:rPr>
        <w:t>快发展势头。从旅游产业来看，中国的经济转型和消费升级将为品牌酒店连锁酒店提供巨大的市场空间。</w:t>
      </w:r>
      <w:r>
        <w:rPr>
          <w:spacing w:val="-21"/>
        </w:rPr>
        <w:t> </w:t>
      </w:r>
      <w:r>
        <w:rPr>
          <w:spacing w:val="-21"/>
        </w:rPr>
      </w:r>
      <w:r>
        <w:rPr/>
        <w:t>虽然中国目前星级酒店总共不到</w:t>
      </w:r>
      <w:r>
        <w:rPr>
          <w:rFonts w:ascii="Times New Roman" w:hAnsi="Times New Roman" w:cs="Times New Roman" w:eastAsia="Times New Roman" w:hint="default"/>
        </w:rPr>
        <w:t>2</w:t>
      </w:r>
      <w:r>
        <w:rPr/>
        <w:t>万家，但从中国酒店的整个供应端来看，中国仅大中型城市正在营业的</w:t>
      </w:r>
      <w:r>
        <w:rPr>
          <w:spacing w:val="-23"/>
        </w:rPr>
        <w:t> </w:t>
      </w:r>
      <w:r>
        <w:rPr>
          <w:spacing w:val="-23"/>
        </w:rPr>
      </w:r>
      <w:r>
        <w:rPr/>
        <w:t>具有</w:t>
      </w:r>
      <w:r>
        <w:rPr>
          <w:rFonts w:ascii="Times New Roman" w:hAnsi="Times New Roman" w:cs="Times New Roman" w:eastAsia="Times New Roman" w:hint="default"/>
        </w:rPr>
        <w:t>20</w:t>
      </w:r>
      <w:r>
        <w:rPr/>
        <w:t>到</w:t>
      </w:r>
      <w:r>
        <w:rPr>
          <w:rFonts w:ascii="Times New Roman" w:hAnsi="Times New Roman" w:cs="Times New Roman" w:eastAsia="Times New Roman" w:hint="default"/>
        </w:rPr>
        <w:t>100</w:t>
      </w:r>
      <w:r>
        <w:rPr/>
        <w:t>间客房的旅馆招待所就有</w:t>
      </w:r>
      <w:r>
        <w:rPr>
          <w:rFonts w:ascii="Times New Roman" w:hAnsi="Times New Roman" w:cs="Times New Roman" w:eastAsia="Times New Roman" w:hint="default"/>
        </w:rPr>
        <w:t>30</w:t>
      </w:r>
      <w:r>
        <w:rPr/>
        <w:t>万家，客房将近</w:t>
      </w:r>
      <w:r>
        <w:rPr>
          <w:rFonts w:ascii="Times New Roman" w:hAnsi="Times New Roman" w:cs="Times New Roman" w:eastAsia="Times New Roman" w:hint="default"/>
        </w:rPr>
        <w:t>2000</w:t>
      </w:r>
      <w:r>
        <w:rPr/>
        <w:t>万间，随着国内客人消费水平的提高，必然</w:t>
      </w:r>
      <w:r>
        <w:rPr>
          <w:spacing w:val="-28"/>
        </w:rPr>
        <w:t> </w:t>
      </w:r>
      <w:r>
        <w:rPr>
          <w:spacing w:val="-28"/>
        </w:rPr>
      </w:r>
      <w:r>
        <w:rPr/>
        <w:t>逐步从招待所向品牌连锁酒店转移，按平均</w:t>
      </w:r>
      <w:r>
        <w:rPr>
          <w:rFonts w:ascii="Times New Roman" w:hAnsi="Times New Roman" w:cs="Times New Roman" w:eastAsia="Times New Roman" w:hint="default"/>
        </w:rPr>
        <w:t>200</w:t>
      </w:r>
      <w:r>
        <w:rPr/>
        <w:t>间客房算，这相当于理论上仅现在的旅游消费规模就有新</w:t>
      </w:r>
      <w:r>
        <w:rPr>
          <w:spacing w:val="-26"/>
        </w:rPr>
        <w:t> </w:t>
      </w:r>
      <w:r>
        <w:rPr>
          <w:spacing w:val="-26"/>
        </w:rPr>
      </w:r>
      <w:r>
        <w:rPr/>
        <w:t>增</w:t>
      </w:r>
      <w:r>
        <w:rPr>
          <w:rFonts w:ascii="Times New Roman" w:hAnsi="Times New Roman" w:cs="Times New Roman" w:eastAsia="Times New Roman" w:hint="default"/>
        </w:rPr>
        <w:t>10</w:t>
      </w:r>
      <w:r>
        <w:rPr/>
        <w:t>万家品牌连锁酒店的市场潜力。据</w:t>
      </w:r>
      <w:r>
        <w:rPr>
          <w:rFonts w:ascii="Times New Roman" w:hAnsi="Times New Roman" w:cs="Times New Roman" w:eastAsia="Times New Roman" w:hint="default"/>
        </w:rPr>
        <w:t>UNWTO</w:t>
      </w:r>
      <w:r>
        <w:rPr/>
        <w:t>预测，中国酒店市场规模到</w:t>
      </w:r>
      <w:r>
        <w:rPr>
          <w:rFonts w:ascii="Times New Roman" w:hAnsi="Times New Roman" w:cs="Times New Roman" w:eastAsia="Times New Roman" w:hint="default"/>
        </w:rPr>
        <w:t>2025</w:t>
      </w:r>
      <w:r>
        <w:rPr/>
        <w:t>年将超过美国，到</w:t>
      </w:r>
      <w:r>
        <w:rPr>
          <w:rFonts w:ascii="Times New Roman" w:hAnsi="Times New Roman" w:cs="Times New Roman" w:eastAsia="Times New Roman" w:hint="default"/>
        </w:rPr>
        <w:t>2039</w:t>
      </w:r>
      <w:r>
        <w:rPr/>
        <w:t>年</w:t>
      </w:r>
      <w:r>
        <w:rPr>
          <w:spacing w:val="-72"/>
        </w:rPr>
        <w:t> </w:t>
      </w:r>
      <w:r>
        <w:rPr/>
        <w:t>将增长近一倍。</w:t>
      </w:r>
    </w:p>
    <w:p>
      <w:pPr>
        <w:pStyle w:val="BodyText"/>
        <w:spacing w:line="290" w:lineRule="auto" w:before="59"/>
        <w:ind w:left="573" w:right="1133"/>
        <w:jc w:val="left"/>
      </w:pPr>
      <w:r>
        <w:rPr>
          <w:rFonts w:ascii="Times New Roman" w:hAnsi="Times New Roman" w:cs="Times New Roman" w:eastAsia="Times New Roman" w:hint="default"/>
        </w:rPr>
        <w:t>2</w:t>
      </w:r>
      <w:r>
        <w:rPr/>
        <w:t>）零售及旅游产业行业扶持政策不断出台，中国旅游产业作为战略性支柱产业的地位更加巩固</w:t>
      </w:r>
      <w:r>
        <w:rPr>
          <w:w w:val="100"/>
        </w:rPr>
        <w:t> </w:t>
      </w:r>
      <w:r>
        <w:rPr>
          <w:spacing w:val="-1"/>
        </w:rPr>
        <w:t>实体零售是商品流通的重要基础，销售额占社会消费品零售总额的</w:t>
      </w:r>
      <w:r>
        <w:rPr>
          <w:rFonts w:ascii="Times New Roman" w:hAnsi="Times New Roman" w:cs="Times New Roman" w:eastAsia="Times New Roman" w:hint="default"/>
          <w:spacing w:val="-1"/>
        </w:rPr>
        <w:t>90%</w:t>
      </w:r>
      <w:r>
        <w:rPr>
          <w:spacing w:val="-1"/>
        </w:rPr>
        <w:t>左右，但近年来，受经营成本</w:t>
      </w:r>
    </w:p>
    <w:p>
      <w:pPr>
        <w:pStyle w:val="BodyText"/>
        <w:spacing w:line="247" w:lineRule="exact"/>
        <w:ind w:right="0"/>
        <w:jc w:val="left"/>
      </w:pPr>
      <w:r>
        <w:rPr/>
        <w:t>攀升、消费需求结构变化、网络零售快速发展等诸多因素影响，实体零售主要指标增速回落，部分企业经</w:t>
      </w:r>
    </w:p>
    <w:p>
      <w:pPr>
        <w:pStyle w:val="BodyText"/>
        <w:spacing w:line="264" w:lineRule="auto" w:before="37"/>
        <w:ind w:right="0"/>
        <w:jc w:val="left"/>
      </w:pPr>
      <w:r>
        <w:rPr>
          <w:spacing w:val="-5"/>
        </w:rPr>
        <w:t>营困难，关店现象频繁发生。针对实体零售发展不均衡、网点布局不合理，经营模式落后、组织化程度低，</w:t>
      </w:r>
      <w:r>
        <w:rPr>
          <w:spacing w:val="-6"/>
        </w:rPr>
        <w:t> </w:t>
      </w:r>
      <w:r>
        <w:rPr>
          <w:spacing w:val="-6"/>
        </w:rPr>
      </w:r>
      <w:r>
        <w:rPr>
          <w:spacing w:val="-2"/>
        </w:rPr>
        <w:t>发展方式粗放等问题，国务院办公厅</w:t>
      </w:r>
      <w:r>
        <w:rPr>
          <w:rFonts w:ascii="Times New Roman" w:hAnsi="Times New Roman" w:cs="Times New Roman" w:eastAsia="Times New Roman" w:hint="default"/>
          <w:spacing w:val="-2"/>
        </w:rPr>
        <w:t>2016</w:t>
      </w:r>
      <w:r>
        <w:rPr>
          <w:spacing w:val="-2"/>
        </w:rPr>
        <w:t>年底印发了《关于推动实体零售创新转型的意见》，提出了调整</w:t>
      </w:r>
      <w:r>
        <w:rPr>
          <w:spacing w:val="-42"/>
        </w:rPr>
        <w:t> </w:t>
      </w:r>
      <w:r>
        <w:rPr>
          <w:spacing w:val="-42"/>
        </w:rPr>
      </w:r>
      <w:r>
        <w:rPr/>
        <w:t>商业结构、创新发展方式、促进跨界融合等多项举措，《意见》中特别提到要促进线上线下融合。</w:t>
      </w:r>
    </w:p>
    <w:p>
      <w:pPr>
        <w:pStyle w:val="BodyText"/>
        <w:spacing w:line="261" w:lineRule="auto" w:before="54"/>
        <w:ind w:right="1126" w:firstLine="420"/>
        <w:jc w:val="both"/>
      </w:pPr>
      <w:r>
        <w:rPr>
          <w:spacing w:val="-2"/>
        </w:rPr>
        <w:t>我国近些年陆续发布了多项政策，支持旅游业发展，包括《国务院关于加快发展旅游业的意见》（国</w:t>
      </w:r>
      <w:r>
        <w:rPr>
          <w:w w:val="100"/>
        </w:rPr>
        <w:t> </w:t>
      </w:r>
      <w:r>
        <w:rPr/>
        <w:t>发</w:t>
      </w:r>
      <w:r>
        <w:rPr>
          <w:rFonts w:ascii="Times New Roman" w:hAnsi="Times New Roman" w:cs="Times New Roman" w:eastAsia="Times New Roman" w:hint="default"/>
        </w:rPr>
        <w:t>[2009]41</w:t>
      </w:r>
      <w:r>
        <w:rPr>
          <w:rFonts w:ascii="Times New Roman" w:hAnsi="Times New Roman" w:cs="Times New Roman" w:eastAsia="Times New Roman" w:hint="default"/>
          <w:spacing w:val="2"/>
        </w:rPr>
        <w:t> </w:t>
      </w:r>
      <w:r>
        <w:rPr>
          <w:spacing w:val="-4"/>
        </w:rPr>
        <w:t>号）、中国人民银行等七部门《关于金融支持旅游业加快发展的若干意见》（银发〔</w:t>
      </w:r>
      <w:r>
        <w:rPr>
          <w:rFonts w:ascii="Times New Roman" w:hAnsi="Times New Roman" w:cs="Times New Roman" w:eastAsia="Times New Roman" w:hint="default"/>
          <w:spacing w:val="-4"/>
        </w:rPr>
        <w:t>2012</w:t>
      </w:r>
      <w:r>
        <w:rPr>
          <w:spacing w:val="-4"/>
        </w:rPr>
        <w:t>〕</w:t>
      </w:r>
      <w:r>
        <w:rPr>
          <w:spacing w:val="-22"/>
        </w:rPr>
        <w:t> </w:t>
      </w:r>
      <w:r>
        <w:rPr>
          <w:rFonts w:ascii="Times New Roman" w:hAnsi="Times New Roman" w:cs="Times New Roman" w:eastAsia="Times New Roman" w:hint="default"/>
        </w:rPr>
        <w:t>32</w:t>
      </w:r>
      <w:r>
        <w:rPr>
          <w:rFonts w:ascii="Times New Roman" w:hAnsi="Times New Roman" w:cs="Times New Roman" w:eastAsia="Times New Roman" w:hint="default"/>
          <w:spacing w:val="-44"/>
        </w:rPr>
        <w:t> </w:t>
      </w:r>
      <w:r>
        <w:rPr>
          <w:spacing w:val="-3"/>
        </w:rPr>
        <w:t>号）、《国民旅游休闲纲要（</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2020 </w:t>
      </w:r>
      <w:r>
        <w:rPr>
          <w:spacing w:val="-3"/>
        </w:rPr>
        <w:t>年）》（国办发〔</w:t>
      </w:r>
      <w:r>
        <w:rPr>
          <w:rFonts w:ascii="Times New Roman" w:hAnsi="Times New Roman" w:cs="Times New Roman" w:eastAsia="Times New Roman" w:hint="default"/>
          <w:spacing w:val="-3"/>
        </w:rPr>
        <w:t>2013</w:t>
      </w:r>
      <w:r>
        <w:rPr>
          <w:spacing w:val="-3"/>
        </w:rPr>
        <w:t>〕 </w:t>
      </w:r>
      <w:r>
        <w:rPr>
          <w:rFonts w:ascii="Times New Roman" w:hAnsi="Times New Roman" w:cs="Times New Roman" w:eastAsia="Times New Roman" w:hint="default"/>
        </w:rPr>
        <w:t>10 </w:t>
      </w:r>
      <w:r>
        <w:rPr>
          <w:spacing w:val="-3"/>
        </w:rPr>
        <w:t>号）、国务院《关于促进旅游业改</w:t>
      </w:r>
      <w:r>
        <w:rPr>
          <w:spacing w:val="-85"/>
        </w:rPr>
        <w:t> </w:t>
      </w:r>
      <w:r>
        <w:rPr>
          <w:spacing w:val="-85"/>
        </w:rPr>
      </w:r>
      <w:r>
        <w:rPr/>
        <w:t>革发展的若干意见》（国发〔</w:t>
      </w:r>
      <w:r>
        <w:rPr>
          <w:rFonts w:ascii="Times New Roman" w:hAnsi="Times New Roman" w:cs="Times New Roman" w:eastAsia="Times New Roman" w:hint="default"/>
        </w:rPr>
        <w:t>2014</w:t>
      </w:r>
      <w:r>
        <w:rPr/>
        <w:t>〕 </w:t>
      </w:r>
      <w:r>
        <w:rPr>
          <w:rFonts w:ascii="Times New Roman" w:hAnsi="Times New Roman" w:cs="Times New Roman" w:eastAsia="Times New Roman" w:hint="default"/>
        </w:rPr>
        <w:t>31</w:t>
      </w:r>
      <w:r>
        <w:rPr>
          <w:rFonts w:ascii="Times New Roman" w:hAnsi="Times New Roman" w:cs="Times New Roman" w:eastAsia="Times New Roman" w:hint="default"/>
          <w:spacing w:val="29"/>
        </w:rPr>
        <w:t> </w:t>
      </w:r>
      <w:r>
        <w:rPr/>
        <w:t>号）、国务院办公厅《关于进一步促进旅游投资和消费的若干意</w:t>
      </w:r>
    </w:p>
    <w:p>
      <w:pPr>
        <w:pStyle w:val="BodyText"/>
        <w:spacing w:line="240" w:lineRule="auto"/>
        <w:ind w:right="0"/>
        <w:jc w:val="left"/>
      </w:pPr>
      <w:r>
        <w:rPr/>
        <w:t>见》（国办发〔</w:t>
      </w:r>
      <w:r>
        <w:rPr>
          <w:rFonts w:ascii="Times New Roman" w:hAnsi="Times New Roman" w:cs="Times New Roman" w:eastAsia="Times New Roman" w:hint="default"/>
        </w:rPr>
        <w:t>2015</w:t>
      </w:r>
      <w:r>
        <w:rPr/>
        <w:t>〕 </w:t>
      </w:r>
      <w:r>
        <w:rPr>
          <w:rFonts w:ascii="Times New Roman" w:hAnsi="Times New Roman" w:cs="Times New Roman" w:eastAsia="Times New Roman" w:hint="default"/>
        </w:rPr>
        <w:t>62</w:t>
      </w:r>
      <w:r>
        <w:rPr>
          <w:rFonts w:ascii="Times New Roman" w:hAnsi="Times New Roman" w:cs="Times New Roman" w:eastAsia="Times New Roman" w:hint="default"/>
          <w:spacing w:val="24"/>
        </w:rPr>
        <w:t> </w:t>
      </w:r>
      <w:r>
        <w:rPr/>
        <w:t>号）、交通运输部等六部门《关于促进交通运输与旅游融合发展的若干意见》</w:t>
      </w:r>
    </w:p>
    <w:p>
      <w:pPr>
        <w:pStyle w:val="BodyText"/>
        <w:spacing w:line="256" w:lineRule="auto" w:before="22"/>
        <w:ind w:right="1133"/>
        <w:jc w:val="left"/>
      </w:pPr>
      <w:r>
        <w:rPr/>
        <w:t>（交规划发</w:t>
      </w:r>
      <w:r>
        <w:rPr>
          <w:rFonts w:ascii="Times New Roman" w:hAnsi="Times New Roman" w:cs="Times New Roman" w:eastAsia="Times New Roman" w:hint="default"/>
        </w:rPr>
        <w:t>[2017]24 </w:t>
      </w:r>
      <w:r>
        <w:rPr>
          <w:spacing w:val="-3"/>
        </w:rPr>
        <w:t>号）等政策文件，为旅游业持续快速发展提供了良好的政策环境，旅游业已成为国民</w:t>
      </w:r>
      <w:r>
        <w:rPr>
          <w:spacing w:val="-60"/>
        </w:rPr>
        <w:t> </w:t>
      </w:r>
      <w:r>
        <w:rPr>
          <w:spacing w:val="-60"/>
        </w:rPr>
      </w:r>
      <w:r>
        <w:rPr/>
        <w:t>经济的战略性支柱产业和与人民群众息息相关的幸福产业。</w:t>
      </w:r>
    </w:p>
    <w:p>
      <w:pPr>
        <w:pStyle w:val="BodyText"/>
        <w:spacing w:line="290" w:lineRule="auto" w:before="63"/>
        <w:ind w:left="573" w:right="1133"/>
        <w:jc w:val="left"/>
      </w:pPr>
      <w:r>
        <w:rPr>
          <w:rFonts w:ascii="Times New Roman" w:hAnsi="Times New Roman" w:cs="Times New Roman" w:eastAsia="Times New Roman" w:hint="default"/>
        </w:rPr>
        <w:t>3</w:t>
      </w:r>
      <w:r>
        <w:rPr/>
        <w:t>）酒店、餐饮、零售等大消费行业当前处于升级转型期</w:t>
      </w:r>
      <w:r>
        <w:rPr>
          <w:w w:val="100"/>
        </w:rPr>
        <w:t> </w:t>
      </w:r>
      <w:r>
        <w:rPr>
          <w:spacing w:val="-2"/>
        </w:rPr>
        <w:t>虽然大消费行业还有较大的发展空间，但是受中国经济结构深度调整和增速放缓的影响，中国大消费</w:t>
      </w:r>
    </w:p>
    <w:p>
      <w:pPr>
        <w:pStyle w:val="BodyText"/>
        <w:spacing w:line="304" w:lineRule="auto"/>
        <w:ind w:left="573" w:right="0" w:hanging="421"/>
        <w:jc w:val="left"/>
      </w:pPr>
      <w:r>
        <w:rPr/>
        <w:t>行业处在升级转型期。</w:t>
      </w:r>
      <w:r>
        <w:rPr>
          <w:w w:val="100"/>
        </w:rPr>
        <w:t> </w:t>
      </w:r>
      <w:r>
        <w:rPr>
          <w:spacing w:val="-5"/>
        </w:rPr>
        <w:t>酒店、餐饮行业告别粗放增长的时代，进入了回归产品和服务本质的全新发展时期。从行业创新来看，</w:t>
      </w:r>
    </w:p>
    <w:p>
      <w:pPr>
        <w:spacing w:after="0" w:line="304"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05"/>
        <w:jc w:val="both"/>
      </w:pPr>
      <w:r>
        <w:rPr>
          <w:spacing w:val="-2"/>
        </w:rPr>
        <w:t>当前酒店、餐饮业正进入调整期，酒店的管理模式、产品模式、市场模式都在进行根本性和结构性变革。</w:t>
      </w:r>
      <w:r>
        <w:rPr>
          <w:spacing w:val="-21"/>
        </w:rPr>
        <w:t> </w:t>
      </w:r>
      <w:r>
        <w:rPr>
          <w:spacing w:val="-21"/>
        </w:rPr>
      </w:r>
      <w:r>
        <w:rPr>
          <w:spacing w:val="-2"/>
        </w:rPr>
        <w:t>从市场环境来说，品牌创新将进入高速爆发期，品牌取代星级成为市场标杆。从产品模式来说，企业将更</w:t>
      </w:r>
      <w:r>
        <w:rPr>
          <w:spacing w:val="-47"/>
        </w:rPr>
        <w:t> </w:t>
      </w:r>
      <w:r>
        <w:rPr>
          <w:spacing w:val="-47"/>
        </w:rPr>
      </w:r>
      <w:r>
        <w:rPr>
          <w:spacing w:val="-2"/>
        </w:rPr>
        <w:t>多地研究目标市场消费需求，重新组合酒店提供的服务和设施，消费者需要的部分将被更加重视，而消费</w:t>
      </w:r>
      <w:r>
        <w:rPr>
          <w:spacing w:val="-43"/>
        </w:rPr>
        <w:t> </w:t>
      </w:r>
      <w:r>
        <w:rPr>
          <w:spacing w:val="-43"/>
        </w:rPr>
      </w:r>
      <w:r>
        <w:rPr>
          <w:spacing w:val="-2"/>
        </w:rPr>
        <w:t>者不需要的部分则会被弱化。而互联网大数据、移动信息科技技术时代的来临，为酒店和餐饮信息化市场</w:t>
      </w:r>
      <w:r>
        <w:rPr>
          <w:spacing w:val="-41"/>
        </w:rPr>
        <w:t> </w:t>
      </w:r>
      <w:r>
        <w:rPr>
          <w:spacing w:val="-41"/>
        </w:rPr>
      </w:r>
      <w:r>
        <w:rPr/>
        <w:t>的繁荣发展提供了新的拓展空间。</w:t>
      </w:r>
    </w:p>
    <w:p>
      <w:pPr>
        <w:pStyle w:val="BodyText"/>
        <w:spacing w:line="273" w:lineRule="auto" w:before="48"/>
        <w:ind w:right="0" w:firstLine="420"/>
        <w:jc w:val="left"/>
      </w:pPr>
      <w:r>
        <w:rPr/>
        <w:t>中国零售业无论从产品和经营模式都正在迎来互联网的巨大冲击，消费升级趋势明显，品牌和商品信</w:t>
      </w:r>
      <w:r>
        <w:rPr>
          <w:w w:val="100"/>
        </w:rPr>
        <w:t> </w:t>
      </w:r>
      <w:r>
        <w:rPr/>
        <w:t>息能通过网络更加容易地传播到消费者，传统零售业基于从生产者到最终消费者之间各个环节信息不对称</w:t>
      </w:r>
      <w:r>
        <w:rPr>
          <w:w w:val="100"/>
        </w:rPr>
        <w:t> </w:t>
      </w:r>
      <w:r>
        <w:rPr/>
        <w:t>所建立起来的商业模式正在被瓦解和颠覆，实体零售店必须且必然会与互联网融为一体利用其服务优势参</w:t>
      </w:r>
      <w:r>
        <w:rPr>
          <w:w w:val="100"/>
        </w:rPr>
        <w:t> </w:t>
      </w:r>
      <w:r>
        <w:rPr>
          <w:spacing w:val="-5"/>
        </w:rPr>
        <w:t>与到新的商业零售的重构中来，互联网和信息技术只是工具，最终洗牌后的商业主角还将以实体店为依托，</w:t>
      </w:r>
      <w:r>
        <w:rPr>
          <w:spacing w:val="-6"/>
        </w:rPr>
        <w:t> </w:t>
      </w:r>
      <w:r>
        <w:rPr>
          <w:spacing w:val="-6"/>
        </w:rPr>
      </w:r>
      <w:r>
        <w:rPr/>
        <w:t>实体店通过利用新一代信息技术将继续成为商品和服务交易的核心环节。</w:t>
      </w:r>
    </w:p>
    <w:p>
      <w:pPr>
        <w:pStyle w:val="BodyText"/>
        <w:spacing w:line="273" w:lineRule="auto" w:before="46"/>
        <w:ind w:right="1104" w:firstLine="420"/>
        <w:jc w:val="both"/>
      </w:pPr>
      <w:r>
        <w:rPr>
          <w:spacing w:val="-2"/>
        </w:rPr>
        <w:t>为此，公司从多年以来一直非常关注酒店、餐饮、零售等旅游消费行业新一代信息技术的发展方向，</w:t>
      </w:r>
      <w:r>
        <w:rPr>
          <w:spacing w:val="-3"/>
          <w:w w:val="100"/>
        </w:rPr>
        <w:t> </w:t>
      </w:r>
      <w:r>
        <w:rPr>
          <w:spacing w:val="-2"/>
        </w:rPr>
        <w:t>并依赖对行业的前瞻性判断，较早地投资于下一代酒店信息系统、餐饮信息系统和零售信息系统的研发，</w:t>
      </w:r>
      <w:r>
        <w:rPr>
          <w:spacing w:val="-21"/>
        </w:rPr>
        <w:t> </w:t>
      </w:r>
      <w:r>
        <w:rPr>
          <w:spacing w:val="-21"/>
        </w:rPr>
      </w:r>
      <w:r>
        <w:rPr/>
        <w:t>以便在未来新一代信息技术变革的过程中继续掌握主动权。</w:t>
      </w:r>
    </w:p>
    <w:p>
      <w:pPr>
        <w:pStyle w:val="BodyText"/>
        <w:spacing w:line="290" w:lineRule="auto" w:before="49"/>
        <w:ind w:left="573" w:right="1133"/>
        <w:jc w:val="left"/>
      </w:pPr>
      <w:r>
        <w:rPr>
          <w:rFonts w:ascii="Times New Roman" w:hAnsi="Times New Roman" w:cs="Times New Roman" w:eastAsia="Times New Roman" w:hint="default"/>
        </w:rPr>
        <w:t>4</w:t>
      </w:r>
      <w:r>
        <w:rPr/>
        <w:t>）云计算技术是酒店、餐饮和零售业信息系统技术发展方向</w:t>
      </w:r>
      <w:r>
        <w:rPr>
          <w:w w:val="100"/>
        </w:rPr>
        <w:t> </w:t>
      </w:r>
      <w:r>
        <w:rPr>
          <w:spacing w:val="-2"/>
        </w:rPr>
        <w:t>从信息化行业的技术发展趋势来看，以云计算为代表的新一代信息管理系统将成为未来酒店、餐饮及</w:t>
      </w:r>
    </w:p>
    <w:p>
      <w:pPr>
        <w:pStyle w:val="BodyText"/>
        <w:spacing w:line="271" w:lineRule="auto"/>
        <w:ind w:right="1126"/>
        <w:jc w:val="both"/>
      </w:pPr>
      <w:r>
        <w:rPr>
          <w:spacing w:val="-2"/>
        </w:rPr>
        <w:t>零售信息系统的发展趋势。基于云的信息系统不仅简化了实施部署和培训，使得优秀的信息系统可以快速</w:t>
      </w:r>
      <w:r>
        <w:rPr>
          <w:spacing w:val="-43"/>
        </w:rPr>
        <w:t> </w:t>
      </w:r>
      <w:r>
        <w:rPr>
          <w:spacing w:val="-43"/>
        </w:rPr>
      </w:r>
      <w:r>
        <w:rPr>
          <w:spacing w:val="-2"/>
        </w:rPr>
        <w:t>得到推广和普及，更重要的是，基于云的信息系统有助于公司最终建立覆盖酒店餐饮零售的整个消费信息</w:t>
      </w:r>
      <w:r>
        <w:rPr>
          <w:spacing w:val="-42"/>
        </w:rPr>
        <w:t> </w:t>
      </w:r>
      <w:r>
        <w:rPr>
          <w:spacing w:val="-42"/>
        </w:rPr>
      </w:r>
      <w:r>
        <w:rPr>
          <w:spacing w:val="2"/>
        </w:rPr>
        <w:t>服务平台和数据平台。公司在云酒店和餐饮信息系统方面已经投入多年并成功地被一定规模的用户所使</w:t>
      </w:r>
      <w:r>
        <w:rPr>
          <w:spacing w:val="-30"/>
        </w:rPr>
        <w:t> </w:t>
      </w:r>
      <w:r>
        <w:rPr>
          <w:spacing w:val="-30"/>
        </w:rPr>
      </w:r>
      <w:r>
        <w:rPr>
          <w:spacing w:val="-2"/>
        </w:rPr>
        <w:t>用，特别是公司下一代的云餐饮信息管理系统已经开始获得数家知名国际酒店集团认可，公司在欧洲投资</w:t>
      </w:r>
      <w:r>
        <w:rPr>
          <w:spacing w:val="-44"/>
        </w:rPr>
        <w:t> </w:t>
      </w:r>
      <w:r>
        <w:rPr>
          <w:spacing w:val="-44"/>
        </w:rPr>
      </w:r>
      <w:r>
        <w:rPr/>
        <w:t>的</w:t>
      </w:r>
      <w:r>
        <w:rPr>
          <w:rFonts w:ascii="Times New Roman" w:hAnsi="Times New Roman" w:cs="Times New Roman" w:eastAsia="Times New Roman" w:hint="default"/>
        </w:rPr>
        <w:t>SNAPSHOT</w:t>
      </w:r>
      <w:r>
        <w:rPr/>
        <w:t>和美国投资的</w:t>
      </w:r>
      <w:r>
        <w:rPr>
          <w:rFonts w:ascii="Times New Roman" w:hAnsi="Times New Roman" w:cs="Times New Roman" w:eastAsia="Times New Roman" w:hint="default"/>
        </w:rPr>
        <w:t>Kalibri Labs </w:t>
      </w:r>
      <w:r>
        <w:rPr>
          <w:rFonts w:ascii="Times New Roman" w:hAnsi="Times New Roman" w:cs="Times New Roman" w:eastAsia="Times New Roman" w:hint="default"/>
          <w:spacing w:val="-4"/>
        </w:rPr>
        <w:t>LLC</w:t>
      </w:r>
      <w:r>
        <w:rPr>
          <w:spacing w:val="-4"/>
        </w:rPr>
        <w:t>正在成为酒店业数据平台的先行者。公司希望借助酒店业的经</w:t>
      </w:r>
      <w:r>
        <w:rPr>
          <w:spacing w:val="-98"/>
        </w:rPr>
        <w:t> </w:t>
      </w:r>
      <w:r>
        <w:rPr>
          <w:spacing w:val="-98"/>
        </w:rPr>
      </w:r>
      <w:r>
        <w:rPr>
          <w:spacing w:val="-2"/>
        </w:rPr>
        <w:t>验，利用投资控股零售企业的专业人才优势，通过数据平台和开发云平台的建立，实现公司在新一代基于</w:t>
      </w:r>
      <w:r>
        <w:rPr>
          <w:spacing w:val="-43"/>
        </w:rPr>
        <w:t> </w:t>
      </w:r>
      <w:r>
        <w:rPr>
          <w:spacing w:val="-43"/>
        </w:rPr>
      </w:r>
      <w:r>
        <w:rPr/>
        <w:t>云的零售信息系统的领导地位。</w:t>
      </w:r>
    </w:p>
    <w:p>
      <w:pPr>
        <w:pStyle w:val="BodyText"/>
        <w:spacing w:line="290" w:lineRule="auto" w:before="48"/>
        <w:ind w:left="573" w:right="1133"/>
        <w:jc w:val="left"/>
      </w:pPr>
      <w:r>
        <w:rPr>
          <w:rFonts w:ascii="Times New Roman" w:hAnsi="Times New Roman" w:cs="Times New Roman" w:eastAsia="Times New Roman" w:hint="default"/>
        </w:rPr>
        <w:t>5</w:t>
      </w:r>
      <w:r>
        <w:rPr/>
        <w:t>）移动互联网的发展和普及强化了平台化和直连技术在大消费行业信息化发展中的应用需求</w:t>
      </w:r>
      <w:r>
        <w:rPr>
          <w:w w:val="100"/>
        </w:rPr>
        <w:t> </w:t>
      </w:r>
      <w:r>
        <w:rPr>
          <w:spacing w:val="-2"/>
        </w:rPr>
        <w:t>从我国酒店行业信息化发展来看，我国酒店的管理系统建设滞后导致酒店预订目前主要依靠人工参与</w:t>
      </w:r>
    </w:p>
    <w:p>
      <w:pPr>
        <w:pStyle w:val="BodyText"/>
        <w:spacing w:line="273" w:lineRule="auto"/>
        <w:ind w:right="1126"/>
        <w:jc w:val="both"/>
      </w:pPr>
      <w:r>
        <w:rPr>
          <w:spacing w:val="-2"/>
        </w:rPr>
        <w:t>完成，直连应用仍存在巨大发展空间。拥有直连技术后，通过预订网站产生的预订数据将直接写入到酒店</w:t>
      </w:r>
      <w:r>
        <w:rPr>
          <w:spacing w:val="-44"/>
        </w:rPr>
        <w:t> </w:t>
      </w:r>
      <w:r>
        <w:rPr>
          <w:spacing w:val="-44"/>
        </w:rPr>
      </w:r>
      <w:r>
        <w:rPr>
          <w:spacing w:val="-2"/>
        </w:rPr>
        <w:t>信息管理系统之中，而预订网站也能够实时或者定时读取酒店信息管理系统的数据。一方面，直连能够简</w:t>
      </w:r>
      <w:r>
        <w:rPr>
          <w:spacing w:val="-42"/>
        </w:rPr>
        <w:t> </w:t>
      </w:r>
      <w:r>
        <w:rPr>
          <w:spacing w:val="-42"/>
        </w:rPr>
      </w:r>
      <w:r>
        <w:rPr>
          <w:spacing w:val="-2"/>
        </w:rPr>
        <w:t>化预订流程、缩短预订时间；另一方面，直连降低了人为错误的可能性。因此直连技术能够提升预订行业</w:t>
      </w:r>
      <w:r>
        <w:rPr>
          <w:spacing w:val="-47"/>
        </w:rPr>
        <w:t> </w:t>
      </w:r>
      <w:r>
        <w:rPr>
          <w:spacing w:val="-47"/>
        </w:rPr>
      </w:r>
      <w:r>
        <w:rPr/>
        <w:t>的效率，降低成本。</w:t>
      </w:r>
    </w:p>
    <w:p>
      <w:pPr>
        <w:pStyle w:val="BodyText"/>
        <w:spacing w:line="271" w:lineRule="auto" w:before="48"/>
        <w:ind w:right="1105" w:firstLine="420"/>
        <w:jc w:val="both"/>
      </w:pPr>
      <w:r>
        <w:rPr>
          <w:spacing w:val="-1"/>
        </w:rPr>
        <w:t>移动互联网的发展和普及将强化直连需求。移动互联网的兴起导致越来越多的客户通过手机应用</w:t>
      </w:r>
      <w:r>
        <w:rPr>
          <w:rFonts w:ascii="Times New Roman" w:hAnsi="Times New Roman" w:cs="Times New Roman" w:eastAsia="Times New Roman" w:hint="default"/>
          <w:spacing w:val="-1"/>
        </w:rPr>
        <w:t>APP</w:t>
      </w:r>
      <w:r>
        <w:rPr>
          <w:rFonts w:ascii="Times New Roman" w:hAnsi="Times New Roman" w:cs="Times New Roman" w:eastAsia="Times New Roman" w:hint="default"/>
          <w:w w:val="100"/>
        </w:rPr>
        <w:t> </w:t>
      </w:r>
      <w:r>
        <w:rPr>
          <w:spacing w:val="-2"/>
        </w:rPr>
        <w:t>来实现吃住行购娱等所有消费的预订和购买，成为推动直连需求及酒店餐饮零售娱乐信息系统平台化的又</w:t>
      </w:r>
      <w:r>
        <w:rPr>
          <w:spacing w:val="-43"/>
        </w:rPr>
        <w:t> </w:t>
      </w:r>
      <w:r>
        <w:rPr>
          <w:spacing w:val="-43"/>
        </w:rPr>
      </w:r>
      <w:r>
        <w:rPr>
          <w:spacing w:val="-2"/>
        </w:rPr>
        <w:t>一重要因素。一方面，移动互联网时代人们更改旅行计划将更为容易，越来越多的用户放弃了提前预定，</w:t>
      </w:r>
      <w:r>
        <w:rPr>
          <w:spacing w:val="-21"/>
        </w:rPr>
        <w:t> </w:t>
      </w:r>
      <w:r>
        <w:rPr>
          <w:spacing w:val="-21"/>
        </w:rPr>
      </w:r>
      <w:r>
        <w:rPr>
          <w:spacing w:val="-2"/>
        </w:rPr>
        <w:t>而是在住宿需求确定后（比如抵达旅行目的地后）才开始预订房间；这就要求旅客的订单必须迅速得到确</w:t>
      </w:r>
      <w:r>
        <w:rPr>
          <w:spacing w:val="-44"/>
        </w:rPr>
        <w:t> </w:t>
      </w:r>
      <w:r>
        <w:rPr>
          <w:spacing w:val="-44"/>
        </w:rPr>
      </w:r>
      <w:r>
        <w:rPr>
          <w:spacing w:val="-2"/>
        </w:rPr>
        <w:t>认，必将推动直连的发展；另一方面，移动互联网用户对体验的要求更为苛刻，希望从离家出发到旅行归</w:t>
      </w:r>
      <w:r>
        <w:rPr>
          <w:spacing w:val="-47"/>
        </w:rPr>
        <w:t> </w:t>
      </w:r>
      <w:r>
        <w:rPr>
          <w:spacing w:val="-47"/>
        </w:rPr>
      </w:r>
      <w:r>
        <w:rPr>
          <w:spacing w:val="-2"/>
        </w:rPr>
        <w:t>来的整个旅程包括从航班选位，入住酒店的所有过程（包括预定、选房、入住、支付、离店优惠券等，本</w:t>
      </w:r>
      <w:r>
        <w:rPr>
          <w:spacing w:val="-45"/>
        </w:rPr>
        <w:t> </w:t>
      </w:r>
      <w:r>
        <w:rPr>
          <w:spacing w:val="-45"/>
        </w:rPr>
      </w:r>
      <w:r>
        <w:rPr>
          <w:spacing w:val="-2"/>
        </w:rPr>
        <w:t>地交通预订与安排，订餐、购物和休闲娱乐等都能在手机上或手机的帮助下完成，满足其需求的唯一方式</w:t>
      </w:r>
      <w:r>
        <w:rPr>
          <w:spacing w:val="-44"/>
        </w:rPr>
        <w:t> </w:t>
      </w:r>
      <w:r>
        <w:rPr>
          <w:spacing w:val="-44"/>
        </w:rPr>
      </w:r>
      <w:r>
        <w:rPr/>
        <w:t>是实现整个消费行业信息系统的平台化并实现自动直连。</w:t>
      </w:r>
    </w:p>
    <w:p>
      <w:pPr>
        <w:pStyle w:val="BodyText"/>
        <w:spacing w:line="273" w:lineRule="auto" w:before="49"/>
        <w:ind w:right="0" w:firstLine="420"/>
        <w:jc w:val="left"/>
      </w:pPr>
      <w:r>
        <w:rPr>
          <w:spacing w:val="-5"/>
        </w:rPr>
        <w:t>为此，公司一直将基于直连技术的平台化战略作为公司实现转型的重要途径，利用自身在酒店、餐饮、</w:t>
      </w:r>
      <w:r>
        <w:rPr>
          <w:w w:val="100"/>
        </w:rPr>
        <w:t> </w:t>
      </w:r>
      <w:r>
        <w:rPr>
          <w:spacing w:val="-2"/>
        </w:rPr>
        <w:t>零售信息系统行业取得的优势地位，目前正致力于从预订和支付这两个环节延伸打造基于畅联直连技术的</w:t>
      </w:r>
      <w:r>
        <w:rPr>
          <w:spacing w:val="-43"/>
        </w:rPr>
        <w:t> </w:t>
      </w:r>
      <w:r>
        <w:rPr>
          <w:spacing w:val="-43"/>
        </w:rPr>
      </w:r>
      <w:r>
        <w:rPr/>
        <w:t>预订平台和基于一体化直连技术的支付平台。</w:t>
      </w:r>
    </w:p>
    <w:p>
      <w:pPr>
        <w:spacing w:line="290" w:lineRule="auto" w:before="48"/>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）酒店、餐饮及零售信息系统市场竞争格局</w:t>
      </w:r>
      <w:r>
        <w:rPr>
          <w:rFonts w:ascii="宋体" w:hAnsi="宋体" w:cs="宋体" w:eastAsia="宋体" w:hint="default"/>
          <w:b/>
          <w:bCs/>
          <w:w w:val="100"/>
          <w:sz w:val="21"/>
          <w:szCs w:val="21"/>
        </w:rPr>
        <w:t> </w:t>
      </w:r>
      <w:r>
        <w:rPr>
          <w:rFonts w:ascii="宋体" w:hAnsi="宋体" w:cs="宋体" w:eastAsia="宋体" w:hint="default"/>
          <w:spacing w:val="-5"/>
          <w:sz w:val="21"/>
          <w:szCs w:val="21"/>
        </w:rPr>
        <w:t>目前，国际酒店管理集团在中国酒店行业的强势地位并未发生根本改变。在中国现有的五星级酒店中，</w:t>
      </w:r>
    </w:p>
    <w:p>
      <w:pPr>
        <w:pStyle w:val="BodyText"/>
        <w:spacing w:line="256" w:lineRule="auto"/>
        <w:ind w:right="1126"/>
        <w:jc w:val="both"/>
      </w:pPr>
      <w:r>
        <w:rPr>
          <w:spacing w:val="-2"/>
        </w:rPr>
        <w:t>本土酒店品牌仅占不到三分之一。在目前国内已有的星级酒店中，连锁酒店仅占</w:t>
      </w:r>
      <w:r>
        <w:rPr>
          <w:rFonts w:ascii="Times New Roman" w:hAnsi="Times New Roman" w:cs="Times New Roman" w:eastAsia="Times New Roman" w:hint="default"/>
          <w:spacing w:val="-2"/>
        </w:rPr>
        <w:t>10%</w:t>
      </w:r>
      <w:r>
        <w:rPr>
          <w:spacing w:val="-2"/>
        </w:rPr>
        <w:t>左右，国际连锁酒店</w:t>
      </w:r>
      <w:r>
        <w:rPr>
          <w:spacing w:val="-5"/>
        </w:rPr>
        <w:t> </w:t>
      </w:r>
      <w:r>
        <w:rPr>
          <w:spacing w:val="-5"/>
        </w:rPr>
      </w:r>
      <w:r>
        <w:rPr>
          <w:spacing w:val="-2"/>
        </w:rPr>
        <w:t>数量更少，大部分是管理水平较低的单体酒店，星级酒店无论是数量还是质量均远远不能满足高速发展的</w:t>
      </w:r>
    </w:p>
    <w:p>
      <w:pPr>
        <w:spacing w:after="0" w:line="25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jc w:val="both"/>
      </w:pPr>
      <w:r>
        <w:rPr>
          <w:spacing w:val="-2"/>
        </w:rPr>
        <w:t>中国旅游业的需求。因此，经营连锁化、运营信息化是我国旅游酒店业提升服务质量、提高经营效益的必</w:t>
      </w:r>
      <w:r>
        <w:rPr>
          <w:spacing w:val="-47"/>
        </w:rPr>
        <w:t> </w:t>
      </w:r>
      <w:r>
        <w:rPr>
          <w:spacing w:val="-47"/>
        </w:rPr>
      </w:r>
      <w:r>
        <w:rPr>
          <w:spacing w:val="-2"/>
        </w:rPr>
        <w:t>由之路，也是我国旅游酒店业近几年的发展趋势。经营连锁化、运营信息化必然对酒店的信息管理系统提</w:t>
      </w:r>
      <w:r>
        <w:rPr>
          <w:spacing w:val="-42"/>
        </w:rPr>
        <w:t> </w:t>
      </w:r>
      <w:r>
        <w:rPr>
          <w:spacing w:val="-42"/>
        </w:rPr>
      </w:r>
      <w:r>
        <w:rPr/>
        <w:t>出更高的技术先进性、运行可靠性、系统扩展性要求。</w:t>
      </w:r>
    </w:p>
    <w:p>
      <w:pPr>
        <w:pStyle w:val="BodyText"/>
        <w:spacing w:line="271" w:lineRule="auto" w:before="48"/>
        <w:ind w:right="1126" w:firstLine="420"/>
        <w:jc w:val="both"/>
      </w:pPr>
      <w:r>
        <w:rPr>
          <w:spacing w:val="-2"/>
        </w:rPr>
        <w:t>公司在国内高星级国际化集团酒店信息系统业务方面到目前基本没有强有力的竞争对手，公司是目前</w:t>
      </w:r>
      <w:r>
        <w:rPr>
          <w:w w:val="100"/>
        </w:rPr>
        <w:t> </w:t>
      </w:r>
      <w:r>
        <w:rPr>
          <w:spacing w:val="-2"/>
        </w:rPr>
        <w:t>国内最主要的酒店信息管理系统解决方案提供商之一，能够为从高星级到较低星级直至经济型连锁酒店提</w:t>
      </w:r>
      <w:r>
        <w:rPr>
          <w:spacing w:val="-43"/>
        </w:rPr>
        <w:t> </w:t>
      </w:r>
      <w:r>
        <w:rPr>
          <w:spacing w:val="-43"/>
        </w:rPr>
      </w:r>
      <w:r>
        <w:rPr/>
        <w:t>供全套完整的解决方案，酒店客户总数超过</w:t>
      </w:r>
      <w:r>
        <w:rPr>
          <w:rFonts w:ascii="Times New Roman" w:hAnsi="Times New Roman" w:cs="Times New Roman" w:eastAsia="Times New Roman" w:hint="default"/>
        </w:rPr>
        <w:t>13,000</w:t>
      </w:r>
      <w:r>
        <w:rPr/>
        <w:t>家。公司的中央预订系统（</w:t>
      </w:r>
      <w:r>
        <w:rPr>
          <w:rFonts w:ascii="Times New Roman" w:hAnsi="Times New Roman" w:cs="Times New Roman" w:eastAsia="Times New Roman" w:hint="default"/>
        </w:rPr>
        <w:t>CRS</w:t>
      </w:r>
      <w:r>
        <w:rPr/>
        <w:t>）已经成为国内中高星</w:t>
      </w:r>
      <w:r>
        <w:rPr>
          <w:spacing w:val="-55"/>
        </w:rPr>
        <w:t> </w:t>
      </w:r>
      <w:r>
        <w:rPr>
          <w:spacing w:val="-55"/>
        </w:rPr>
      </w:r>
      <w:r>
        <w:rPr>
          <w:spacing w:val="-2"/>
        </w:rPr>
        <w:t>级酒店集团的主要选择之一，为中国酒店连锁化运营做好了技术准备。公司过去多年在海外较大规模的研</w:t>
      </w:r>
      <w:r>
        <w:rPr>
          <w:spacing w:val="-43"/>
        </w:rPr>
        <w:t> </w:t>
      </w:r>
      <w:r>
        <w:rPr>
          <w:spacing w:val="-43"/>
        </w:rPr>
      </w:r>
      <w:r>
        <w:rPr>
          <w:spacing w:val="-2"/>
        </w:rPr>
        <w:t>发投入使得公司的产品能够满足全球国际化连锁酒店的要求，公司的产品与服务在上述各方面相比于其他</w:t>
      </w:r>
      <w:r>
        <w:rPr>
          <w:spacing w:val="-43"/>
        </w:rPr>
        <w:t> </w:t>
      </w:r>
      <w:r>
        <w:rPr>
          <w:spacing w:val="-43"/>
        </w:rPr>
      </w:r>
      <w:r>
        <w:rPr>
          <w:spacing w:val="-2"/>
        </w:rPr>
        <w:t>市场参与主体具有显著的优势，行业与市场的发展将有利于公司各项竞争优势的充分发挥，公司目前正处</w:t>
      </w:r>
      <w:r>
        <w:rPr>
          <w:spacing w:val="-42"/>
        </w:rPr>
        <w:t> </w:t>
      </w:r>
      <w:r>
        <w:rPr>
          <w:spacing w:val="-42"/>
        </w:rPr>
      </w:r>
      <w:r>
        <w:rPr/>
        <w:t>于向平台化和国际化转型的关键时期，公司期望通过产品、技术和服务的先发优势，来实现这次转型。</w:t>
      </w:r>
    </w:p>
    <w:p>
      <w:pPr>
        <w:pStyle w:val="BodyText"/>
        <w:spacing w:line="268" w:lineRule="auto" w:before="48"/>
        <w:ind w:right="1126" w:firstLine="420"/>
        <w:jc w:val="both"/>
      </w:pPr>
      <w:r>
        <w:rPr>
          <w:spacing w:val="-2"/>
        </w:rPr>
        <w:t>在本地化酒店信息管理系统领域，由公司子公司杭州西软、广州万迅和航信华仪负责，杭州西软是国</w:t>
      </w:r>
      <w:r>
        <w:rPr>
          <w:w w:val="100"/>
        </w:rPr>
        <w:t> </w:t>
      </w:r>
      <w:r>
        <w:rPr>
          <w:spacing w:val="-2"/>
        </w:rPr>
        <w:t>内单体酒店客户数量最多的公司在华东地区所有星级酒店占有</w:t>
      </w:r>
      <w:r>
        <w:rPr>
          <w:rFonts w:ascii="Times New Roman" w:hAnsi="Times New Roman" w:cs="Times New Roman" w:eastAsia="Times New Roman" w:hint="default"/>
          <w:spacing w:val="-2"/>
        </w:rPr>
        <w:t>50%</w:t>
      </w:r>
      <w:r>
        <w:rPr>
          <w:spacing w:val="-2"/>
        </w:rPr>
        <w:t>以上份额，具有相对的区域控制优势。</w:t>
      </w:r>
      <w:r>
        <w:rPr>
          <w:spacing w:val="-5"/>
        </w:rPr>
        <w:t> </w:t>
      </w:r>
      <w:r>
        <w:rPr>
          <w:spacing w:val="-5"/>
        </w:rPr>
      </w:r>
      <w:r>
        <w:rPr>
          <w:spacing w:val="-2"/>
        </w:rPr>
        <w:t>本地化酒店信息管理系统领域现阶段主要的竞争对手有北京众荟信息技术股份有限公司、上海别样红信息</w:t>
      </w:r>
      <w:r>
        <w:rPr>
          <w:spacing w:val="-43"/>
        </w:rPr>
        <w:t> </w:t>
      </w:r>
      <w:r>
        <w:rPr>
          <w:spacing w:val="-43"/>
        </w:rPr>
      </w:r>
      <w:r>
        <w:rPr/>
        <w:t>技术有限公司、盟广信息技术（上海）有限公司、杭州绿云科技有限公司等众多公司。</w:t>
      </w:r>
    </w:p>
    <w:p>
      <w:pPr>
        <w:pStyle w:val="BodyText"/>
        <w:spacing w:line="264" w:lineRule="auto" w:before="52"/>
        <w:ind w:right="1126" w:firstLine="420"/>
        <w:jc w:val="both"/>
      </w:pPr>
      <w:r>
        <w:rPr>
          <w:spacing w:val="-2"/>
        </w:rPr>
        <w:t>在餐饮信息化行业高度分散的局势下，公司通过有效整合旗下四大品牌，中高端、连锁餐饮用户数量</w:t>
      </w:r>
      <w:r>
        <w:rPr>
          <w:w w:val="100"/>
        </w:rPr>
        <w:t> </w:t>
      </w:r>
      <w:r>
        <w:rPr>
          <w:spacing w:val="-1"/>
        </w:rPr>
        <w:t>已超过</w:t>
      </w:r>
      <w:r>
        <w:rPr>
          <w:rFonts w:ascii="Times New Roman" w:hAnsi="Times New Roman" w:cs="Times New Roman" w:eastAsia="Times New Roman" w:hint="default"/>
          <w:spacing w:val="-1"/>
        </w:rPr>
        <w:t>10,000</w:t>
      </w:r>
      <w:r>
        <w:rPr>
          <w:spacing w:val="-1"/>
        </w:rPr>
        <w:t>家，标准化餐饮用户约</w:t>
      </w:r>
      <w:r>
        <w:rPr>
          <w:rFonts w:ascii="Times New Roman" w:hAnsi="Times New Roman" w:cs="Times New Roman" w:eastAsia="Times New Roman" w:hint="default"/>
          <w:spacing w:val="-1"/>
        </w:rPr>
        <w:t>20</w:t>
      </w:r>
      <w:r>
        <w:rPr>
          <w:spacing w:val="-1"/>
        </w:rPr>
        <w:t>万家，无论在中高端及连锁餐饮市场还是在整个餐饮信息化市场的</w:t>
      </w:r>
      <w:r>
        <w:rPr>
          <w:spacing w:val="-29"/>
        </w:rPr>
        <w:t> </w:t>
      </w:r>
      <w:r>
        <w:rPr>
          <w:spacing w:val="-29"/>
        </w:rPr>
      </w:r>
      <w:r>
        <w:rPr/>
        <w:t>占有率均处于相对领先水平。</w:t>
      </w:r>
    </w:p>
    <w:p>
      <w:pPr>
        <w:pStyle w:val="BodyText"/>
        <w:spacing w:line="261" w:lineRule="auto" w:before="57"/>
        <w:ind w:right="1126" w:firstLine="422"/>
        <w:jc w:val="both"/>
      </w:pPr>
      <w:r>
        <w:rPr>
          <w:spacing w:val="-2"/>
        </w:rPr>
        <w:t>对于零售信息化市场，多年以来竞争激烈。截止本报告披露日，公司已控股长益科技、富基信息、上</w:t>
      </w:r>
      <w:r>
        <w:rPr>
          <w:w w:val="100"/>
        </w:rPr>
        <w:t> </w:t>
      </w:r>
      <w:r>
        <w:rPr>
          <w:spacing w:val="-2"/>
        </w:rPr>
        <w:t>海时运、广州合光、思迅软件和青岛海信智能商用，参股科传控股，零售客户总量约</w:t>
      </w:r>
      <w:r>
        <w:rPr>
          <w:rFonts w:ascii="Times New Roman" w:hAnsi="Times New Roman" w:cs="Times New Roman" w:eastAsia="Times New Roman" w:hint="default"/>
          <w:spacing w:val="-2"/>
        </w:rPr>
        <w:t>40</w:t>
      </w:r>
      <w:r>
        <w:rPr>
          <w:spacing w:val="-2"/>
        </w:rPr>
        <w:t>万家，占中国规模</w:t>
      </w:r>
      <w:r>
        <w:rPr>
          <w:spacing w:val="-42"/>
        </w:rPr>
        <w:t> </w:t>
      </w:r>
      <w:r>
        <w:rPr>
          <w:spacing w:val="-42"/>
        </w:rPr>
      </w:r>
      <w:r>
        <w:rPr>
          <w:spacing w:val="-4"/>
        </w:rPr>
        <w:t>化零售行业客户群的</w:t>
      </w:r>
      <w:r>
        <w:rPr>
          <w:rFonts w:ascii="Times New Roman" w:hAnsi="Times New Roman" w:cs="Times New Roman" w:eastAsia="Times New Roman" w:hint="default"/>
          <w:spacing w:val="-4"/>
        </w:rPr>
        <w:t>6-7</w:t>
      </w:r>
      <w:r>
        <w:rPr>
          <w:spacing w:val="-4"/>
        </w:rPr>
        <w:t>成。通过整合与加大下一代产品的研发投入，公司有望在零售业取得与酒店业相同</w:t>
      </w:r>
      <w:r>
        <w:rPr>
          <w:spacing w:val="-16"/>
        </w:rPr>
        <w:t> </w:t>
      </w:r>
      <w:r>
        <w:rPr>
          <w:spacing w:val="-16"/>
        </w:rPr>
      </w:r>
      <w:r>
        <w:rPr/>
        <w:t>的领导地位。</w:t>
      </w:r>
    </w:p>
    <w:p>
      <w:pPr>
        <w:spacing w:line="290" w:lineRule="auto" w:before="56"/>
        <w:ind w:left="575"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、公司从事的主要业务</w:t>
      </w:r>
      <w:r>
        <w:rPr>
          <w:rFonts w:ascii="宋体" w:hAnsi="宋体" w:cs="宋体" w:eastAsia="宋体" w:hint="default"/>
          <w:b/>
          <w:bCs/>
          <w:w w:val="100"/>
          <w:sz w:val="21"/>
          <w:szCs w:val="21"/>
        </w:rPr>
        <w:t> </w:t>
      </w:r>
      <w:r>
        <w:rPr>
          <w:rFonts w:ascii="宋体" w:hAnsi="宋体" w:cs="宋体" w:eastAsia="宋体" w:hint="default"/>
          <w:spacing w:val="-3"/>
          <w:sz w:val="21"/>
          <w:szCs w:val="21"/>
        </w:rPr>
        <w:t>报告期内，公司主要从事酒店、餐饮及零售等旅游消费行业信息管理系统软件的开发与销售、系统集</w:t>
      </w:r>
    </w:p>
    <w:p>
      <w:pPr>
        <w:pStyle w:val="BodyText"/>
        <w:spacing w:line="256" w:lineRule="auto"/>
        <w:ind w:right="1128"/>
        <w:jc w:val="both"/>
      </w:pPr>
      <w:r>
        <w:rPr/>
        <w:t>成、技术支持与服务业务，在中国星级酒店业信息管理系统市场和规模化零售业（客户年度营业额</w:t>
      </w:r>
      <w:r>
        <w:rPr>
          <w:rFonts w:ascii="Times New Roman" w:hAnsi="Times New Roman" w:cs="Times New Roman" w:eastAsia="Times New Roman" w:hint="default"/>
        </w:rPr>
        <w:t>1</w:t>
      </w:r>
      <w:r>
        <w:rPr/>
        <w:t>亿以</w:t>
      </w:r>
      <w:r>
        <w:rPr>
          <w:spacing w:val="-21"/>
        </w:rPr>
        <w:t> </w:t>
      </w:r>
      <w:r>
        <w:rPr/>
        <w:t>上）信息管理系统市场的客户占有率为</w:t>
      </w:r>
      <w:r>
        <w:rPr>
          <w:rFonts w:ascii="Times New Roman" w:hAnsi="Times New Roman" w:cs="Times New Roman" w:eastAsia="Times New Roman" w:hint="default"/>
        </w:rPr>
        <w:t>60-70%</w:t>
      </w:r>
      <w:r>
        <w:rPr/>
        <w:t>，在中国餐饮信息管理系统市场居相对领先地位。</w:t>
      </w:r>
    </w:p>
    <w:p>
      <w:pPr>
        <w:pStyle w:val="BodyText"/>
        <w:spacing w:line="261" w:lineRule="auto" w:before="46"/>
        <w:ind w:right="1019" w:firstLine="422"/>
        <w:jc w:val="left"/>
      </w:pPr>
      <w:r>
        <w:rPr/>
        <w:t>公司是目前国内最主要的酒店信息管理系统全面解决方案提供商之一，主要产品为具有自主知识产权</w:t>
      </w:r>
      <w:r>
        <w:rPr>
          <w:w w:val="100"/>
        </w:rPr>
        <w:t> </w:t>
      </w:r>
      <w:r>
        <w:rPr/>
        <w:t>的</w:t>
      </w:r>
      <w:r>
        <w:rPr>
          <w:rFonts w:ascii="Times New Roman" w:hAnsi="Times New Roman" w:cs="Times New Roman" w:eastAsia="Times New Roman" w:hint="default"/>
        </w:rPr>
        <w:t>“</w:t>
      </w:r>
      <w:r>
        <w:rPr/>
        <w:t>石基数字饭（酒）店信息管理系统平台（</w:t>
      </w:r>
      <w:r>
        <w:rPr>
          <w:rFonts w:ascii="Times New Roman" w:hAnsi="Times New Roman" w:cs="Times New Roman" w:eastAsia="Times New Roman" w:hint="default"/>
        </w:rPr>
        <w:t>IPHotel</w:t>
      </w:r>
      <w:r>
        <w:rPr/>
        <w:t>）</w:t>
      </w:r>
      <w:r>
        <w:rPr>
          <w:rFonts w:ascii="Times New Roman" w:hAnsi="Times New Roman" w:cs="Times New Roman" w:eastAsia="Times New Roman" w:hint="default"/>
        </w:rPr>
        <w:t>”</w:t>
      </w:r>
      <w:r>
        <w:rPr/>
        <w:t>，其中含有支持多物业、多语言、多货币处理的、</w:t>
      </w:r>
      <w:r>
        <w:rPr>
          <w:w w:val="100"/>
        </w:rPr>
        <w:t> </w:t>
      </w:r>
      <w:r>
        <w:rPr>
          <w:spacing w:val="5"/>
        </w:rPr>
        <w:t>全面满足国际化专业酒店管理需求的基于公有云的纯</w:t>
      </w:r>
      <w:r>
        <w:rPr>
          <w:rFonts w:ascii="Times New Roman" w:hAnsi="Times New Roman" w:cs="Times New Roman" w:eastAsia="Times New Roman" w:hint="default"/>
          <w:spacing w:val="5"/>
        </w:rPr>
        <w:t>SAAS</w:t>
      </w:r>
      <w:r>
        <w:rPr>
          <w:spacing w:val="5"/>
        </w:rPr>
        <w:t>收费方式的酒店前台管理系统</w:t>
      </w:r>
      <w:r>
        <w:rPr>
          <w:rFonts w:ascii="Times New Roman" w:hAnsi="Times New Roman" w:cs="Times New Roman" w:eastAsia="Times New Roman" w:hint="default"/>
          <w:spacing w:val="5"/>
        </w:rPr>
        <w:t>Cambridge</w:t>
      </w:r>
      <w:r>
        <w:rPr>
          <w:spacing w:val="5"/>
        </w:rPr>
        <w:t>和</w:t>
      </w:r>
      <w:r>
        <w:rPr>
          <w:spacing w:val="24"/>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3"/>
        </w:rPr>
        <w:t>Cloud</w:t>
      </w:r>
      <w:r>
        <w:rPr>
          <w:spacing w:val="-3"/>
        </w:rPr>
        <w:t>餐饮管理系统，公司代理的</w:t>
      </w:r>
      <w:r>
        <w:rPr>
          <w:rFonts w:ascii="Times New Roman" w:hAnsi="Times New Roman" w:cs="Times New Roman" w:eastAsia="Times New Roman" w:hint="default"/>
          <w:spacing w:val="-3"/>
        </w:rPr>
        <w:t>ORACLE</w:t>
      </w:r>
      <w:r>
        <w:rPr>
          <w:rFonts w:ascii="Times New Roman" w:hAnsi="Times New Roman" w:cs="Times New Roman" w:eastAsia="Times New Roman" w:hint="default"/>
          <w:spacing w:val="-6"/>
        </w:rPr>
        <w:t> </w:t>
      </w:r>
      <w:r>
        <w:rPr>
          <w:rFonts w:ascii="Times New Roman" w:hAnsi="Times New Roman" w:cs="Times New Roman" w:eastAsia="Times New Roman" w:hint="default"/>
        </w:rPr>
        <w:t>OPERA</w:t>
      </w:r>
      <w:r>
        <w:rPr/>
        <w:t>酒店前台管理系统和</w:t>
      </w:r>
      <w:r>
        <w:rPr>
          <w:rFonts w:ascii="Times New Roman" w:hAnsi="Times New Roman" w:cs="Times New Roman" w:eastAsia="Times New Roman" w:hint="default"/>
        </w:rPr>
        <w:t>SIMPHONY</w:t>
      </w:r>
      <w:r>
        <w:rPr/>
        <w:t>餐饮管理系统，</w:t>
      </w:r>
      <w:r>
        <w:rPr>
          <w:spacing w:val="-101"/>
        </w:rPr>
        <w:t> </w:t>
      </w:r>
      <w:r>
        <w:rPr>
          <w:spacing w:val="-101"/>
        </w:rPr>
      </w:r>
      <w:r>
        <w:rPr/>
        <w:t>公司专门针对酒店业开发的石基酒店财务管理系统</w:t>
      </w:r>
      <w:r>
        <w:rPr>
          <w:rFonts w:ascii="Times New Roman" w:hAnsi="Times New Roman" w:cs="Times New Roman" w:eastAsia="Times New Roman" w:hint="default"/>
        </w:rPr>
        <w:t>Shiji AC</w:t>
      </w:r>
      <w:r>
        <w:rPr/>
        <w:t>、采购</w:t>
      </w:r>
      <w:r>
        <w:rPr>
          <w:rFonts w:ascii="Times New Roman" w:hAnsi="Times New Roman" w:cs="Times New Roman" w:eastAsia="Times New Roman" w:hint="default"/>
        </w:rPr>
        <w:t>/</w:t>
      </w:r>
      <w:r>
        <w:rPr/>
        <w:t>仓库</w:t>
      </w:r>
      <w:r>
        <w:rPr>
          <w:rFonts w:ascii="Times New Roman" w:hAnsi="Times New Roman" w:cs="Times New Roman" w:eastAsia="Times New Roman" w:hint="default"/>
        </w:rPr>
        <w:t>/</w:t>
      </w:r>
      <w:r>
        <w:rPr/>
        <w:t>成本控制系统</w:t>
      </w:r>
      <w:r>
        <w:rPr>
          <w:rFonts w:ascii="Times New Roman" w:hAnsi="Times New Roman" w:cs="Times New Roman" w:eastAsia="Times New Roman" w:hint="default"/>
        </w:rPr>
        <w:t>Shiji PICC</w:t>
      </w:r>
      <w:r>
        <w:rPr/>
        <w:t>、人力资</w:t>
      </w:r>
      <w:r>
        <w:rPr>
          <w:spacing w:val="-74"/>
        </w:rPr>
        <w:t> </w:t>
      </w:r>
      <w:r>
        <w:rPr>
          <w:spacing w:val="-74"/>
        </w:rPr>
      </w:r>
      <w:r>
        <w:rPr>
          <w:spacing w:val="23"/>
        </w:rPr>
        <w:t>源系统</w:t>
      </w:r>
      <w:r>
        <w:rPr>
          <w:spacing w:val="-69"/>
        </w:rPr>
        <w:t> </w:t>
      </w:r>
      <w:r>
        <w:rPr>
          <w:rFonts w:ascii="Times New Roman" w:hAnsi="Times New Roman" w:cs="Times New Roman" w:eastAsia="Times New Roman" w:hint="default"/>
        </w:rPr>
        <w:t>Shiji</w:t>
      </w:r>
      <w:r>
        <w:rPr>
          <w:rFonts w:ascii="Times New Roman" w:hAnsi="Times New Roman" w:cs="Times New Roman" w:eastAsia="Times New Roman" w:hint="default"/>
          <w:spacing w:val="17"/>
        </w:rPr>
        <w:t> </w:t>
      </w:r>
      <w:r>
        <w:rPr>
          <w:rFonts w:ascii="Times New Roman" w:hAnsi="Times New Roman" w:cs="Times New Roman" w:eastAsia="Times New Roman" w:hint="default"/>
        </w:rPr>
        <w:t>HRMS</w:t>
      </w:r>
      <w:r>
        <w:rPr>
          <w:rFonts w:ascii="Times New Roman" w:hAnsi="Times New Roman" w:cs="Times New Roman" w:eastAsia="Times New Roman" w:hint="default"/>
          <w:spacing w:val="-17"/>
        </w:rPr>
        <w:t> </w:t>
      </w:r>
      <w:r>
        <w:rPr/>
        <w:t>、</w:t>
      </w:r>
      <w:r>
        <w:rPr>
          <w:spacing w:val="-70"/>
        </w:rPr>
        <w:t> </w:t>
      </w:r>
      <w:r>
        <w:rPr/>
        <w:t>独</w:t>
      </w:r>
      <w:r>
        <w:rPr>
          <w:spacing w:val="-72"/>
        </w:rPr>
        <w:t> </w:t>
      </w:r>
      <w:r>
        <w:rPr/>
        <w:t>立</w:t>
      </w:r>
      <w:r>
        <w:rPr>
          <w:spacing w:val="-70"/>
        </w:rPr>
        <w:t> </w:t>
      </w:r>
      <w:r>
        <w:rPr/>
        <w:t>运</w:t>
      </w:r>
      <w:r>
        <w:rPr>
          <w:spacing w:val="-70"/>
        </w:rPr>
        <w:t> </w:t>
      </w:r>
      <w:r>
        <w:rPr/>
        <w:t>营</w:t>
      </w:r>
      <w:r>
        <w:rPr>
          <w:spacing w:val="-70"/>
        </w:rPr>
        <w:t> </w:t>
      </w:r>
      <w:r>
        <w:rPr/>
        <w:t>的</w:t>
      </w:r>
      <w:r>
        <w:rPr>
          <w:spacing w:val="-70"/>
        </w:rPr>
        <w:t> </w:t>
      </w:r>
      <w:r>
        <w:rPr/>
        <w:t>石</w:t>
      </w:r>
      <w:r>
        <w:rPr>
          <w:spacing w:val="-70"/>
        </w:rPr>
        <w:t> </w:t>
      </w:r>
      <w:r>
        <w:rPr/>
        <w:t>基</w:t>
      </w:r>
      <w:r>
        <w:rPr>
          <w:spacing w:val="-70"/>
        </w:rPr>
        <w:t> </w:t>
      </w:r>
      <w:r>
        <w:rPr/>
        <w:t>在</w:t>
      </w:r>
      <w:r>
        <w:rPr>
          <w:spacing w:val="-70"/>
        </w:rPr>
        <w:t> </w:t>
      </w:r>
      <w:r>
        <w:rPr/>
        <w:t>线</w:t>
      </w:r>
      <w:r>
        <w:rPr>
          <w:spacing w:val="-70"/>
        </w:rPr>
        <w:t> </w:t>
      </w:r>
      <w:r>
        <w:rPr/>
        <w:t>酒</w:t>
      </w:r>
      <w:r>
        <w:rPr>
          <w:spacing w:val="-70"/>
        </w:rPr>
        <w:t> </w:t>
      </w:r>
      <w:r>
        <w:rPr/>
        <w:t>店</w:t>
      </w:r>
      <w:r>
        <w:rPr>
          <w:spacing w:val="-70"/>
        </w:rPr>
        <w:t> </w:t>
      </w:r>
      <w:r>
        <w:rPr/>
        <w:t>预</w:t>
      </w:r>
      <w:r>
        <w:rPr>
          <w:spacing w:val="-70"/>
        </w:rPr>
        <w:t> </w:t>
      </w:r>
      <w:r>
        <w:rPr/>
        <w:t>订</w:t>
      </w:r>
      <w:r>
        <w:rPr>
          <w:spacing w:val="-70"/>
        </w:rPr>
        <w:t> </w:t>
      </w:r>
      <w:r>
        <w:rPr/>
        <w:t>交</w:t>
      </w:r>
      <w:r>
        <w:rPr>
          <w:spacing w:val="-70"/>
        </w:rPr>
        <w:t> </w:t>
      </w:r>
      <w:r>
        <w:rPr/>
        <w:t>易</w:t>
      </w:r>
      <w:r>
        <w:rPr>
          <w:spacing w:val="-70"/>
        </w:rPr>
        <w:t> </w:t>
      </w:r>
      <w:r>
        <w:rPr/>
        <w:t>处</w:t>
      </w:r>
      <w:r>
        <w:rPr>
          <w:spacing w:val="-70"/>
        </w:rPr>
        <w:t> </w:t>
      </w:r>
      <w:r>
        <w:rPr/>
        <w:t>理</w:t>
      </w:r>
      <w:r>
        <w:rPr>
          <w:spacing w:val="-70"/>
        </w:rPr>
        <w:t> </w:t>
      </w:r>
      <w:r>
        <w:rPr/>
        <w:t>平</w:t>
      </w:r>
      <w:r>
        <w:rPr>
          <w:spacing w:val="-70"/>
        </w:rPr>
        <w:t> </w:t>
      </w:r>
      <w:r>
        <w:rPr/>
        <w:t>台</w:t>
      </w:r>
      <w:r>
        <w:rPr>
          <w:spacing w:val="-63"/>
        </w:rPr>
        <w:t> </w:t>
      </w:r>
      <w:r>
        <w:rPr>
          <w:rFonts w:ascii="Times New Roman" w:hAnsi="Times New Roman" w:cs="Times New Roman" w:eastAsia="Times New Roman" w:hint="default"/>
        </w:rPr>
        <w:t>Shiji</w:t>
      </w:r>
      <w:r>
        <w:rPr>
          <w:rFonts w:ascii="Times New Roman" w:hAnsi="Times New Roman" w:cs="Times New Roman" w:eastAsia="Times New Roman" w:hint="default"/>
          <w:spacing w:val="17"/>
        </w:rPr>
        <w:t> </w:t>
      </w:r>
      <w:r>
        <w:rPr>
          <w:rFonts w:ascii="Times New Roman" w:hAnsi="Times New Roman" w:cs="Times New Roman" w:eastAsia="Times New Roman" w:hint="default"/>
        </w:rPr>
        <w:t>distribution</w:t>
      </w:r>
      <w:r>
        <w:rPr>
          <w:rFonts w:ascii="Times New Roman" w:hAnsi="Times New Roman" w:cs="Times New Roman" w:eastAsia="Times New Roman" w:hint="default"/>
          <w:spacing w:val="18"/>
        </w:rPr>
        <w:t> </w:t>
      </w:r>
      <w:r>
        <w:rPr>
          <w:rFonts w:ascii="Times New Roman" w:hAnsi="Times New Roman" w:cs="Times New Roman" w:eastAsia="Times New Roman" w:hint="default"/>
        </w:rPr>
        <w:t>solutions</w:t>
      </w:r>
      <w:r>
        <w:rPr>
          <w:rFonts w:ascii="Times New Roman" w:hAnsi="Times New Roman" w:cs="Times New Roman" w:eastAsia="Times New Roman" w:hint="default"/>
          <w:spacing w:val="17"/>
        </w:rPr>
        <w:t> </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t>原</w:t>
      </w:r>
      <w:r>
        <w:rPr>
          <w:spacing w:val="-103"/>
        </w:rPr>
        <w:t> </w:t>
      </w:r>
      <w:r>
        <w:rPr>
          <w:rFonts w:ascii="Times New Roman" w:hAnsi="Times New Roman" w:cs="Times New Roman" w:eastAsia="Times New Roman" w:hint="default"/>
        </w:rPr>
        <w:t>CHINAONLINE</w:t>
      </w:r>
      <w:r>
        <w:rPr/>
        <w:t>（畅联）升级更名</w:t>
      </w:r>
      <w:r>
        <w:rPr>
          <w:rFonts w:ascii="Times New Roman" w:hAnsi="Times New Roman" w:cs="Times New Roman" w:eastAsia="Times New Roman" w:hint="default"/>
        </w:rPr>
        <w:t>]</w:t>
      </w:r>
      <w:r>
        <w:rPr/>
        <w:t>等。此外公司还拥有专门从事酒店中央预订系统</w:t>
      </w:r>
      <w:r>
        <w:rPr>
          <w:rFonts w:ascii="Times New Roman" w:hAnsi="Times New Roman" w:cs="Times New Roman" w:eastAsia="Times New Roman" w:hint="default"/>
        </w:rPr>
        <w:t>/</w:t>
      </w:r>
      <w:r>
        <w:rPr/>
        <w:t>会员管理系统研发的</w:t>
      </w:r>
      <w:r>
        <w:rPr>
          <w:spacing w:val="-32"/>
        </w:rPr>
        <w:t> </w:t>
      </w:r>
      <w:r>
        <w:rPr>
          <w:spacing w:val="-32"/>
        </w:rPr>
      </w:r>
      <w:r>
        <w:rPr>
          <w:spacing w:val="-5"/>
        </w:rPr>
        <w:t>控股子公司石基昆仑，专业从事支付产品开发与销售的全资子公司南京银石，公司还拥有控股子公司浩华， </w:t>
      </w:r>
      <w:r>
        <w:rPr>
          <w:spacing w:val="-5"/>
        </w:rPr>
      </w:r>
      <w:r>
        <w:rPr>
          <w:spacing w:val="-2"/>
        </w:rPr>
        <w:t>专业从事酒店开发咨询与顾问服务；公司的全资子公司杭州西软、广州万迅和航信华仪分别拥有满足本土</w:t>
      </w:r>
      <w:r>
        <w:rPr>
          <w:spacing w:val="-42"/>
        </w:rPr>
        <w:t> </w:t>
      </w:r>
      <w:r>
        <w:rPr>
          <w:spacing w:val="-42"/>
        </w:rPr>
      </w:r>
      <w:r>
        <w:rPr/>
        <w:t>酒店需求的以</w:t>
      </w:r>
      <w:r>
        <w:rPr>
          <w:rFonts w:ascii="Times New Roman" w:hAnsi="Times New Roman" w:cs="Times New Roman" w:eastAsia="Times New Roman" w:hint="default"/>
        </w:rPr>
        <w:t>“</w:t>
      </w:r>
      <w:r>
        <w:rPr/>
        <w:t>西软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千里马</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华仪</w:t>
      </w:r>
      <w:r>
        <w:rPr>
          <w:rFonts w:ascii="Times New Roman" w:hAnsi="Times New Roman" w:cs="Times New Roman" w:eastAsia="Times New Roman" w:hint="default"/>
        </w:rPr>
        <w:t>”</w:t>
      </w:r>
      <w:r>
        <w:rPr/>
        <w:t>为品牌的全套酒店信息管理系统。在海外，全资子公司石基德国</w:t>
      </w:r>
    </w:p>
    <w:p>
      <w:pPr>
        <w:pStyle w:val="BodyText"/>
        <w:spacing w:line="256" w:lineRule="auto"/>
        <w:ind w:right="1128"/>
        <w:jc w:val="both"/>
      </w:pPr>
      <w:r>
        <w:rPr/>
        <w:t>（</w:t>
      </w:r>
      <w:r>
        <w:rPr>
          <w:rFonts w:ascii="Times New Roman" w:hAnsi="Times New Roman" w:cs="Times New Roman" w:eastAsia="Times New Roman" w:hint="default"/>
        </w:rPr>
        <w:t>Shiji Deutschland</w:t>
      </w:r>
      <w:r>
        <w:rPr/>
        <w:t>）主要从事基于云的酒店信息管理系统开发与销售；全资子公司</w:t>
      </w:r>
      <w:r>
        <w:rPr>
          <w:rFonts w:ascii="Times New Roman" w:hAnsi="Times New Roman" w:cs="Times New Roman" w:eastAsia="Times New Roman" w:hint="default"/>
        </w:rPr>
        <w:t>Snapshot</w:t>
      </w:r>
      <w:r>
        <w:rPr>
          <w:rFonts w:ascii="Times New Roman" w:hAnsi="Times New Roman" w:cs="Times New Roman" w:eastAsia="Times New Roman" w:hint="default"/>
          <w:spacing w:val="11"/>
        </w:rPr>
        <w:t> </w:t>
      </w:r>
      <w:r>
        <w:rPr>
          <w:rFonts w:ascii="Times New Roman" w:hAnsi="Times New Roman" w:cs="Times New Roman" w:eastAsia="Times New Roman" w:hint="default"/>
        </w:rPr>
        <w:t>GmbH</w:t>
      </w:r>
      <w:r>
        <w:rPr/>
        <w:t>（以下</w:t>
      </w:r>
      <w:r>
        <w:rPr>
          <w:spacing w:val="-3"/>
          <w:w w:val="100"/>
        </w:rPr>
        <w:t> </w:t>
      </w:r>
      <w:r>
        <w:rPr/>
        <w:t>简称</w:t>
      </w:r>
      <w:r>
        <w:rPr>
          <w:rFonts w:ascii="Times New Roman" w:hAnsi="Times New Roman" w:cs="Times New Roman" w:eastAsia="Times New Roman" w:hint="default"/>
        </w:rPr>
        <w:t>“Snapshot”</w:t>
      </w:r>
      <w:r>
        <w:rPr/>
        <w:t>）主要从事酒店数据平台的建设与应用开发、酒店商业策略等线上线下培训及酒店需求管</w:t>
      </w:r>
      <w:r>
        <w:rPr>
          <w:spacing w:val="-37"/>
        </w:rPr>
        <w:t> </w:t>
      </w:r>
      <w:r>
        <w:rPr>
          <w:spacing w:val="-37"/>
        </w:rPr>
      </w:r>
      <w:r>
        <w:rPr>
          <w:spacing w:val="-2"/>
        </w:rPr>
        <w:t>理咨询服务三大类业务；</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月公司控股全球领先的酒店声誉管理公司</w:t>
      </w:r>
      <w:r>
        <w:rPr>
          <w:rFonts w:ascii="Times New Roman" w:hAnsi="Times New Roman" w:cs="Times New Roman" w:eastAsia="Times New Roman" w:hint="default"/>
          <w:spacing w:val="-2"/>
        </w:rPr>
        <w:t>RR</w:t>
      </w:r>
      <w:r>
        <w:rPr>
          <w:spacing w:val="-2"/>
        </w:rPr>
        <w:t>公司完善了公司云和数据生</w:t>
      </w:r>
      <w:r>
        <w:rPr>
          <w:spacing w:val="-3"/>
        </w:rPr>
        <w:t> </w:t>
      </w:r>
      <w:r>
        <w:rPr>
          <w:spacing w:val="-3"/>
        </w:rPr>
      </w:r>
      <w:r>
        <w:rPr>
          <w:spacing w:val="-2"/>
        </w:rPr>
        <w:t>态；</w:t>
      </w:r>
      <w:r>
        <w:rPr>
          <w:rFonts w:ascii="Times New Roman" w:hAnsi="Times New Roman" w:cs="Times New Roman" w:eastAsia="Times New Roman" w:hint="default"/>
          <w:spacing w:val="-2"/>
        </w:rPr>
        <w:t>2018</w:t>
      </w:r>
      <w:r>
        <w:rPr>
          <w:spacing w:val="-2"/>
        </w:rPr>
        <w:t>年度，公司全资收购的</w:t>
      </w:r>
      <w:r>
        <w:rPr>
          <w:rFonts w:ascii="Times New Roman" w:hAnsi="Times New Roman" w:cs="Times New Roman" w:eastAsia="Times New Roman" w:hint="default"/>
          <w:spacing w:val="-2"/>
        </w:rPr>
        <w:t>StayNTouch</w:t>
      </w:r>
      <w:r>
        <w:rPr>
          <w:spacing w:val="-2"/>
        </w:rPr>
        <w:t>提供基于云端的移动酒店管理解决方案，能更好实现跨酒店和</w:t>
      </w:r>
      <w:r>
        <w:rPr>
          <w:spacing w:val="-45"/>
        </w:rPr>
        <w:t> </w:t>
      </w:r>
      <w:r>
        <w:rPr>
          <w:spacing w:val="-45"/>
        </w:rPr>
      </w:r>
      <w:r>
        <w:rPr/>
        <w:t>多系统的无缝对接；</w:t>
      </w:r>
      <w:r>
        <w:rPr>
          <w:rFonts w:ascii="Times New Roman" w:hAnsi="Times New Roman" w:cs="Times New Roman" w:eastAsia="Times New Roman" w:hint="default"/>
        </w:rPr>
        <w:t>2018</w:t>
      </w:r>
      <w:r>
        <w:rPr/>
        <w:t>年公司全资收购的</w:t>
      </w:r>
      <w:r>
        <w:rPr>
          <w:rFonts w:ascii="Times New Roman" w:hAnsi="Times New Roman" w:cs="Times New Roman" w:eastAsia="Times New Roman" w:hint="default"/>
        </w:rPr>
        <w:t>CONCEPTEK- SISTEMAS DE INFORMAÇÃO</w:t>
      </w:r>
      <w:r>
        <w:rPr>
          <w:rFonts w:ascii="Times New Roman" w:hAnsi="Times New Roman" w:cs="Times New Roman" w:eastAsia="Times New Roman" w:hint="default"/>
          <w:spacing w:val="-16"/>
        </w:rPr>
        <w:t> </w:t>
      </w:r>
      <w:r>
        <w:rPr>
          <w:rFonts w:ascii="Times New Roman" w:hAnsi="Times New Roman" w:cs="Times New Roman" w:eastAsia="Times New Roman" w:hint="default"/>
        </w:rPr>
        <w:t>S.A.</w:t>
      </w:r>
      <w:r>
        <w:rPr/>
        <w:t>（以下简称</w:t>
      </w:r>
      <w:r>
        <w:rPr>
          <w:w w:val="100"/>
        </w:rPr>
        <w:t> </w:t>
      </w:r>
      <w:r>
        <w:rPr>
          <w:rFonts w:ascii="Times New Roman" w:hAnsi="Times New Roman" w:cs="Times New Roman" w:eastAsia="Times New Roman" w:hint="default"/>
        </w:rPr>
        <w:t>“CONCEPT”</w:t>
      </w:r>
      <w:r>
        <w:rPr/>
        <w:t>）提供行业领先的高尔夫及水疗管理解决方案；此外，为了将公司高端酒店信息系统业务向</w:t>
      </w:r>
    </w:p>
    <w:p>
      <w:pPr>
        <w:pStyle w:val="BodyText"/>
        <w:spacing w:line="240" w:lineRule="auto" w:before="5"/>
        <w:ind w:right="0"/>
        <w:jc w:val="left"/>
        <w:rPr>
          <w:rFonts w:ascii="Times New Roman" w:hAnsi="Times New Roman" w:cs="Times New Roman" w:eastAsia="Times New Roman" w:hint="default"/>
        </w:rPr>
      </w:pPr>
      <w:r>
        <w:rPr>
          <w:w w:val="100"/>
        </w:rPr>
        <w:t>海外</w:t>
      </w:r>
      <w:r>
        <w:rPr>
          <w:spacing w:val="-3"/>
          <w:w w:val="100"/>
        </w:rPr>
        <w:t>市</w:t>
      </w:r>
      <w:r>
        <w:rPr>
          <w:w w:val="100"/>
        </w:rPr>
        <w:t>场</w:t>
      </w:r>
      <w:r>
        <w:rPr>
          <w:spacing w:val="-3"/>
          <w:w w:val="100"/>
        </w:rPr>
        <w:t>拓展</w:t>
      </w:r>
      <w:r>
        <w:rPr>
          <w:spacing w:val="-70"/>
          <w:w w:val="100"/>
        </w:rPr>
        <w:t>，</w:t>
      </w:r>
      <w:r>
        <w:rPr>
          <w:spacing w:val="-3"/>
          <w:w w:val="100"/>
        </w:rPr>
        <w:t>公</w:t>
      </w:r>
      <w:r>
        <w:rPr>
          <w:w w:val="100"/>
        </w:rPr>
        <w:t>司</w:t>
      </w:r>
      <w:r>
        <w:rPr>
          <w:spacing w:val="-3"/>
          <w:w w:val="100"/>
        </w:rPr>
        <w:t>设</w:t>
      </w:r>
      <w:r>
        <w:rPr>
          <w:w w:val="100"/>
        </w:rPr>
        <w:t>立</w:t>
      </w:r>
      <w:r>
        <w:rPr>
          <w:spacing w:val="-3"/>
          <w:w w:val="100"/>
        </w:rPr>
        <w:t>了</w:t>
      </w:r>
      <w:r>
        <w:rPr>
          <w:w w:val="100"/>
        </w:rPr>
        <w:t>一系</w:t>
      </w:r>
      <w:r>
        <w:rPr>
          <w:spacing w:val="-3"/>
          <w:w w:val="100"/>
        </w:rPr>
        <w:t>列</w:t>
      </w:r>
      <w:r>
        <w:rPr>
          <w:w w:val="100"/>
        </w:rPr>
        <w:t>海</w:t>
      </w:r>
      <w:r>
        <w:rPr>
          <w:spacing w:val="-3"/>
          <w:w w:val="100"/>
        </w:rPr>
        <w:t>外</w:t>
      </w:r>
      <w:r>
        <w:rPr>
          <w:w w:val="100"/>
        </w:rPr>
        <w:t>全</w:t>
      </w:r>
      <w:r>
        <w:rPr>
          <w:spacing w:val="-3"/>
          <w:w w:val="100"/>
        </w:rPr>
        <w:t>资</w:t>
      </w:r>
      <w:r>
        <w:rPr>
          <w:w w:val="100"/>
        </w:rPr>
        <w:t>子</w:t>
      </w:r>
      <w:r>
        <w:rPr>
          <w:spacing w:val="-3"/>
          <w:w w:val="100"/>
        </w:rPr>
        <w:t>公司</w:t>
      </w:r>
      <w:r>
        <w:rPr>
          <w:spacing w:val="-70"/>
          <w:w w:val="100"/>
        </w:rPr>
        <w:t>，</w:t>
      </w:r>
      <w:r>
        <w:rPr>
          <w:spacing w:val="-3"/>
          <w:w w:val="100"/>
        </w:rPr>
        <w:t>包</w:t>
      </w:r>
      <w:r>
        <w:rPr>
          <w:w w:val="100"/>
        </w:rPr>
        <w:t>括</w:t>
      </w:r>
      <w:r>
        <w:rPr>
          <w:rFonts w:ascii="Times New Roman" w:hAnsi="Times New Roman" w:cs="Times New Roman" w:eastAsia="Times New Roman" w:hint="default"/>
          <w:w w:val="100"/>
        </w:rPr>
        <w:t>Sh</w:t>
      </w:r>
      <w:r>
        <w:rPr>
          <w:rFonts w:ascii="Times New Roman" w:hAnsi="Times New Roman" w:cs="Times New Roman" w:eastAsia="Times New Roman" w:hint="default"/>
          <w:spacing w:val="-1"/>
          <w:w w:val="100"/>
        </w:rPr>
        <w:t>i</w:t>
      </w:r>
      <w:r>
        <w:rPr>
          <w:rFonts w:ascii="Times New Roman" w:hAnsi="Times New Roman" w:cs="Times New Roman" w:eastAsia="Times New Roman" w:hint="default"/>
          <w:spacing w:val="-2"/>
          <w:w w:val="100"/>
        </w:rPr>
        <w:t>j</w:t>
      </w:r>
      <w:r>
        <w:rPr>
          <w:rFonts w:ascii="Times New Roman" w:hAnsi="Times New Roman" w:cs="Times New Roman" w:eastAsia="Times New Roman" w:hint="default"/>
          <w:w w:val="100"/>
        </w:rPr>
        <w:t>i</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2"/>
          <w:w w:val="100"/>
        </w:rPr>
        <w:t>U</w:t>
      </w:r>
      <w:r>
        <w:rPr>
          <w:rFonts w:ascii="Times New Roman" w:hAnsi="Times New Roman" w:cs="Times New Roman" w:eastAsia="Times New Roman" w:hint="default"/>
          <w:w w:val="100"/>
        </w:rPr>
        <w:t>S)</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5"/>
          <w:w w:val="100"/>
        </w:rPr>
        <w:t>L</w:t>
      </w:r>
      <w:r>
        <w:rPr>
          <w:rFonts w:ascii="Times New Roman" w:hAnsi="Times New Roman" w:cs="Times New Roman" w:eastAsia="Times New Roman" w:hint="default"/>
          <w:spacing w:val="-2"/>
          <w:w w:val="100"/>
        </w:rPr>
        <w:t>t</w:t>
      </w:r>
      <w:r>
        <w:rPr>
          <w:rFonts w:ascii="Times New Roman" w:hAnsi="Times New Roman" w:cs="Times New Roman" w:eastAsia="Times New Roman" w:hint="default"/>
          <w:spacing w:val="-17"/>
          <w:w w:val="100"/>
        </w:rPr>
        <w:t>d</w:t>
      </w:r>
      <w:r>
        <w:rPr>
          <w:spacing w:val="-195"/>
          <w:w w:val="100"/>
        </w:rPr>
        <w:t>（</w:t>
      </w:r>
      <w:r>
        <w:rPr>
          <w:rFonts w:ascii="Times New Roman" w:hAnsi="Times New Roman" w:cs="Times New Roman" w:eastAsia="Times New Roman"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6"/>
        </w:rPr>
        <w:t> </w:t>
      </w:r>
      <w:r>
        <w:rPr>
          <w:w w:val="100"/>
        </w:rPr>
        <w:t>以</w:t>
      </w:r>
      <w:r>
        <w:rPr>
          <w:spacing w:val="-3"/>
          <w:w w:val="100"/>
        </w:rPr>
        <w:t>下</w:t>
      </w:r>
      <w:r>
        <w:rPr>
          <w:w w:val="100"/>
        </w:rPr>
        <w:t>简</w:t>
      </w:r>
      <w:r>
        <w:rPr>
          <w:spacing w:val="-3"/>
          <w:w w:val="100"/>
        </w:rPr>
        <w:t>称</w:t>
      </w:r>
      <w:r>
        <w:rPr>
          <w:rFonts w:ascii="Times New Roman" w:hAnsi="Times New Roman" w:cs="Times New Roman" w:eastAsia="Times New Roman" w:hint="default"/>
          <w:spacing w:val="-1"/>
          <w:w w:val="100"/>
        </w:rPr>
        <w:t>“</w:t>
      </w:r>
      <w:r>
        <w:rPr>
          <w:w w:val="100"/>
        </w:rPr>
        <w:t>石</w:t>
      </w:r>
      <w:r>
        <w:rPr>
          <w:spacing w:val="-3"/>
          <w:w w:val="100"/>
        </w:rPr>
        <w:t>基</w:t>
      </w:r>
      <w:r>
        <w:rPr>
          <w:w w:val="100"/>
        </w:rPr>
        <w:t>美国</w:t>
      </w:r>
      <w:r>
        <w:rPr>
          <w:rFonts w:ascii="Times New Roman" w:hAnsi="Times New Roman" w:cs="Times New Roman" w:eastAsia="Times New Roman" w:hint="default"/>
          <w:spacing w:val="-3"/>
          <w:w w:val="100"/>
        </w:rPr>
        <w:t>”</w:t>
      </w:r>
      <w:r>
        <w:rPr>
          <w:spacing w:val="-72"/>
          <w:w w:val="100"/>
        </w:rPr>
        <w:t>）</w:t>
      </w:r>
      <w:r>
        <w:rPr>
          <w:spacing w:val="-70"/>
          <w:w w:val="100"/>
        </w:rPr>
        <w:t>、</w:t>
      </w:r>
      <w:r>
        <w:rPr>
          <w:rFonts w:ascii="Times New Roman" w:hAnsi="Times New Roman" w:cs="Times New Roman" w:eastAsia="Times New Roman" w:hint="default"/>
          <w:spacing w:val="-3"/>
          <w:w w:val="100"/>
        </w:rPr>
        <w:t>S</w:t>
      </w:r>
      <w:r>
        <w:rPr>
          <w:rFonts w:ascii="Times New Roman" w:hAnsi="Times New Roman" w:cs="Times New Roman" w:eastAsia="Times New Roman" w:hint="default"/>
          <w:w w:val="100"/>
        </w:rPr>
        <w:t>h</w:t>
      </w:r>
      <w:r>
        <w:rPr>
          <w:rFonts w:ascii="Times New Roman" w:hAnsi="Times New Roman" w:cs="Times New Roman" w:eastAsia="Times New Roman" w:hint="default"/>
          <w:spacing w:val="-2"/>
          <w:w w:val="100"/>
        </w:rPr>
        <w:t>ij</w:t>
      </w:r>
      <w:r>
        <w:rPr>
          <w:rFonts w:ascii="Times New Roman" w:hAnsi="Times New Roman" w:cs="Times New Roman" w:eastAsia="Times New Roman" w:hint="default"/>
          <w:w w:val="100"/>
        </w:rPr>
        <w:t>i</w:t>
      </w:r>
      <w:r>
        <w:rPr>
          <w:rFonts w:ascii="Times New Roman" w:hAnsi="Times New Roman" w:cs="Times New Roman" w:eastAsia="Times New Roman" w:hint="default"/>
          <w:spacing w:val="-11"/>
        </w:rPr>
        <w:t> </w:t>
      </w:r>
      <w:r>
        <w:rPr>
          <w:rFonts w:ascii="Times New Roman" w:hAnsi="Times New Roman" w:cs="Times New Roman" w:eastAsia="Times New Roman" w:hint="default"/>
          <w:w w:val="100"/>
        </w:rPr>
        <w:t>G</w:t>
      </w:r>
      <w:r>
        <w:rPr>
          <w:rFonts w:ascii="Times New Roman" w:hAnsi="Times New Roman" w:cs="Times New Roman" w:eastAsia="Times New Roman" w:hint="default"/>
          <w:spacing w:val="-4"/>
          <w:w w:val="100"/>
        </w:rPr>
        <w:t>m</w:t>
      </w:r>
      <w:r>
        <w:rPr>
          <w:rFonts w:ascii="Times New Roman" w:hAnsi="Times New Roman" w:cs="Times New Roman" w:eastAsia="Times New Roman" w:hint="default"/>
          <w:w w:val="100"/>
        </w:rPr>
        <w:t>bH</w:t>
      </w:r>
    </w:p>
    <w:p>
      <w:pPr>
        <w:pStyle w:val="BodyText"/>
        <w:spacing w:line="240" w:lineRule="auto" w:before="21"/>
        <w:ind w:right="0"/>
        <w:jc w:val="left"/>
      </w:pPr>
      <w:r>
        <w:rPr/>
        <w:t>（以下简称</w:t>
      </w:r>
      <w:r>
        <w:rPr>
          <w:rFonts w:ascii="Times New Roman" w:hAnsi="Times New Roman" w:cs="Times New Roman" w:eastAsia="Times New Roman" w:hint="default"/>
        </w:rPr>
        <w:t>“</w:t>
      </w:r>
      <w:r>
        <w:rPr/>
        <w:t>石基欧洲</w:t>
      </w:r>
      <w:r>
        <w:rPr>
          <w:rFonts w:ascii="Times New Roman" w:hAnsi="Times New Roman" w:cs="Times New Roman" w:eastAsia="Times New Roman" w:hint="default"/>
        </w:rPr>
        <w:t>”</w:t>
      </w:r>
      <w:r>
        <w:rPr/>
        <w:t>）、</w:t>
      </w:r>
      <w:r>
        <w:rPr>
          <w:rFonts w:ascii="Times New Roman" w:hAnsi="Times New Roman" w:cs="Times New Roman" w:eastAsia="Times New Roman" w:hint="default"/>
        </w:rPr>
        <w:t>Shiji(</w:t>
      </w:r>
      <w:r>
        <w:rPr>
          <w:rFonts w:ascii="Times New Roman" w:hAnsi="Times New Roman" w:cs="Times New Roman" w:eastAsia="Times New Roman" w:hint="default"/>
          <w:spacing w:val="-19"/>
        </w:rPr>
        <w:t> </w:t>
      </w:r>
      <w:r>
        <w:rPr>
          <w:rFonts w:ascii="Times New Roman" w:hAnsi="Times New Roman" w:cs="Times New Roman" w:eastAsia="Times New Roman" w:hint="default"/>
        </w:rPr>
        <w:t>Macau)</w:t>
      </w:r>
      <w:r>
        <w:rPr>
          <w:rFonts w:ascii="Times New Roman" w:hAnsi="Times New Roman" w:cs="Times New Roman" w:eastAsia="Times New Roman" w:hint="default"/>
          <w:spacing w:val="-19"/>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w:t>
      </w:r>
      <w:r>
        <w:rPr/>
        <w:t>石基澳门</w:t>
      </w:r>
      <w:r>
        <w:rPr>
          <w:rFonts w:ascii="Times New Roman" w:hAnsi="Times New Roman" w:cs="Times New Roman" w:eastAsia="Times New Roman" w:hint="default"/>
        </w:rPr>
        <w:t>”</w:t>
      </w:r>
      <w:r>
        <w:rPr/>
        <w:t>）、</w:t>
      </w:r>
      <w:r>
        <w:rPr>
          <w:rFonts w:ascii="Times New Roman" w:hAnsi="Times New Roman" w:cs="Times New Roman" w:eastAsia="Times New Roman" w:hint="default"/>
        </w:rPr>
        <w:t>Shiji</w:t>
      </w:r>
      <w:r>
        <w:rPr>
          <w:rFonts w:ascii="Times New Roman" w:hAnsi="Times New Roman" w:cs="Times New Roman" w:eastAsia="Times New Roman" w:hint="default"/>
          <w:spacing w:val="-19"/>
        </w:rPr>
        <w:t> </w:t>
      </w:r>
      <w:r>
        <w:rPr>
          <w:rFonts w:ascii="Times New Roman" w:hAnsi="Times New Roman" w:cs="Times New Roman" w:eastAsia="Times New Roman" w:hint="default"/>
        </w:rPr>
        <w:t>(Singapore)</w:t>
      </w:r>
      <w:r>
        <w:rPr>
          <w:rFonts w:ascii="Times New Roman" w:hAnsi="Times New Roman" w:cs="Times New Roman" w:eastAsia="Times New Roman" w:hint="default"/>
          <w:spacing w:val="-21"/>
        </w:rPr>
        <w:t> </w:t>
      </w:r>
      <w:r>
        <w:rPr>
          <w:rFonts w:ascii="Times New Roman" w:hAnsi="Times New Roman" w:cs="Times New Roman" w:eastAsia="Times New Roman" w:hint="default"/>
        </w:rPr>
        <w:t>Pte.</w:t>
      </w:r>
      <w:r>
        <w:rPr>
          <w:rFonts w:ascii="Times New Roman" w:hAnsi="Times New Roman" w:cs="Times New Roman" w:eastAsia="Times New Roman" w:hint="default"/>
          <w:spacing w:val="-20"/>
        </w:rPr>
        <w:t> </w:t>
      </w:r>
      <w:r>
        <w:rPr>
          <w:rFonts w:ascii="Times New Roman" w:hAnsi="Times New Roman" w:cs="Times New Roman" w:eastAsia="Times New Roman" w:hint="default"/>
        </w:rPr>
        <w:t>Ltd.</w:t>
      </w:r>
      <w:r>
        <w:rPr/>
        <w:t>（以下</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rPr>
          <w:rFonts w:ascii="Times New Roman" w:hAnsi="Times New Roman" w:cs="Times New Roman" w:eastAsia="Times New Roman" w:hint="default"/>
        </w:rPr>
      </w:pPr>
      <w:r>
        <w:rPr>
          <w:spacing w:val="-3"/>
        </w:rPr>
        <w:t>简称</w:t>
      </w:r>
      <w:r>
        <w:rPr>
          <w:rFonts w:ascii="Times New Roman" w:hAnsi="Times New Roman" w:cs="Times New Roman" w:eastAsia="Times New Roman" w:hint="default"/>
          <w:spacing w:val="-3"/>
        </w:rPr>
        <w:t>“</w:t>
      </w:r>
      <w:r>
        <w:rPr>
          <w:spacing w:val="-3"/>
        </w:rPr>
        <w:t>石基新加坡</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SHIJI </w:t>
      </w:r>
      <w:r>
        <w:rPr>
          <w:rFonts w:ascii="Times New Roman" w:hAnsi="Times New Roman" w:cs="Times New Roman" w:eastAsia="Times New Roman" w:hint="default"/>
        </w:rPr>
        <w:t>(AUSTRALIA) PTY </w:t>
      </w:r>
      <w:r>
        <w:rPr>
          <w:rFonts w:ascii="Times New Roman" w:hAnsi="Times New Roman" w:cs="Times New Roman" w:eastAsia="Times New Roman" w:hint="default"/>
          <w:spacing w:val="-4"/>
        </w:rPr>
        <w:t>LTD</w:t>
      </w:r>
      <w:r>
        <w:rPr>
          <w:spacing w:val="-4"/>
        </w:rPr>
        <w:t>（以下简称</w:t>
      </w:r>
      <w:r>
        <w:rPr>
          <w:rFonts w:ascii="Times New Roman" w:hAnsi="Times New Roman" w:cs="Times New Roman" w:eastAsia="Times New Roman" w:hint="default"/>
          <w:spacing w:val="-4"/>
        </w:rPr>
        <w:t>“</w:t>
      </w:r>
      <w:r>
        <w:rPr>
          <w:spacing w:val="-4"/>
        </w:rPr>
        <w:t>石基澳大利亚</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Shiji </w:t>
      </w:r>
      <w:r>
        <w:rPr>
          <w:rFonts w:ascii="Times New Roman" w:hAnsi="Times New Roman" w:cs="Times New Roman" w:eastAsia="Times New Roman" w:hint="default"/>
        </w:rPr>
        <w:t>Malaysia Sdn</w:t>
      </w:r>
      <w:r>
        <w:rPr>
          <w:rFonts w:ascii="Times New Roman" w:hAnsi="Times New Roman" w:cs="Times New Roman" w:eastAsia="Times New Roman" w:hint="default"/>
          <w:spacing w:val="-17"/>
        </w:rPr>
        <w:t> </w:t>
      </w:r>
      <w:r>
        <w:rPr>
          <w:rFonts w:ascii="Times New Roman" w:hAnsi="Times New Roman" w:cs="Times New Roman" w:eastAsia="Times New Roman" w:hint="default"/>
        </w:rPr>
        <w:t>Bhd</w:t>
      </w:r>
    </w:p>
    <w:p>
      <w:pPr>
        <w:pStyle w:val="BodyText"/>
        <w:spacing w:line="256" w:lineRule="auto" w:before="21"/>
        <w:ind w:right="1128"/>
        <w:jc w:val="both"/>
      </w:pPr>
      <w:r>
        <w:rPr>
          <w:spacing w:val="-4"/>
        </w:rPr>
        <w:t>（以下简称</w:t>
      </w:r>
      <w:r>
        <w:rPr>
          <w:rFonts w:ascii="Times New Roman" w:hAnsi="Times New Roman" w:cs="Times New Roman" w:eastAsia="Times New Roman" w:hint="default"/>
          <w:spacing w:val="-4"/>
        </w:rPr>
        <w:t>“</w:t>
      </w:r>
      <w:r>
        <w:rPr>
          <w:spacing w:val="-4"/>
        </w:rPr>
        <w:t>石基马来西亚</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Shiji</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5"/>
        </w:rPr>
        <w:t>Japan</w:t>
      </w:r>
      <w:r>
        <w:rPr>
          <w:spacing w:val="-5"/>
        </w:rPr>
        <w:t>株式会社（以下简称</w:t>
      </w:r>
      <w:r>
        <w:rPr>
          <w:rFonts w:ascii="Times New Roman" w:hAnsi="Times New Roman" w:cs="Times New Roman" w:eastAsia="Times New Roman" w:hint="default"/>
          <w:spacing w:val="-5"/>
        </w:rPr>
        <w:t>“</w:t>
      </w:r>
      <w:r>
        <w:rPr>
          <w:spacing w:val="-5"/>
        </w:rPr>
        <w:t>石基日本</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Shiji</w:t>
      </w:r>
      <w:r>
        <w:rPr>
          <w:rFonts w:ascii="Times New Roman" w:hAnsi="Times New Roman" w:cs="Times New Roman" w:eastAsia="Times New Roman" w:hint="default"/>
          <w:spacing w:val="4"/>
        </w:rPr>
        <w:t> </w:t>
      </w:r>
      <w:r>
        <w:rPr>
          <w:rFonts w:ascii="Times New Roman" w:hAnsi="Times New Roman" w:cs="Times New Roman" w:eastAsia="Times New Roman" w:hint="default"/>
        </w:rPr>
        <w:t>Middle</w:t>
      </w:r>
      <w:r>
        <w:rPr>
          <w:rFonts w:ascii="Times New Roman" w:hAnsi="Times New Roman" w:cs="Times New Roman" w:eastAsia="Times New Roman" w:hint="default"/>
          <w:spacing w:val="5"/>
        </w:rPr>
        <w:t> </w:t>
      </w:r>
      <w:r>
        <w:rPr>
          <w:rFonts w:ascii="Times New Roman" w:hAnsi="Times New Roman" w:cs="Times New Roman" w:eastAsia="Times New Roman" w:hint="default"/>
        </w:rPr>
        <w:t>East-FZ</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t>LLC</w:t>
      </w:r>
      <w:r>
        <w:rPr>
          <w:spacing w:val="-6"/>
        </w:rPr>
        <w:t>（以</w:t>
      </w:r>
      <w:r>
        <w:rPr>
          <w:spacing w:val="-94"/>
        </w:rPr>
        <w:t> </w:t>
      </w:r>
      <w:r>
        <w:rPr/>
        <w:t>下简称</w:t>
      </w:r>
      <w:r>
        <w:rPr>
          <w:rFonts w:ascii="Times New Roman" w:hAnsi="Times New Roman" w:cs="Times New Roman" w:eastAsia="Times New Roman" w:hint="default"/>
        </w:rPr>
        <w:t>“</w:t>
      </w:r>
      <w:r>
        <w:rPr/>
        <w:t>石基中东</w:t>
      </w:r>
      <w:r>
        <w:rPr>
          <w:rFonts w:ascii="Times New Roman" w:hAnsi="Times New Roman" w:cs="Times New Roman" w:eastAsia="Times New Roman" w:hint="default"/>
        </w:rPr>
        <w:t>”</w:t>
      </w:r>
      <w:r>
        <w:rPr/>
        <w:t>）、</w:t>
      </w:r>
      <w:r>
        <w:rPr>
          <w:rFonts w:ascii="Times New Roman" w:hAnsi="Times New Roman" w:cs="Times New Roman" w:eastAsia="Times New Roman" w:hint="default"/>
        </w:rPr>
        <w:t>Shiji( Thailand) Limited</w:t>
      </w:r>
      <w:r>
        <w:rPr/>
        <w:t>（以下简称</w:t>
      </w:r>
      <w:r>
        <w:rPr>
          <w:rFonts w:ascii="Times New Roman" w:hAnsi="Times New Roman" w:cs="Times New Roman" w:eastAsia="Times New Roman" w:hint="default"/>
        </w:rPr>
        <w:t>“</w:t>
      </w:r>
      <w:r>
        <w:rPr/>
        <w:t>石基泰国</w:t>
      </w:r>
      <w:r>
        <w:rPr>
          <w:rFonts w:ascii="Times New Roman" w:hAnsi="Times New Roman" w:cs="Times New Roman" w:eastAsia="Times New Roman" w:hint="default"/>
        </w:rPr>
        <w:t>”</w:t>
      </w:r>
      <w:r>
        <w:rPr/>
        <w:t>）、</w:t>
      </w:r>
      <w:r>
        <w:rPr>
          <w:rFonts w:ascii="Times New Roman" w:hAnsi="Times New Roman" w:cs="Times New Roman" w:eastAsia="Times New Roman" w:hint="default"/>
        </w:rPr>
        <w:t>Shiji Slovakia</w:t>
      </w:r>
      <w:r>
        <w:rPr>
          <w:rFonts w:ascii="Times New Roman" w:hAnsi="Times New Roman" w:cs="Times New Roman" w:eastAsia="Times New Roman" w:hint="default"/>
          <w:spacing w:val="44"/>
        </w:rPr>
        <w:t> </w:t>
      </w:r>
      <w:r>
        <w:rPr>
          <w:rFonts w:ascii="Times New Roman" w:hAnsi="Times New Roman" w:cs="Times New Roman" w:eastAsia="Times New Roman" w:hint="default"/>
        </w:rPr>
        <w:t>s.r.o</w:t>
      </w:r>
      <w:r>
        <w:rPr/>
        <w:t>（以下简称</w:t>
      </w:r>
      <w:r>
        <w:rPr>
          <w:rFonts w:ascii="Times New Roman" w:hAnsi="Times New Roman" w:cs="Times New Roman" w:eastAsia="Times New Roman" w:hint="default"/>
        </w:rPr>
        <w:t>“</w:t>
      </w:r>
      <w:r>
        <w:rPr/>
        <w:t>石</w:t>
      </w:r>
      <w:r>
        <w:rPr>
          <w:w w:val="100"/>
        </w:rPr>
        <w:t> </w:t>
      </w:r>
      <w:r>
        <w:rPr>
          <w:spacing w:val="-3"/>
        </w:rPr>
        <w:t>基斯洛伐克</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Shiji </w:t>
      </w:r>
      <w:r>
        <w:rPr>
          <w:rFonts w:ascii="Times New Roman" w:hAnsi="Times New Roman" w:cs="Times New Roman" w:eastAsia="Times New Roman" w:hint="default"/>
        </w:rPr>
        <w:t>(India) </w:t>
      </w:r>
      <w:r>
        <w:rPr>
          <w:rFonts w:ascii="Times New Roman" w:hAnsi="Times New Roman" w:cs="Times New Roman" w:eastAsia="Times New Roman" w:hint="default"/>
          <w:spacing w:val="-4"/>
        </w:rPr>
        <w:t>LLP</w:t>
      </w:r>
      <w:r>
        <w:rPr>
          <w:spacing w:val="-4"/>
        </w:rPr>
        <w:t>（以下简称“石基印度”）等。以上公司的收购与设立均有助于加速公司</w:t>
      </w:r>
      <w:r>
        <w:rPr>
          <w:spacing w:val="-79"/>
        </w:rPr>
        <w:t> </w:t>
      </w:r>
      <w:r>
        <w:rPr>
          <w:spacing w:val="-79"/>
        </w:rPr>
      </w:r>
      <w:r>
        <w:rPr/>
        <w:t>通过数据服务实现平台战略。</w:t>
      </w:r>
    </w:p>
    <w:p>
      <w:pPr>
        <w:pStyle w:val="BodyText"/>
        <w:spacing w:line="264" w:lineRule="auto" w:before="63"/>
        <w:ind w:right="1126" w:firstLine="422"/>
        <w:jc w:val="both"/>
      </w:pPr>
      <w:r>
        <w:rPr>
          <w:spacing w:val="-2"/>
        </w:rPr>
        <w:t>在餐饮信息系统业务领域，公司拥有自主开发的</w:t>
      </w:r>
      <w:r>
        <w:rPr>
          <w:rFonts w:ascii="Times New Roman" w:hAnsi="Times New Roman" w:cs="Times New Roman" w:eastAsia="Times New Roman" w:hint="default"/>
          <w:spacing w:val="-2"/>
        </w:rPr>
        <w:t>INFRASYS</w:t>
      </w:r>
      <w:r>
        <w:rPr>
          <w:spacing w:val="-2"/>
        </w:rPr>
        <w:t>品牌面向全球高端酒店及高端连锁社会餐</w:t>
      </w:r>
      <w:r>
        <w:rPr>
          <w:w w:val="100"/>
        </w:rPr>
        <w:t> </w:t>
      </w:r>
      <w:r>
        <w:rPr>
          <w:spacing w:val="-2"/>
        </w:rPr>
        <w:t>饮客户，控股子公司正品贵德主要面向国内大型快餐连锁，控股子公司思迅软件面向餐饮全业态的面向连</w:t>
      </w:r>
      <w:r>
        <w:rPr>
          <w:spacing w:val="-44"/>
        </w:rPr>
        <w:t> </w:t>
      </w:r>
      <w:r>
        <w:rPr>
          <w:spacing w:val="-44"/>
        </w:rPr>
      </w:r>
      <w:r>
        <w:rPr/>
        <w:t>锁餐饮、大型中餐餐饮、西餐咖啡厅、酒店、会所等众多业态的信息管理软件系列产品。</w:t>
      </w:r>
    </w:p>
    <w:p>
      <w:pPr>
        <w:pStyle w:val="BodyText"/>
        <w:spacing w:line="264" w:lineRule="auto" w:before="54"/>
        <w:ind w:right="1019" w:firstLine="422"/>
        <w:jc w:val="left"/>
      </w:pPr>
      <w:r>
        <w:rPr>
          <w:spacing w:val="-2"/>
        </w:rPr>
        <w:t>在零售信息系统业务领域，公司已经成为中国整个零售业信息系统的领导者，可为整个中国零售业提</w:t>
      </w:r>
      <w:r>
        <w:rPr>
          <w:w w:val="100"/>
        </w:rPr>
        <w:t> </w:t>
      </w:r>
      <w:r>
        <w:rPr>
          <w:spacing w:val="-2"/>
        </w:rPr>
        <w:t>供从低端到高端，从个体便利店到大型连锁商超乃至覆盖所有零售业态的信息系统解决方案。公司拥有从</w:t>
      </w:r>
      <w:r>
        <w:rPr>
          <w:spacing w:val="-44"/>
        </w:rPr>
        <w:t> </w:t>
      </w:r>
      <w:r>
        <w:rPr>
          <w:spacing w:val="-44"/>
        </w:rPr>
      </w:r>
      <w:r>
        <w:rPr>
          <w:spacing w:val="-2"/>
        </w:rPr>
        <w:t>事标准化零售信息系统业务的控股子公司思迅软件，以及从事规模化零售信息系统业务的控股子公司长益</w:t>
      </w:r>
      <w:r>
        <w:rPr>
          <w:spacing w:val="-43"/>
        </w:rPr>
        <w:t> </w:t>
      </w:r>
      <w:r>
        <w:rPr>
          <w:spacing w:val="-43"/>
        </w:rPr>
      </w:r>
      <w:r>
        <w:rPr/>
        <w:t>科技、富基信息、上海时运、广州合光，以及参股子公司科传控股；同时公司于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日控股的青</w:t>
      </w:r>
      <w:r>
        <w:rPr>
          <w:spacing w:val="-24"/>
        </w:rPr>
        <w:t> </w:t>
      </w:r>
      <w:r>
        <w:rPr>
          <w:spacing w:val="-24"/>
        </w:rPr>
      </w:r>
      <w:r>
        <w:rPr>
          <w:spacing w:val="-4"/>
        </w:rPr>
        <w:t>岛海信智能商用系统股份有限公司为国内最大的商用硬件生产商，主要提供</w:t>
      </w:r>
      <w:r>
        <w:rPr>
          <w:rFonts w:ascii="Times New Roman" w:hAnsi="Times New Roman" w:cs="Times New Roman" w:eastAsia="Times New Roman" w:hint="default"/>
          <w:spacing w:val="-4"/>
        </w:rPr>
        <w:t>POS</w:t>
      </w:r>
      <w:r>
        <w:rPr>
          <w:spacing w:val="-4"/>
        </w:rPr>
        <w:t>机、金融机具和自助设备，</w:t>
      </w:r>
      <w:r>
        <w:rPr>
          <w:spacing w:val="-12"/>
        </w:rPr>
        <w:t> </w:t>
      </w:r>
      <w:r>
        <w:rPr>
          <w:spacing w:val="-12"/>
        </w:rPr>
      </w:r>
      <w:r>
        <w:rPr>
          <w:spacing w:val="-2"/>
        </w:rPr>
        <w:t>同时也提供部分商用软件。</w:t>
      </w:r>
      <w:r>
        <w:rPr>
          <w:rFonts w:ascii="Times New Roman" w:hAnsi="Times New Roman" w:cs="Times New Roman" w:eastAsia="Times New Roman" w:hint="default"/>
          <w:spacing w:val="-2"/>
        </w:rPr>
        <w:t>2017</w:t>
      </w:r>
      <w:r>
        <w:rPr>
          <w:spacing w:val="-2"/>
        </w:rPr>
        <w:t>年，为了更好地整合零售信息系统业务资源，公司对旗下规模化零售行业</w:t>
      </w:r>
      <w:r>
        <w:rPr>
          <w:spacing w:val="-41"/>
        </w:rPr>
        <w:t> </w:t>
      </w:r>
      <w:r>
        <w:rPr>
          <w:spacing w:val="-41"/>
        </w:rPr>
      </w:r>
      <w:r>
        <w:rPr>
          <w:spacing w:val="-2"/>
        </w:rPr>
        <w:t>的子公司进行了重组，将所持旗下从事规模化零售业务的子公司富基信息、长益科技、上海时运、科传控</w:t>
      </w:r>
      <w:r>
        <w:rPr>
          <w:spacing w:val="-47"/>
        </w:rPr>
        <w:t> </w:t>
      </w:r>
      <w:r>
        <w:rPr>
          <w:spacing w:val="-47"/>
        </w:rPr>
      </w:r>
      <w:r>
        <w:rPr>
          <w:spacing w:val="5"/>
        </w:rPr>
        <w:t>股的股权整合进入子公司石基（香港）的子公司石基零售。</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7</w:t>
      </w:r>
      <w:r>
        <w:rPr>
          <w:spacing w:val="5"/>
        </w:rPr>
        <w:t>日，阿里巴巴集团全资子公司</w:t>
      </w:r>
      <w:r>
        <w:rPr>
          <w:spacing w:val="28"/>
        </w:rPr>
        <w:t> </w:t>
      </w:r>
      <w:r>
        <w:rPr>
          <w:spacing w:val="28"/>
        </w:rPr>
      </w:r>
      <w:r>
        <w:rPr>
          <w:rFonts w:ascii="Times New Roman" w:hAnsi="Times New Roman" w:cs="Times New Roman" w:eastAsia="Times New Roman" w:hint="default"/>
        </w:rPr>
        <w:t>ALIBABA SJ INVESTMENT </w:t>
      </w:r>
      <w:r>
        <w:rPr>
          <w:rFonts w:ascii="Times New Roman" w:hAnsi="Times New Roman" w:cs="Times New Roman" w:eastAsia="Times New Roman" w:hint="default"/>
          <w:spacing w:val="-4"/>
        </w:rPr>
        <w:t>LIMITED</w:t>
      </w:r>
      <w:r>
        <w:rPr>
          <w:spacing w:val="-4"/>
        </w:rPr>
        <w:t>（以下简称</w:t>
      </w:r>
      <w:r>
        <w:rPr>
          <w:rFonts w:ascii="Times New Roman" w:hAnsi="Times New Roman" w:cs="Times New Roman" w:eastAsia="Times New Roman" w:hint="default"/>
          <w:spacing w:val="-4"/>
        </w:rPr>
        <w:t>“</w:t>
      </w:r>
      <w:r>
        <w:rPr>
          <w:spacing w:val="-4"/>
        </w:rPr>
        <w:t>阿里</w:t>
      </w:r>
      <w:r>
        <w:rPr>
          <w:rFonts w:ascii="Times New Roman" w:hAnsi="Times New Roman" w:cs="Times New Roman" w:eastAsia="Times New Roman" w:hint="default"/>
          <w:spacing w:val="-4"/>
        </w:rPr>
        <w:t>SJ</w:t>
      </w:r>
      <w:r>
        <w:rPr>
          <w:spacing w:val="-4"/>
        </w:rPr>
        <w:t>投资</w:t>
      </w:r>
      <w:r>
        <w:rPr>
          <w:rFonts w:ascii="Times New Roman" w:hAnsi="Times New Roman" w:cs="Times New Roman" w:eastAsia="Times New Roman" w:hint="default"/>
          <w:spacing w:val="-4"/>
        </w:rPr>
        <w:t>”</w:t>
      </w:r>
      <w:r>
        <w:rPr>
          <w:spacing w:val="-4"/>
        </w:rPr>
        <w:t>）与公司全资子公司石基（香港）达成《股</w:t>
      </w:r>
      <w:r>
        <w:rPr>
          <w:spacing w:val="-95"/>
        </w:rPr>
        <w:t> </w:t>
      </w:r>
      <w:r>
        <w:rPr>
          <w:spacing w:val="-95"/>
        </w:rPr>
      </w:r>
      <w:r>
        <w:rPr/>
        <w:t>份购买协议》，公司将全资子公司石基零售</w:t>
      </w:r>
      <w:r>
        <w:rPr>
          <w:rFonts w:ascii="Times New Roman" w:hAnsi="Times New Roman" w:cs="Times New Roman" w:eastAsia="Times New Roman" w:hint="default"/>
        </w:rPr>
        <w:t>38%</w:t>
      </w:r>
      <w:r>
        <w:rPr/>
        <w:t>的股权以</w:t>
      </w:r>
      <w:r>
        <w:rPr>
          <w:rFonts w:ascii="Times New Roman" w:hAnsi="Times New Roman" w:cs="Times New Roman" w:eastAsia="Times New Roman" w:hint="default"/>
        </w:rPr>
        <w:t>4.86</w:t>
      </w:r>
      <w:r>
        <w:rPr/>
        <w:t>亿美元的价格转让给阿里</w:t>
      </w:r>
      <w:r>
        <w:rPr>
          <w:rFonts w:ascii="Times New Roman" w:hAnsi="Times New Roman" w:cs="Times New Roman" w:eastAsia="Times New Roman" w:hint="default"/>
        </w:rPr>
        <w:t>SJ</w:t>
      </w:r>
      <w:r>
        <w:rPr/>
        <w:t>投资和</w:t>
      </w:r>
      <w:r>
        <w:rPr>
          <w:rFonts w:ascii="Times New Roman" w:hAnsi="Times New Roman" w:cs="Times New Roman" w:eastAsia="Times New Roman" w:hint="default"/>
        </w:rPr>
        <w:t>/</w:t>
      </w:r>
      <w:r>
        <w:rPr/>
        <w:t>或其关联</w:t>
      </w:r>
      <w:r>
        <w:rPr>
          <w:spacing w:val="-96"/>
        </w:rPr>
        <w:t> </w:t>
      </w:r>
      <w:r>
        <w:rPr>
          <w:spacing w:val="-96"/>
        </w:rPr>
      </w:r>
      <w:r>
        <w:rPr/>
        <w:t>方。</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日，公司与相关方完成全部股权转让款支付等交割全部事项，阿里</w:t>
      </w:r>
      <w:r>
        <w:rPr>
          <w:rFonts w:ascii="Times New Roman" w:hAnsi="Times New Roman" w:cs="Times New Roman" w:eastAsia="Times New Roman" w:hint="default"/>
        </w:rPr>
        <w:t>SJ</w:t>
      </w:r>
      <w:r>
        <w:rPr/>
        <w:t>投资正式成为石基零</w:t>
      </w:r>
      <w:r>
        <w:rPr>
          <w:w w:val="100"/>
        </w:rPr>
        <w:t> </w:t>
      </w:r>
      <w:r>
        <w:rPr>
          <w:spacing w:val="-3"/>
        </w:rPr>
        <w:t>售的股东之一，持股比例为</w:t>
      </w:r>
      <w:r>
        <w:rPr>
          <w:rFonts w:ascii="Times New Roman" w:hAnsi="Times New Roman" w:cs="Times New Roman" w:eastAsia="Times New Roman" w:hint="default"/>
          <w:spacing w:val="-3"/>
        </w:rPr>
        <w:t>38%</w:t>
      </w:r>
      <w:r>
        <w:rPr>
          <w:spacing w:val="-3"/>
        </w:rPr>
        <w:t>，石基（香港）持股比例为</w:t>
      </w:r>
      <w:r>
        <w:rPr>
          <w:rFonts w:ascii="Times New Roman" w:hAnsi="Times New Roman" w:cs="Times New Roman" w:eastAsia="Times New Roman" w:hint="default"/>
          <w:spacing w:val="-3"/>
        </w:rPr>
        <w:t>62% </w:t>
      </w:r>
      <w:r>
        <w:rPr/>
        <w:t>。此次交易的成功实施将加速公司零售业</w:t>
      </w:r>
      <w:r>
        <w:rPr>
          <w:spacing w:val="-76"/>
        </w:rPr>
        <w:t> </w:t>
      </w:r>
      <w:r>
        <w:rPr>
          <w:spacing w:val="-76"/>
        </w:rPr>
      </w:r>
      <w:r>
        <w:rPr>
          <w:spacing w:val="-2"/>
        </w:rPr>
        <w:t>务板块的资源整合，帮助公司利用已有的零售业客户和市场优势较快地建立公司在新一代零售信息系统业</w:t>
      </w:r>
      <w:r>
        <w:rPr>
          <w:spacing w:val="-43"/>
        </w:rPr>
        <w:t> </w:t>
      </w:r>
      <w:r>
        <w:rPr>
          <w:spacing w:val="-43"/>
        </w:rPr>
      </w:r>
      <w:r>
        <w:rPr/>
        <w:t>务中的领导地位，奠定公司国际化战略的基础。</w:t>
      </w:r>
    </w:p>
    <w:p>
      <w:pPr>
        <w:pStyle w:val="BodyText"/>
        <w:spacing w:line="273" w:lineRule="auto" w:before="57"/>
        <w:ind w:right="1126" w:firstLine="420"/>
        <w:jc w:val="both"/>
      </w:pPr>
      <w:r>
        <w:rPr>
          <w:spacing w:val="-2"/>
        </w:rPr>
        <w:t>除上述软件开发销售与技术服务业务以外，公司全资子公司中电器件负责公司软件配套的硬件销售业</w:t>
      </w:r>
      <w:r>
        <w:rPr>
          <w:w w:val="100"/>
        </w:rPr>
        <w:t> </w:t>
      </w:r>
      <w:r>
        <w:rPr/>
        <w:t>务，包括收银机、打印机等全系列商用硬件的集中采购与销售。</w:t>
      </w:r>
    </w:p>
    <w:p>
      <w:pPr>
        <w:pStyle w:val="Heading7"/>
        <w:spacing w:line="240" w:lineRule="auto" w:before="48"/>
        <w:ind w:left="575" w:right="1133"/>
        <w:jc w:val="left"/>
        <w:rPr>
          <w:b w:val="0"/>
          <w:bCs w:val="0"/>
        </w:rPr>
      </w:pPr>
      <w:r>
        <w:rPr>
          <w:rFonts w:ascii="Times New Roman" w:hAnsi="Times New Roman" w:cs="Times New Roman" w:eastAsia="Times New Roman" w:hint="default"/>
        </w:rPr>
        <w:t>3</w:t>
      </w:r>
      <w:r>
        <w:rPr/>
        <w:t>、公司的经营方式与盈利模式</w:t>
      </w:r>
      <w:r>
        <w:rPr>
          <w:b w:val="0"/>
          <w:bCs w:val="0"/>
        </w:rPr>
      </w:r>
    </w:p>
    <w:p>
      <w:pPr>
        <w:pStyle w:val="BodyText"/>
        <w:spacing w:line="290" w:lineRule="auto" w:before="60"/>
        <w:ind w:left="573" w:right="1133" w:firstLine="2"/>
        <w:jc w:val="left"/>
      </w:pPr>
      <w:r>
        <w:rPr/>
        <w:t>（</w:t>
      </w:r>
      <w:r>
        <w:rPr>
          <w:rFonts w:ascii="Times New Roman" w:hAnsi="Times New Roman" w:cs="Times New Roman" w:eastAsia="Times New Roman" w:hint="default"/>
        </w:rPr>
        <w:t>1</w:t>
      </w:r>
      <w:r>
        <w:rPr/>
        <w:t>）软件开发销售与技术服务业务</w:t>
      </w:r>
      <w:r>
        <w:rPr>
          <w:w w:val="100"/>
        </w:rPr>
        <w:t> </w:t>
      </w:r>
      <w:r>
        <w:rPr>
          <w:spacing w:val="-2"/>
        </w:rPr>
        <w:t>公司是目前国内最主要的酒店信息管理系统全面解决方案提供商之一，在餐饮信息管理系统、零售信</w:t>
      </w:r>
    </w:p>
    <w:p>
      <w:pPr>
        <w:pStyle w:val="BodyText"/>
        <w:spacing w:line="273" w:lineRule="auto"/>
        <w:ind w:right="1105"/>
        <w:jc w:val="both"/>
      </w:pPr>
      <w:r>
        <w:rPr>
          <w:spacing w:val="-2"/>
        </w:rPr>
        <w:t>息管理系统、支付系统方面居于市场领先地位。公司传统的计算机服务和软件业务按其具体内容、工作重</w:t>
      </w:r>
      <w:r>
        <w:rPr>
          <w:spacing w:val="-44"/>
        </w:rPr>
        <w:t> </w:t>
      </w:r>
      <w:r>
        <w:rPr>
          <w:spacing w:val="-44"/>
        </w:rPr>
      </w:r>
      <w:r>
        <w:rPr>
          <w:spacing w:val="-2"/>
        </w:rPr>
        <w:t>点、项目实施阶段等方面的不同，可以划分为软件开发与销售、系统集成、技术支持与服务等三类业务，</w:t>
      </w:r>
      <w:r>
        <w:rPr>
          <w:spacing w:val="-21"/>
        </w:rPr>
        <w:t> </w:t>
      </w:r>
      <w:r>
        <w:rPr>
          <w:spacing w:val="-21"/>
        </w:rPr>
      </w:r>
      <w:r>
        <w:rPr>
          <w:spacing w:val="-2"/>
        </w:rPr>
        <w:t>公司主要以向酒店用户、餐饮企业用户、零售行业及休闲娱乐行业用户提供信息化全面解决方案的方式同</w:t>
      </w:r>
      <w:r>
        <w:rPr>
          <w:spacing w:val="-42"/>
        </w:rPr>
        <w:t> </w:t>
      </w:r>
      <w:r>
        <w:rPr>
          <w:spacing w:val="-42"/>
        </w:rPr>
      </w:r>
      <w:r>
        <w:rPr/>
        <w:t>时提供上述全部三类业务，并且三类业务相互交织、密不可分。</w:t>
      </w:r>
    </w:p>
    <w:p>
      <w:pPr>
        <w:pStyle w:val="BodyText"/>
        <w:spacing w:line="256" w:lineRule="auto" w:before="48"/>
        <w:ind w:right="1127" w:firstLine="420"/>
        <w:jc w:val="both"/>
      </w:pPr>
      <w:r>
        <w:rPr/>
        <w:t>公司计算机服务和软件业务的主要经营方式以及传统盈利模式可以概括为：以</w:t>
      </w:r>
      <w:r>
        <w:rPr>
          <w:rFonts w:ascii="Times New Roman" w:hAnsi="Times New Roman" w:cs="Times New Roman" w:eastAsia="Times New Roman" w:hint="default"/>
        </w:rPr>
        <w:t>“</w:t>
      </w:r>
      <w:r>
        <w:rPr/>
        <w:t>信息管理系统工程项</w:t>
      </w:r>
      <w:r>
        <w:rPr>
          <w:w w:val="100"/>
        </w:rPr>
        <w:t> </w:t>
      </w:r>
      <w:r>
        <w:rPr>
          <w:spacing w:val="-4"/>
        </w:rPr>
        <w:t>目</w:t>
      </w:r>
      <w:r>
        <w:rPr>
          <w:rFonts w:ascii="Times New Roman" w:hAnsi="Times New Roman" w:cs="Times New Roman" w:eastAsia="Times New Roman" w:hint="default"/>
          <w:spacing w:val="-4"/>
        </w:rPr>
        <w:t>”</w:t>
      </w:r>
      <w:r>
        <w:rPr>
          <w:spacing w:val="-4"/>
        </w:rPr>
        <w:t>合同、</w:t>
      </w:r>
      <w:r>
        <w:rPr>
          <w:rFonts w:ascii="Times New Roman" w:hAnsi="Times New Roman" w:cs="Times New Roman" w:eastAsia="Times New Roman" w:hint="default"/>
          <w:spacing w:val="-4"/>
        </w:rPr>
        <w:t>“</w:t>
      </w:r>
      <w:r>
        <w:rPr>
          <w:spacing w:val="-4"/>
        </w:rPr>
        <w:t>软件销售合同</w:t>
      </w:r>
      <w:r>
        <w:rPr>
          <w:rFonts w:ascii="Times New Roman" w:hAnsi="Times New Roman" w:cs="Times New Roman" w:eastAsia="Times New Roman" w:hint="default"/>
          <w:spacing w:val="-4"/>
        </w:rPr>
        <w:t>”</w:t>
      </w:r>
      <w:r>
        <w:rPr>
          <w:spacing w:val="-4"/>
        </w:rPr>
        <w:t>等方式，向酒店、餐饮、零售等不同行业类型的用户提供信息管理系统全面解决</w:t>
      </w:r>
      <w:r>
        <w:rPr>
          <w:spacing w:val="-19"/>
        </w:rPr>
        <w:t> </w:t>
      </w:r>
      <w:r>
        <w:rPr>
          <w:spacing w:val="-19"/>
        </w:rPr>
      </w:r>
      <w:r>
        <w:rPr>
          <w:spacing w:val="-1"/>
        </w:rPr>
        <w:t>方案。公司通过构建硬件和软件应用平台，向用户收取</w:t>
      </w:r>
      <w:r>
        <w:rPr>
          <w:rFonts w:ascii="Times New Roman" w:hAnsi="Times New Roman" w:cs="Times New Roman" w:eastAsia="Times New Roman" w:hint="default"/>
          <w:spacing w:val="-1"/>
        </w:rPr>
        <w:t>“</w:t>
      </w:r>
      <w:r>
        <w:rPr>
          <w:spacing w:val="-1"/>
        </w:rPr>
        <w:t>信息管理系统工程项目</w:t>
      </w:r>
      <w:r>
        <w:rPr>
          <w:rFonts w:ascii="Times New Roman" w:hAnsi="Times New Roman" w:cs="Times New Roman" w:eastAsia="Times New Roman" w:hint="default"/>
          <w:spacing w:val="-1"/>
        </w:rPr>
        <w:t>”</w:t>
      </w:r>
      <w:r>
        <w:rPr>
          <w:spacing w:val="-1"/>
        </w:rPr>
        <w:t>合同款、</w:t>
      </w:r>
      <w:r>
        <w:rPr>
          <w:rFonts w:ascii="Times New Roman" w:hAnsi="Times New Roman" w:cs="Times New Roman" w:eastAsia="Times New Roman" w:hint="default"/>
          <w:spacing w:val="-1"/>
        </w:rPr>
        <w:t>“</w:t>
      </w:r>
      <w:r>
        <w:rPr>
          <w:spacing w:val="-1"/>
        </w:rPr>
        <w:t>软件销售</w:t>
      </w:r>
      <w:r>
        <w:rPr>
          <w:rFonts w:ascii="Times New Roman" w:hAnsi="Times New Roman" w:cs="Times New Roman" w:eastAsia="Times New Roman" w:hint="default"/>
          <w:spacing w:val="-1"/>
        </w:rPr>
        <w:t>”</w:t>
      </w:r>
      <w:r>
        <w:rPr>
          <w:spacing w:val="-1"/>
        </w:rPr>
        <w:t>合同</w:t>
      </w:r>
      <w:r>
        <w:rPr>
          <w:spacing w:val="-42"/>
        </w:rPr>
        <w:t> </w:t>
      </w:r>
      <w:r>
        <w:rPr>
          <w:spacing w:val="-2"/>
        </w:rPr>
        <w:t>款，实现收入与盈利；在为客户提供信息管理系统全面解决方案之后，以</w:t>
      </w:r>
      <w:r>
        <w:rPr>
          <w:rFonts w:ascii="Times New Roman" w:hAnsi="Times New Roman" w:cs="Times New Roman" w:eastAsia="Times New Roman" w:hint="default"/>
          <w:spacing w:val="-2"/>
        </w:rPr>
        <w:t>“</w:t>
      </w:r>
      <w:r>
        <w:rPr>
          <w:spacing w:val="-2"/>
        </w:rPr>
        <w:t>技术支持服务合同</w:t>
      </w:r>
      <w:r>
        <w:rPr>
          <w:rFonts w:ascii="Times New Roman" w:hAnsi="Times New Roman" w:cs="Times New Roman" w:eastAsia="Times New Roman" w:hint="default"/>
          <w:spacing w:val="-2"/>
        </w:rPr>
        <w:t>”</w:t>
      </w:r>
      <w:r>
        <w:rPr>
          <w:spacing w:val="-2"/>
        </w:rPr>
        <w:t>的方式长期</w:t>
      </w:r>
      <w:r>
        <w:rPr>
          <w:spacing w:val="-20"/>
        </w:rPr>
        <w:t> </w:t>
      </w:r>
      <w:r>
        <w:rPr>
          <w:spacing w:val="-20"/>
        </w:rPr>
      </w:r>
      <w:r>
        <w:rPr/>
        <w:t>为客户提供产品升级、软硬件维护等服务，并通过收取</w:t>
      </w:r>
      <w:r>
        <w:rPr>
          <w:rFonts w:ascii="Times New Roman" w:hAnsi="Times New Roman" w:cs="Times New Roman" w:eastAsia="Times New Roman" w:hint="default"/>
        </w:rPr>
        <w:t>“</w:t>
      </w:r>
      <w:r>
        <w:rPr/>
        <w:t>技术支持与服务</w:t>
      </w:r>
      <w:r>
        <w:rPr>
          <w:rFonts w:ascii="Times New Roman" w:hAnsi="Times New Roman" w:cs="Times New Roman" w:eastAsia="Times New Roman" w:hint="default"/>
        </w:rPr>
        <w:t>”</w:t>
      </w:r>
      <w:r>
        <w:rPr/>
        <w:t>合同款，实现收入与盈利。</w:t>
      </w:r>
    </w:p>
    <w:p>
      <w:pPr>
        <w:pStyle w:val="BodyText"/>
        <w:spacing w:line="266" w:lineRule="auto" w:before="44"/>
        <w:ind w:right="1126" w:firstLine="420"/>
        <w:jc w:val="both"/>
      </w:pPr>
      <w:r>
        <w:rPr>
          <w:spacing w:val="-2"/>
        </w:rPr>
        <w:t>从</w:t>
      </w:r>
      <w:r>
        <w:rPr>
          <w:rFonts w:ascii="Times New Roman" w:hAnsi="Times New Roman" w:cs="Times New Roman" w:eastAsia="Times New Roman" w:hint="default"/>
          <w:spacing w:val="-2"/>
        </w:rPr>
        <w:t>2017</w:t>
      </w:r>
      <w:r>
        <w:rPr>
          <w:spacing w:val="-2"/>
        </w:rPr>
        <w:t>年起，随着公司国际化和平台化业务的发展，公司部分业务收入（以海外业务为主）模式开始</w:t>
      </w:r>
      <w:r>
        <w:rPr>
          <w:w w:val="100"/>
        </w:rPr>
        <w:t> </w:t>
      </w:r>
      <w:r>
        <w:rPr/>
        <w:t>从传统的软件、硬件和维护收入转为</w:t>
      </w:r>
      <w:r>
        <w:rPr>
          <w:rFonts w:ascii="Times New Roman" w:hAnsi="Times New Roman" w:cs="Times New Roman" w:eastAsia="Times New Roman" w:hint="default"/>
        </w:rPr>
        <w:t>SAAS</w:t>
      </w:r>
      <w:r>
        <w:rPr/>
        <w:t>服务收入。公司在酒店和餐饮业的云转型目前可以概括为三个</w:t>
      </w:r>
      <w:r>
        <w:rPr>
          <w:spacing w:val="-38"/>
        </w:rPr>
        <w:t> </w:t>
      </w:r>
      <w:r>
        <w:rPr>
          <w:spacing w:val="-38"/>
        </w:rPr>
      </w:r>
      <w:r>
        <w:rPr>
          <w:spacing w:val="-2"/>
        </w:rPr>
        <w:t>层次，首先是酒店和酒店集团之上的基于大数据的应用服务，例如声誉管理、客户需求管理等，其次是酒</w:t>
      </w:r>
      <w:r>
        <w:rPr>
          <w:spacing w:val="-46"/>
        </w:rPr>
        <w:t> </w:t>
      </w:r>
      <w:r>
        <w:rPr>
          <w:spacing w:val="-46"/>
        </w:rPr>
      </w:r>
      <w:r>
        <w:rPr>
          <w:spacing w:val="-2"/>
        </w:rPr>
        <w:t>店餐饮管理系统、后台系统等原来与集团系统连接不紧密的系统全面转向公有云，最后是酒店前台客房管</w:t>
      </w:r>
      <w:r>
        <w:rPr>
          <w:spacing w:val="-43"/>
        </w:rPr>
        <w:t> </w:t>
      </w:r>
      <w:r>
        <w:rPr>
          <w:spacing w:val="-43"/>
        </w:rPr>
      </w:r>
      <w:r>
        <w:rPr>
          <w:spacing w:val="-2"/>
        </w:rPr>
        <w:t>理系统全面转向公有云。这三个层面的云系统既相对独立又相互关联并最终在数据和应用平台层面完成集</w:t>
      </w:r>
      <w:r>
        <w:rPr>
          <w:spacing w:val="-42"/>
        </w:rPr>
        <w:t> </w:t>
      </w:r>
      <w:r>
        <w:rPr>
          <w:spacing w:val="-42"/>
        </w:rPr>
      </w:r>
      <w:r>
        <w:rPr>
          <w:spacing w:val="-2"/>
        </w:rPr>
        <w:t>成，公司在这三个层面都已经进行了多年的全球布局与产品研发，基于大数据的应用云服务目前处于全球</w:t>
      </w:r>
      <w:r>
        <w:rPr>
          <w:spacing w:val="-42"/>
        </w:rPr>
        <w:t> </w:t>
      </w:r>
      <w:r>
        <w:rPr>
          <w:spacing w:val="-42"/>
        </w:rPr>
      </w:r>
      <w:r>
        <w:rPr>
          <w:spacing w:val="-2"/>
        </w:rPr>
        <w:t>相对领先地位；云餐饮管理系统经过多家全球知名国际酒店集团的严格测试与评标认证为其下一代云餐饮</w:t>
      </w:r>
    </w:p>
    <w:p>
      <w:pPr>
        <w:spacing w:after="0" w:line="26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spacing w:val="-4"/>
        </w:rPr>
        <w:t>管理系统，</w:t>
      </w:r>
      <w:r>
        <w:rPr>
          <w:rFonts w:ascii="Times New Roman" w:hAnsi="Times New Roman" w:cs="Times New Roman" w:eastAsia="Times New Roman" w:hint="default"/>
          <w:spacing w:val="-4"/>
        </w:rPr>
        <w:t>2018</w:t>
      </w:r>
      <w:r>
        <w:rPr>
          <w:spacing w:val="-4"/>
        </w:rPr>
        <w:t>年取得了里程碑式进展。最核心的酒店客房管理新一代云系统经过多年的大规模研发投入，</w:t>
      </w:r>
    </w:p>
    <w:p>
      <w:pPr>
        <w:pStyle w:val="BodyText"/>
        <w:spacing w:line="290" w:lineRule="auto" w:before="21"/>
        <w:ind w:left="573" w:right="1133" w:hanging="421"/>
        <w:jc w:val="left"/>
      </w:pPr>
      <w:r>
        <w:rPr>
          <w:rFonts w:ascii="Times New Roman" w:hAnsi="Times New Roman" w:cs="Times New Roman" w:eastAsia="Times New Roman" w:hint="default"/>
        </w:rPr>
        <w:t>2018</w:t>
      </w:r>
      <w:r>
        <w:rPr/>
        <w:t>年也计划取得了实质性进展。</w:t>
      </w:r>
      <w:r>
        <w:rPr>
          <w:w w:val="100"/>
        </w:rPr>
        <w:t> </w:t>
      </w:r>
      <w:r>
        <w:rPr>
          <w:spacing w:val="-2"/>
        </w:rPr>
        <w:t>公司在零售业和休闲娱乐业信息系统业务也将跟随公司在酒店餐饮业的转型步伐，逐步转向平台化和</w:t>
      </w:r>
    </w:p>
    <w:p>
      <w:pPr>
        <w:pStyle w:val="BodyText"/>
        <w:spacing w:line="290" w:lineRule="auto"/>
        <w:ind w:left="573" w:right="0" w:hanging="421"/>
        <w:jc w:val="left"/>
      </w:pPr>
      <w:r>
        <w:rPr>
          <w:rFonts w:ascii="Times New Roman" w:hAnsi="Times New Roman" w:cs="Times New Roman" w:eastAsia="Times New Roman" w:hint="default"/>
        </w:rPr>
        <w:t>SAAS</w:t>
      </w:r>
      <w:r>
        <w:rPr/>
        <w:t>订阅付费方式。</w:t>
      </w:r>
      <w:r>
        <w:rPr>
          <w:w w:val="100"/>
        </w:rPr>
        <w:t> </w:t>
      </w:r>
      <w:r>
        <w:rPr>
          <w:rFonts w:ascii="Times New Roman" w:hAnsi="Times New Roman" w:cs="Times New Roman" w:eastAsia="Times New Roman" w:hint="default"/>
          <w:spacing w:val="-10"/>
          <w:w w:val="100"/>
        </w:rPr>
        <w:t>2018</w:t>
      </w:r>
      <w:r>
        <w:rPr>
          <w:spacing w:val="-10"/>
          <w:w w:val="100"/>
        </w:rPr>
        <w:t>年</w:t>
      </w:r>
      <w:r>
        <w:rPr>
          <w:rFonts w:ascii="Times New Roman" w:hAnsi="Times New Roman" w:cs="Times New Roman" w:eastAsia="Times New Roman" w:hint="default"/>
          <w:spacing w:val="-10"/>
          <w:w w:val="100"/>
        </w:rPr>
        <w:t>12</w:t>
      </w:r>
      <w:r>
        <w:rPr>
          <w:spacing w:val="-10"/>
          <w:w w:val="100"/>
        </w:rPr>
        <w:t>月，不计私有云和</w:t>
      </w:r>
      <w:r>
        <w:rPr>
          <w:rFonts w:ascii="Times New Roman" w:hAnsi="Times New Roman" w:cs="Times New Roman" w:eastAsia="Times New Roman" w:hint="default"/>
          <w:spacing w:val="-10"/>
          <w:w w:val="100"/>
        </w:rPr>
        <w:t>HOST</w:t>
      </w:r>
      <w:r>
        <w:rPr>
          <w:spacing w:val="-10"/>
          <w:w w:val="100"/>
        </w:rPr>
        <w:t>（托管）方式软件收入，公司</w:t>
      </w:r>
      <w:r>
        <w:rPr>
          <w:rFonts w:ascii="Times New Roman" w:hAnsi="Times New Roman" w:cs="Times New Roman" w:eastAsia="Times New Roman" w:hint="default"/>
          <w:spacing w:val="-10"/>
          <w:w w:val="100"/>
        </w:rPr>
        <w:t>SAAS</w:t>
      </w:r>
      <w:r>
        <w:rPr>
          <w:spacing w:val="-10"/>
          <w:w w:val="100"/>
        </w:rPr>
        <w:t>业务实现月度可重复订阅费（</w:t>
      </w:r>
      <w:r>
        <w:rPr>
          <w:rFonts w:ascii="Times New Roman" w:hAnsi="Times New Roman" w:cs="Times New Roman" w:eastAsia="Times New Roman" w:hint="default"/>
          <w:spacing w:val="-10"/>
          <w:w w:val="100"/>
        </w:rPr>
        <w:t>MRR</w:t>
      </w:r>
      <w:r>
        <w:rPr>
          <w:spacing w:val="-10"/>
          <w:w w:val="100"/>
        </w:rPr>
        <w:t>）</w:t>
      </w:r>
    </w:p>
    <w:p>
      <w:pPr>
        <w:pStyle w:val="BodyText"/>
        <w:spacing w:line="263" w:lineRule="exact"/>
        <w:ind w:right="0"/>
        <w:jc w:val="left"/>
        <w:rPr>
          <w:rFonts w:ascii="Times New Roman" w:hAnsi="Times New Roman" w:cs="Times New Roman" w:eastAsia="Times New Roman" w:hint="default"/>
        </w:rPr>
      </w:pPr>
      <w:r>
        <w:rPr>
          <w:rFonts w:ascii="Times New Roman" w:hAnsi="Times New Roman" w:cs="Times New Roman" w:eastAsia="Times New Roman" w:hint="default"/>
        </w:rPr>
        <w:t>1,705.25  </w:t>
      </w:r>
      <w:r>
        <w:rPr/>
        <w:t>万元人民币；</w:t>
      </w:r>
      <w:r>
        <w:rPr>
          <w:rFonts w:ascii="Times New Roman" w:hAnsi="Times New Roman" w:cs="Times New Roman" w:eastAsia="Times New Roman" w:hint="default"/>
        </w:rPr>
        <w:t>2018</w:t>
      </w:r>
      <w:r>
        <w:rPr/>
        <w:t>年度可重复订阅费（</w:t>
      </w:r>
      <w:r>
        <w:rPr>
          <w:rFonts w:ascii="Times New Roman" w:hAnsi="Times New Roman" w:cs="Times New Roman" w:eastAsia="Times New Roman" w:hint="default"/>
        </w:rPr>
        <w:t>ARR</w:t>
      </w:r>
      <w:r>
        <w:rPr/>
        <w:t>）</w:t>
      </w:r>
      <w:r>
        <w:rPr>
          <w:rFonts w:ascii="Times New Roman" w:hAnsi="Times New Roman" w:cs="Times New Roman" w:eastAsia="Times New Roman" w:hint="default"/>
        </w:rPr>
        <w:t>18,520.73  </w:t>
      </w:r>
      <w:r>
        <w:rPr/>
        <w:t>万元人民币，比</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ARR</w:t>
      </w:r>
      <w:r>
        <w:rPr>
          <w:rFonts w:ascii="Times New Roman" w:hAnsi="Times New Roman" w:cs="Times New Roman" w:eastAsia="Times New Roman" w:hint="default"/>
          <w:spacing w:val="-3"/>
        </w:rPr>
        <w:t> </w:t>
      </w:r>
      <w:r>
        <w:rPr>
          <w:rFonts w:ascii="Times New Roman" w:hAnsi="Times New Roman" w:cs="Times New Roman" w:eastAsia="Times New Roman" w:hint="default"/>
        </w:rPr>
        <w:t>10,931.07</w:t>
      </w:r>
    </w:p>
    <w:p>
      <w:pPr>
        <w:pStyle w:val="BodyText"/>
        <w:spacing w:line="240" w:lineRule="auto" w:before="21"/>
        <w:ind w:right="1133"/>
        <w:jc w:val="left"/>
      </w:pPr>
      <w:r>
        <w:rPr/>
        <w:t>万元人民币相比，增长</w:t>
      </w:r>
      <w:r>
        <w:rPr>
          <w:rFonts w:ascii="Times New Roman" w:hAnsi="Times New Roman" w:cs="Times New Roman" w:eastAsia="Times New Roman" w:hint="default"/>
        </w:rPr>
        <w:t>69.43%</w:t>
      </w:r>
      <w:r>
        <w:rPr/>
        <w:t>。</w:t>
      </w:r>
    </w:p>
    <w:p>
      <w:pPr>
        <w:pStyle w:val="BodyText"/>
        <w:spacing w:line="290" w:lineRule="auto" w:before="62"/>
        <w:ind w:left="573" w:right="1133" w:firstLine="2"/>
        <w:jc w:val="left"/>
      </w:pPr>
      <w:r>
        <w:rPr/>
        <w:t>（</w:t>
      </w:r>
      <w:r>
        <w:rPr>
          <w:rFonts w:ascii="Times New Roman" w:hAnsi="Times New Roman" w:cs="Times New Roman" w:eastAsia="Times New Roman" w:hint="default"/>
        </w:rPr>
        <w:t>2</w:t>
      </w:r>
      <w:r>
        <w:rPr/>
        <w:t>）商品批发与贸易业务</w:t>
      </w:r>
      <w:r>
        <w:rPr>
          <w:w w:val="100"/>
        </w:rPr>
        <w:t> </w:t>
      </w:r>
      <w:r>
        <w:rPr>
          <w:spacing w:val="-2"/>
        </w:rPr>
        <w:t>公司的商品批发销售业务主要集中在中电器件，整个经营流程涉及采购、仓储、销售等环节，具体经</w:t>
      </w:r>
    </w:p>
    <w:p>
      <w:pPr>
        <w:pStyle w:val="BodyText"/>
        <w:spacing w:line="268" w:lineRule="exact"/>
        <w:ind w:right="1133"/>
        <w:jc w:val="left"/>
      </w:pPr>
      <w:r>
        <w:rPr/>
        <w:t>营方式及盈利模式如下：</w:t>
      </w:r>
    </w:p>
    <w:p>
      <w:pPr>
        <w:pStyle w:val="BodyText"/>
        <w:spacing w:line="290" w:lineRule="auto" w:before="75"/>
        <w:ind w:left="573" w:right="1133" w:firstLine="2"/>
        <w:jc w:val="left"/>
      </w:pPr>
      <w:r>
        <w:rPr>
          <w:rFonts w:ascii="Times New Roman" w:hAnsi="Times New Roman" w:cs="Times New Roman" w:eastAsia="Times New Roman" w:hint="default"/>
        </w:rPr>
        <w:t>1</w:t>
      </w:r>
      <w:r>
        <w:rPr/>
        <w:t>）采购模式</w:t>
      </w:r>
      <w:r>
        <w:rPr>
          <w:w w:val="100"/>
        </w:rPr>
        <w:t> </w:t>
      </w:r>
      <w:r>
        <w:rPr>
          <w:spacing w:val="2"/>
        </w:rPr>
        <w:t>中电器件根据石基旗下软件对硬件的需求把握选择品牌与性能最优的型号与生产厂商签署代理框架</w:t>
      </w:r>
    </w:p>
    <w:p>
      <w:pPr>
        <w:pStyle w:val="BodyText"/>
        <w:spacing w:line="300" w:lineRule="auto"/>
        <w:ind w:left="573" w:right="1023" w:hanging="421"/>
        <w:jc w:val="left"/>
      </w:pPr>
      <w:r>
        <w:rPr>
          <w:spacing w:val="-5"/>
        </w:rPr>
        <w:t>协议，在代理期限内，中电器件定期根据下游客户订货数量并结合销售预测、销售目标向供应商进行采购。</w:t>
      </w:r>
      <w:r>
        <w:rPr>
          <w:spacing w:val="-6"/>
        </w:rPr>
        <w:t> </w:t>
      </w:r>
      <w:r>
        <w:rPr>
          <w:spacing w:val="-6"/>
        </w:rPr>
      </w:r>
      <w:r>
        <w:rPr>
          <w:rFonts w:ascii="Times New Roman" w:hAnsi="Times New Roman" w:cs="Times New Roman" w:eastAsia="Times New Roman" w:hint="default"/>
        </w:rPr>
        <w:t>2</w:t>
      </w:r>
      <w:r>
        <w:rPr/>
        <w:t>）仓储模式</w:t>
      </w:r>
      <w:r>
        <w:rPr>
          <w:w w:val="100"/>
        </w:rPr>
        <w:t> </w:t>
      </w:r>
      <w:r>
        <w:rPr/>
        <w:t>为提高物流效率，中电器件在北京、上海、广州等地设立了仓库，由专人负责进行管理。</w:t>
      </w:r>
      <w:r>
        <w:rPr>
          <w:w w:val="100"/>
        </w:rPr>
        <w:t> </w:t>
      </w:r>
      <w:r>
        <w:rPr>
          <w:rFonts w:ascii="Times New Roman" w:hAnsi="Times New Roman" w:cs="Times New Roman" w:eastAsia="Times New Roman" w:hint="default"/>
        </w:rPr>
        <w:t>3</w:t>
      </w:r>
      <w:r>
        <w:rPr/>
        <w:t>）销售模式</w:t>
      </w:r>
      <w:r>
        <w:rPr>
          <w:w w:val="100"/>
        </w:rPr>
        <w:t> </w:t>
      </w:r>
      <w:r>
        <w:rPr/>
        <w:t>中电器件的主要销售模式为通过自身业务部门进行直销，以及通过自有网络及经销商进行分销。中电</w:t>
      </w:r>
    </w:p>
    <w:p>
      <w:pPr>
        <w:pStyle w:val="BodyText"/>
        <w:spacing w:line="260" w:lineRule="exact"/>
        <w:ind w:right="0"/>
        <w:jc w:val="left"/>
      </w:pPr>
      <w:r>
        <w:rPr/>
        <w:t>器件在国内八大区域建立了销售及服务平台。中电器件在上海、广州、深圳、成都、武汉、西安、沈阳、</w:t>
      </w:r>
    </w:p>
    <w:p>
      <w:pPr>
        <w:pStyle w:val="BodyText"/>
        <w:spacing w:line="273" w:lineRule="auto" w:before="37"/>
        <w:ind w:right="1133"/>
        <w:jc w:val="left"/>
      </w:pPr>
      <w:r>
        <w:rPr>
          <w:spacing w:val="-2"/>
        </w:rPr>
        <w:t>南京设立了分公司或办事处作为销售服务平台，主要负责所在区域内开发新客户、维护客户关系、库房管</w:t>
      </w:r>
      <w:r>
        <w:rPr>
          <w:spacing w:val="-44"/>
        </w:rPr>
        <w:t> </w:t>
      </w:r>
      <w:r>
        <w:rPr>
          <w:spacing w:val="-44"/>
        </w:rPr>
      </w:r>
      <w:r>
        <w:rPr/>
        <w:t>理、收发货等工作。</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5"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20"/>
              <w:jc w:val="left"/>
              <w:rPr>
                <w:rFonts w:ascii="宋体" w:hAnsi="宋体" w:cs="宋体" w:eastAsia="宋体" w:hint="default"/>
                <w:sz w:val="18"/>
                <w:szCs w:val="18"/>
              </w:rPr>
            </w:pPr>
            <w:r>
              <w:rPr>
                <w:rFonts w:ascii="宋体" w:hAnsi="宋体" w:cs="宋体" w:eastAsia="宋体" w:hint="default"/>
                <w:sz w:val="18"/>
                <w:szCs w:val="18"/>
              </w:rPr>
              <w:t>本期较期初增长</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58.41%</w:t>
            </w:r>
            <w:r>
              <w:rPr>
                <w:rFonts w:ascii="宋体" w:hAnsi="宋体" w:cs="宋体" w:eastAsia="宋体" w:hint="default"/>
                <w:spacing w:val="-3"/>
                <w:sz w:val="18"/>
                <w:szCs w:val="18"/>
              </w:rPr>
              <w:t>，主要系海外子公司内部研发项目达到预定可使用状态，转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入无形资产所致。</w:t>
            </w:r>
          </w:p>
        </w:tc>
      </w:tr>
      <w:tr>
        <w:trPr>
          <w:trHeight w:val="394"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vMerge/>
            <w:tcBorders>
              <w:left w:val="single" w:sz="10" w:space="0" w:color="D2D2D2"/>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本期比期初增长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53.91%</w:t>
            </w:r>
            <w:r>
              <w:rPr>
                <w:rFonts w:ascii="宋体" w:hAnsi="宋体" w:cs="宋体" w:eastAsia="宋体" w:hint="default"/>
                <w:sz w:val="18"/>
                <w:szCs w:val="18"/>
              </w:rPr>
              <w:t>，主要系公司下属子公司中电器件办公楼更新改造所致。</w:t>
            </w:r>
          </w:p>
        </w:tc>
      </w:tr>
      <w:tr>
        <w:trPr>
          <w:trHeight w:val="1028"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本期比期初增长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236.31%</w:t>
            </w:r>
            <w:r>
              <w:rPr>
                <w:rFonts w:ascii="宋体" w:hAnsi="宋体" w:cs="宋体" w:eastAsia="宋体" w:hint="default"/>
                <w:sz w:val="18"/>
                <w:szCs w:val="18"/>
              </w:rPr>
              <w:t>，主要系公司全资子公司石基（香港）将其持有的石基零 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宋体" w:hAnsi="宋体" w:cs="宋体" w:eastAsia="宋体" w:hint="default"/>
                <w:sz w:val="18"/>
                <w:szCs w:val="18"/>
              </w:rPr>
              <w:t>的股权以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亿美元的价格转让给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Alibaba</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SJ</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Investment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3"/>
                <w:sz w:val="18"/>
                <w:szCs w:val="18"/>
              </w:rPr>
              <w:t>Limited</w:t>
            </w:r>
            <w:r>
              <w:rPr>
                <w:rFonts w:ascii="宋体" w:hAnsi="宋体" w:cs="宋体" w:eastAsia="宋体" w:hint="default"/>
                <w:spacing w:val="-3"/>
                <w:sz w:val="18"/>
                <w:szCs w:val="18"/>
              </w:rPr>
              <w:t>，已收到全</w:t>
            </w:r>
            <w:r>
              <w:rPr>
                <w:rFonts w:ascii="宋体" w:hAnsi="宋体" w:cs="宋体" w:eastAsia="宋体" w:hint="default"/>
                <w:sz w:val="18"/>
                <w:szCs w:val="18"/>
              </w:rPr>
              <w:t> 部股权转让款所致。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本期比期初增长</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88.52%</w:t>
            </w:r>
            <w:r>
              <w:rPr>
                <w:rFonts w:ascii="宋体" w:hAnsi="宋体" w:cs="宋体" w:eastAsia="宋体" w:hint="default"/>
                <w:spacing w:val="-3"/>
                <w:sz w:val="18"/>
                <w:szCs w:val="18"/>
              </w:rPr>
              <w:t>，主要系公司下属子公司石基（香港）收到的出售石基零售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38%</w:t>
            </w:r>
            <w:r>
              <w:rPr>
                <w:rFonts w:ascii="宋体" w:hAnsi="宋体" w:cs="宋体" w:eastAsia="宋体" w:hint="default"/>
                <w:sz w:val="18"/>
                <w:szCs w:val="18"/>
              </w:rPr>
              <w:t>少数股权的股权转让款较多，导致应收的银行存款利息较多所致。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本期比期初下降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84.76%</w:t>
            </w:r>
            <w:r>
              <w:rPr>
                <w:rFonts w:ascii="宋体" w:hAnsi="宋体" w:cs="宋体" w:eastAsia="宋体" w:hint="default"/>
                <w:sz w:val="18"/>
                <w:szCs w:val="18"/>
              </w:rPr>
              <w:t>，主要系年底持有的未到期银行理财产品减少所致。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本期比期初下降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94.92%</w:t>
            </w:r>
            <w:r>
              <w:rPr>
                <w:rFonts w:ascii="宋体" w:hAnsi="宋体" w:cs="宋体" w:eastAsia="宋体" w:hint="default"/>
                <w:sz w:val="18"/>
                <w:szCs w:val="18"/>
              </w:rPr>
              <w:t>，主要系下属子公司石基香港对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Kalibri</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Labs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LLC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以及</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StayNTouch</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公司追加投资，转为长期股权投资所致。</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0"/>
        <w:gridCol w:w="6519"/>
      </w:tblGrid>
      <w:tr>
        <w:trPr>
          <w:trHeight w:val="713"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本期较期初下降</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81.60%</w:t>
            </w:r>
            <w:r>
              <w:rPr>
                <w:rFonts w:ascii="宋体" w:hAnsi="宋体" w:cs="宋体" w:eastAsia="宋体" w:hint="default"/>
                <w:spacing w:val="-3"/>
                <w:sz w:val="18"/>
                <w:szCs w:val="18"/>
              </w:rPr>
              <w:t>，主要系海外子公司内部研发项目达到预定可使用状态，转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入无形资产，开发支出减少较多所致。</w:t>
            </w:r>
          </w:p>
        </w:tc>
      </w:tr>
      <w:tr>
        <w:trPr>
          <w:trHeight w:val="715"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本期较期初下降</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30.26%</w:t>
            </w:r>
            <w:r>
              <w:rPr>
                <w:rFonts w:ascii="宋体" w:hAnsi="宋体" w:cs="宋体" w:eastAsia="宋体" w:hint="default"/>
                <w:spacing w:val="-3"/>
                <w:sz w:val="18"/>
                <w:szCs w:val="18"/>
              </w:rPr>
              <w:t>，主要系本期按期摊销期初待摊费用，以及本期新增长期待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摊费用较少共同所致。</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本期比期初增长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109.17%</w:t>
            </w:r>
            <w:r>
              <w:rPr>
                <w:rFonts w:ascii="宋体" w:hAnsi="宋体" w:cs="宋体" w:eastAsia="宋体" w:hint="default"/>
                <w:sz w:val="18"/>
                <w:szCs w:val="18"/>
              </w:rPr>
              <w:t>，主要系下属子公司收到的远期承兑票据增加较多所致。</w:t>
            </w:r>
          </w:p>
        </w:tc>
      </w:tr>
    </w:tbl>
    <w:p>
      <w:pPr>
        <w:spacing w:line="240" w:lineRule="auto" w:before="3"/>
        <w:rPr>
          <w:rFonts w:ascii="宋体" w:hAnsi="宋体" w:cs="宋体" w:eastAsia="宋体" w:hint="default"/>
          <w:b/>
          <w:bCs/>
          <w:sz w:val="19"/>
          <w:szCs w:val="19"/>
        </w:rPr>
      </w:pPr>
    </w:p>
    <w:p>
      <w:pPr>
        <w:pStyle w:val="Heading7"/>
        <w:spacing w:line="240" w:lineRule="auto" w:before="36"/>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pict>
          <v:group style="position:absolute;margin-left:110.18pt;margin-top:69.077744pt;width:31.35pt;height:15.65pt;mso-position-horizontal-relative:page;mso-position-vertical-relative:paragraph;z-index:-1384864" coordorigin="2204,1382" coordsize="627,313">
            <v:shape style="position:absolute;left:2204;top:1382;width:627;height:313" coordorigin="2204,1382" coordsize="627,313" path="m2204,1694l2830,1694,2830,1382,2204,1382,2204,1694xe" filled="true" fillcolor="#ffffff" stroked="false">
              <v:path arrowok="t"/>
              <v:fill type="solid"/>
            </v:shape>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4"/>
        <w:gridCol w:w="638"/>
        <w:gridCol w:w="1489"/>
        <w:gridCol w:w="638"/>
        <w:gridCol w:w="850"/>
        <w:gridCol w:w="2554"/>
        <w:gridCol w:w="566"/>
        <w:gridCol w:w="992"/>
        <w:gridCol w:w="780"/>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8" w:right="75" w:hanging="272"/>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形成原 因</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79"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5"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0"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1" w:right="0"/>
              <w:jc w:val="left"/>
              <w:rPr>
                <w:rFonts w:ascii="宋体" w:hAnsi="宋体" w:cs="宋体" w:eastAsia="宋体" w:hint="default"/>
                <w:sz w:val="18"/>
                <w:szCs w:val="18"/>
              </w:rPr>
            </w:pPr>
            <w:r>
              <w:rPr>
                <w:rFonts w:ascii="宋体" w:hAnsi="宋体" w:cs="宋体" w:eastAsia="宋体" w:hint="default"/>
                <w:sz w:val="18"/>
                <w:szCs w:val="18"/>
              </w:rPr>
              <w:t>保障资产安全性的控制措施</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收益 状况</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9"/>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是否存在 重大减值 风险</w:t>
            </w:r>
          </w:p>
        </w:tc>
      </w:tr>
      <w:tr>
        <w:trPr>
          <w:trHeight w:val="1028" w:hRule="exact"/>
        </w:trPr>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石基（香港 有限公司</w:t>
            </w:r>
          </w:p>
        </w:tc>
        <w:tc>
          <w:tcPr>
            <w:tcW w:w="63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196" w:lineRule="exact"/>
              <w:ind w:left="-15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6,192,223,467.35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0"/>
              <w:jc w:val="both"/>
              <w:rPr>
                <w:rFonts w:ascii="宋体" w:hAnsi="宋体" w:cs="宋体" w:eastAsia="宋体" w:hint="default"/>
                <w:sz w:val="18"/>
                <w:szCs w:val="18"/>
              </w:rPr>
            </w:pPr>
            <w:r>
              <w:rPr>
                <w:rFonts w:ascii="宋体" w:hAnsi="宋体" w:cs="宋体" w:eastAsia="宋体" w:hint="default"/>
                <w:spacing w:val="-2"/>
                <w:sz w:val="18"/>
                <w:szCs w:val="18"/>
              </w:rPr>
              <w:t>委派董事、境外公司高级管理人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员，依据健全的内控管理制度， 对境外公司资产进行妥善管理。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良好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74.52%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其他情况说明</w:t>
            </w:r>
          </w:p>
        </w:tc>
        <w:tc>
          <w:tcPr>
            <w:tcW w:w="786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三、核心竞争力分析</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52" w:right="1133"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pStyle w:val="BodyText"/>
        <w:spacing w:line="273" w:lineRule="auto" w:before="96"/>
        <w:ind w:right="1126" w:firstLine="420"/>
        <w:jc w:val="both"/>
      </w:pPr>
      <w:r>
        <w:rPr>
          <w:spacing w:val="-2"/>
        </w:rPr>
        <w:t>经过多年的发展，公司已确立并于近几年持续强化了公司在国内酒店、餐饮和零售业信息管理系统市</w:t>
      </w:r>
      <w:r>
        <w:rPr>
          <w:w w:val="100"/>
        </w:rPr>
        <w:t> </w:t>
      </w:r>
      <w:r>
        <w:rPr/>
        <w:t>场显著的技术优势、市场优势、客户优势、品牌优势与人才优势。</w:t>
      </w:r>
    </w:p>
    <w:p>
      <w:pPr>
        <w:pStyle w:val="BodyText"/>
        <w:spacing w:line="290" w:lineRule="auto" w:before="48"/>
        <w:ind w:left="573" w:right="1133" w:firstLine="2"/>
        <w:jc w:val="left"/>
      </w:pPr>
      <w:r>
        <w:rPr>
          <w:rFonts w:ascii="Times New Roman" w:hAnsi="Times New Roman" w:cs="Times New Roman" w:eastAsia="Times New Roman" w:hint="default"/>
          <w:b/>
          <w:bCs/>
        </w:rPr>
        <w:t>1</w:t>
      </w:r>
      <w:r>
        <w:rPr>
          <w:rFonts w:ascii="宋体" w:hAnsi="宋体" w:cs="宋体" w:eastAsia="宋体" w:hint="default"/>
          <w:b/>
          <w:bCs/>
        </w:rPr>
        <w:t>、技术优势</w:t>
      </w:r>
      <w:r>
        <w:rPr>
          <w:rFonts w:ascii="宋体" w:hAnsi="宋体" w:cs="宋体" w:eastAsia="宋体" w:hint="default"/>
          <w:b/>
          <w:bCs/>
          <w:w w:val="100"/>
        </w:rPr>
        <w:t> </w:t>
      </w:r>
      <w:r>
        <w:rPr>
          <w:spacing w:val="6"/>
        </w:rPr>
        <w:t>公司是中国目前最主要的酒店信息管理系统解决方案提供商之一，公司全面整合了前台管理系统</w:t>
      </w:r>
    </w:p>
    <w:p>
      <w:pPr>
        <w:pStyle w:val="BodyText"/>
        <w:spacing w:line="264" w:lineRule="auto"/>
        <w:ind w:right="1019"/>
        <w:jc w:val="left"/>
      </w:pPr>
      <w:r>
        <w:rPr>
          <w:spacing w:val="-4"/>
        </w:rPr>
        <w:t>（</w:t>
      </w:r>
      <w:r>
        <w:rPr>
          <w:rFonts w:ascii="Times New Roman" w:hAnsi="Times New Roman" w:cs="Times New Roman" w:eastAsia="Times New Roman" w:hint="default"/>
          <w:spacing w:val="-4"/>
        </w:rPr>
        <w:t>PMS</w:t>
      </w:r>
      <w:r>
        <w:rPr>
          <w:spacing w:val="-4"/>
        </w:rPr>
        <w:t>）、酒店餐饮信息系统（</w:t>
      </w:r>
      <w:r>
        <w:rPr>
          <w:rFonts w:ascii="Times New Roman" w:hAnsi="Times New Roman" w:cs="Times New Roman" w:eastAsia="Times New Roman" w:hint="default"/>
          <w:spacing w:val="-4"/>
        </w:rPr>
        <w:t>POS</w:t>
      </w:r>
      <w:r>
        <w:rPr>
          <w:spacing w:val="-4"/>
        </w:rPr>
        <w:t>）、酒店后台管理系统（</w:t>
      </w:r>
      <w:r>
        <w:rPr>
          <w:rFonts w:ascii="Times New Roman" w:hAnsi="Times New Roman" w:cs="Times New Roman" w:eastAsia="Times New Roman" w:hint="default"/>
          <w:spacing w:val="-4"/>
        </w:rPr>
        <w:t>BO</w:t>
      </w:r>
      <w:r>
        <w:rPr>
          <w:spacing w:val="-4"/>
        </w:rPr>
        <w:t>）以及其他管理系统（</w:t>
      </w:r>
      <w:r>
        <w:rPr>
          <w:rFonts w:ascii="Times New Roman" w:hAnsi="Times New Roman" w:cs="Times New Roman" w:eastAsia="Times New Roman" w:hint="default"/>
          <w:spacing w:val="-4"/>
        </w:rPr>
        <w:t>CRS</w:t>
      </w:r>
      <w:r>
        <w:rPr>
          <w:spacing w:val="-4"/>
        </w:rPr>
        <w:t>、</w:t>
      </w:r>
      <w:r>
        <w:rPr>
          <w:rFonts w:ascii="Times New Roman" w:hAnsi="Times New Roman" w:cs="Times New Roman" w:eastAsia="Times New Roman" w:hint="default"/>
          <w:spacing w:val="-4"/>
        </w:rPr>
        <w:t>LPS</w:t>
      </w:r>
      <w:r>
        <w:rPr>
          <w:spacing w:val="-4"/>
        </w:rPr>
        <w:t>、</w:t>
      </w:r>
      <w:r>
        <w:rPr>
          <w:rFonts w:ascii="Times New Roman" w:hAnsi="Times New Roman" w:cs="Times New Roman" w:eastAsia="Times New Roman" w:hint="default"/>
          <w:spacing w:val="-4"/>
        </w:rPr>
        <w:t>CRM</w:t>
      </w:r>
      <w:r>
        <w:rPr>
          <w:spacing w:val="-4"/>
        </w:rPr>
        <w:t>、</w:t>
      </w:r>
      <w:r>
        <w:rPr>
          <w:spacing w:val="-50"/>
        </w:rPr>
        <w:t> </w:t>
      </w:r>
      <w:r>
        <w:rPr>
          <w:rFonts w:ascii="Times New Roman" w:hAnsi="Times New Roman" w:cs="Times New Roman" w:eastAsia="Times New Roman" w:hint="default"/>
          <w:spacing w:val="-4"/>
        </w:rPr>
        <w:t>PGS</w:t>
      </w:r>
      <w:r>
        <w:rPr>
          <w:spacing w:val="-4"/>
        </w:rPr>
        <w:t>等），使公司的各类产品融合成为一个功能完整覆盖、技术全面领先的</w:t>
      </w:r>
      <w:r>
        <w:rPr>
          <w:rFonts w:ascii="Times New Roman" w:hAnsi="Times New Roman" w:cs="Times New Roman" w:eastAsia="Times New Roman" w:hint="default"/>
          <w:spacing w:val="-4"/>
        </w:rPr>
        <w:t>“</w:t>
      </w:r>
      <w:r>
        <w:rPr>
          <w:spacing w:val="-4"/>
        </w:rPr>
        <w:t>石基数字饭（酒）店整体解决</w:t>
      </w:r>
      <w:r>
        <w:rPr>
          <w:spacing w:val="-5"/>
        </w:rPr>
        <w:t> </w:t>
      </w:r>
      <w:r>
        <w:rPr>
          <w:spacing w:val="-5"/>
        </w:rPr>
      </w:r>
      <w:r>
        <w:rPr/>
        <w:t>方案（</w:t>
      </w:r>
      <w:r>
        <w:rPr>
          <w:rFonts w:ascii="Times New Roman" w:hAnsi="Times New Roman" w:cs="Times New Roman" w:eastAsia="Times New Roman" w:hint="default"/>
        </w:rPr>
        <w:t>IP</w:t>
      </w:r>
      <w:r>
        <w:rPr>
          <w:rFonts w:ascii="Times New Roman" w:hAnsi="Times New Roman" w:cs="Times New Roman" w:eastAsia="Times New Roman" w:hint="default"/>
          <w:spacing w:val="16"/>
        </w:rPr>
        <w:t> </w:t>
      </w:r>
      <w:r>
        <w:rPr>
          <w:rFonts w:ascii="Times New Roman" w:hAnsi="Times New Roman" w:cs="Times New Roman" w:eastAsia="Times New Roman" w:hint="default"/>
        </w:rPr>
        <w:t>Hotel</w:t>
      </w:r>
      <w:r>
        <w:rPr/>
        <w:t>）</w:t>
      </w:r>
      <w:r>
        <w:rPr>
          <w:rFonts w:ascii="Times New Roman" w:hAnsi="Times New Roman" w:cs="Times New Roman" w:eastAsia="Times New Roman" w:hint="default"/>
        </w:rPr>
        <w:t>”</w:t>
      </w:r>
      <w:r>
        <w:rPr/>
        <w:t>，能够为从高星级到较低星级直至经济型连锁酒店提供全套完整的解决方案。公司通过</w:t>
      </w:r>
      <w:r>
        <w:rPr>
          <w:w w:val="100"/>
        </w:rPr>
        <w:t> </w:t>
      </w:r>
      <w:r>
        <w:rPr>
          <w:spacing w:val="-2"/>
        </w:rPr>
        <w:t>自主开发、独家技术许可、引进源码等多种手段，拥有了构建酒店信息管理系统所需要的全套技术，在此</w:t>
      </w:r>
      <w:r>
        <w:rPr>
          <w:spacing w:val="-47"/>
        </w:rPr>
        <w:t> </w:t>
      </w:r>
      <w:r>
        <w:rPr>
          <w:spacing w:val="-47"/>
        </w:rPr>
      </w:r>
      <w:r>
        <w:rPr>
          <w:spacing w:val="-2"/>
        </w:rPr>
        <w:t>基础上开发了拥有十多项与酒店信息管理系统相关的具有自主知识产权的产品。公司主要产品的技术，居</w:t>
      </w:r>
      <w:r>
        <w:rPr>
          <w:spacing w:val="-44"/>
        </w:rPr>
        <w:t> </w:t>
      </w:r>
      <w:r>
        <w:rPr>
          <w:spacing w:val="-44"/>
        </w:rPr>
      </w:r>
      <w:r>
        <w:rPr/>
        <w:t>于国内领先水平，部分产品技术达到国际领先水平。公司已确立了在国内酒店市场较为显著的技术优势。</w:t>
      </w:r>
    </w:p>
    <w:p>
      <w:pPr>
        <w:pStyle w:val="BodyText"/>
        <w:spacing w:line="273" w:lineRule="auto" w:before="57"/>
        <w:ind w:right="1126" w:firstLine="420"/>
        <w:jc w:val="both"/>
      </w:pPr>
      <w:r>
        <w:rPr>
          <w:spacing w:val="-2"/>
        </w:rPr>
        <w:t>依赖公司对行业未来发展的前瞻性判断，公司较早地投资于下一代酒店信息系统和餐饮信息系统在海</w:t>
      </w:r>
      <w:r>
        <w:rPr>
          <w:w w:val="100"/>
        </w:rPr>
        <w:t> </w:t>
      </w:r>
      <w:r>
        <w:rPr/>
        <w:t>外的研发，公司有望在技术和产品架构上领先于全球竞争对手，实现弯道超车，成为全球领导者之一。</w:t>
      </w:r>
    </w:p>
    <w:p>
      <w:pPr>
        <w:pStyle w:val="BodyText"/>
        <w:spacing w:line="266" w:lineRule="auto" w:before="48"/>
        <w:ind w:right="1126" w:firstLine="420"/>
        <w:jc w:val="both"/>
      </w:pPr>
      <w:r>
        <w:rPr/>
        <w:t>公司是目前国内零售信息管理系统的主要供应商，通过旗下</w:t>
      </w:r>
      <w:r>
        <w:rPr>
          <w:rFonts w:ascii="Times New Roman" w:hAnsi="Times New Roman" w:cs="Times New Roman" w:eastAsia="Times New Roman" w:hint="default"/>
        </w:rPr>
        <w:t>“</w:t>
      </w:r>
      <w:r>
        <w:rPr/>
        <w:t>长益</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富基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科传</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思迅</w:t>
      </w:r>
      <w:r>
        <w:rPr>
          <w:rFonts w:ascii="Times New Roman" w:hAnsi="Times New Roman" w:cs="Times New Roman" w:eastAsia="Times New Roman" w:hint="default"/>
        </w:rPr>
        <w:t>”</w:t>
      </w:r>
      <w:r>
        <w:rPr/>
        <w:t>四大品</w:t>
      </w:r>
      <w:r>
        <w:rPr>
          <w:w w:val="100"/>
        </w:rPr>
        <w:t> </w:t>
      </w:r>
      <w:r>
        <w:rPr>
          <w:spacing w:val="-2"/>
        </w:rPr>
        <w:t>牌，能够为整个零售行业提供理念最新、技术先进、产品线全面、服务全面的从供应端到消费端无缝集成</w:t>
      </w:r>
      <w:r>
        <w:rPr>
          <w:spacing w:val="-47"/>
        </w:rPr>
        <w:t> </w:t>
      </w:r>
      <w:r>
        <w:rPr>
          <w:spacing w:val="-47"/>
        </w:rPr>
      </w:r>
      <w:r>
        <w:rPr/>
        <w:t>的一体化全程管理解决方案。</w:t>
      </w:r>
    </w:p>
    <w:p>
      <w:pPr>
        <w:pStyle w:val="BodyText"/>
        <w:spacing w:line="290" w:lineRule="auto" w:before="52"/>
        <w:ind w:left="573" w:right="1133" w:firstLine="2"/>
        <w:jc w:val="left"/>
      </w:pPr>
      <w:r>
        <w:rPr>
          <w:rFonts w:ascii="Times New Roman" w:hAnsi="Times New Roman" w:cs="Times New Roman" w:eastAsia="Times New Roman" w:hint="default"/>
          <w:b/>
          <w:bCs/>
        </w:rPr>
        <w:t>2</w:t>
      </w:r>
      <w:r>
        <w:rPr>
          <w:rFonts w:ascii="宋体" w:hAnsi="宋体" w:cs="宋体" w:eastAsia="宋体" w:hint="default"/>
          <w:b/>
          <w:bCs/>
        </w:rPr>
        <w:t>、市场优势</w:t>
      </w:r>
      <w:r>
        <w:rPr>
          <w:rFonts w:ascii="宋体" w:hAnsi="宋体" w:cs="宋体" w:eastAsia="宋体" w:hint="default"/>
          <w:b/>
          <w:bCs/>
          <w:w w:val="100"/>
        </w:rPr>
        <w:t> </w:t>
      </w:r>
      <w:r>
        <w:rPr>
          <w:spacing w:val="-2"/>
        </w:rPr>
        <w:t>公司目前在高星级酒店市场占有显著的竞争优势，经营良好、服务专业的高星级酒店市场无论是国际</w:t>
      </w:r>
    </w:p>
    <w:p>
      <w:pPr>
        <w:pStyle w:val="BodyText"/>
        <w:spacing w:line="256" w:lineRule="auto"/>
        <w:ind w:right="1133"/>
        <w:jc w:val="left"/>
      </w:pPr>
      <w:r>
        <w:rPr>
          <w:spacing w:val="-1"/>
        </w:rPr>
        <w:t>连锁酒店还是本土集团大多数都是公司的全套信息系统和解决方案的客户。公司酒店客户总量超过</w:t>
      </w:r>
      <w:r>
        <w:rPr>
          <w:rFonts w:ascii="Times New Roman" w:hAnsi="Times New Roman" w:cs="Times New Roman" w:eastAsia="Times New Roman" w:hint="default"/>
          <w:spacing w:val="-1"/>
        </w:rPr>
        <w:t>13,000</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spacing w:val="-2"/>
        </w:rPr>
        <w:t>家，星级酒店市场占有率遥遥领先于其他竞争对手。在餐饮信息化行业高度分散的局势下，公司通过有效</w:t>
      </w:r>
    </w:p>
    <w:p>
      <w:pPr>
        <w:spacing w:after="0" w:line="25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61" w:lineRule="auto" w:before="36"/>
        <w:ind w:right="1126"/>
        <w:jc w:val="both"/>
      </w:pPr>
      <w:r>
        <w:rPr>
          <w:spacing w:val="-1"/>
        </w:rPr>
        <w:t>整合旗下四大品牌，中高端、连锁餐饮用户数量已超过</w:t>
      </w:r>
      <w:r>
        <w:rPr>
          <w:rFonts w:ascii="Times New Roman" w:hAnsi="Times New Roman" w:cs="Times New Roman" w:eastAsia="Times New Roman" w:hint="default"/>
          <w:spacing w:val="-1"/>
        </w:rPr>
        <w:t>10,000</w:t>
      </w:r>
      <w:r>
        <w:rPr>
          <w:spacing w:val="-1"/>
        </w:rPr>
        <w:t>家，大众餐饮店用户约</w:t>
      </w:r>
      <w:r>
        <w:rPr>
          <w:rFonts w:ascii="Times New Roman" w:hAnsi="Times New Roman" w:cs="Times New Roman" w:eastAsia="Times New Roman" w:hint="default"/>
          <w:spacing w:val="-1"/>
        </w:rPr>
        <w:t>20</w:t>
      </w:r>
      <w:r>
        <w:rPr>
          <w:spacing w:val="-1"/>
        </w:rPr>
        <w:t>万家，无论在中高</w:t>
      </w:r>
      <w:r>
        <w:rPr>
          <w:spacing w:val="-29"/>
        </w:rPr>
        <w:t> </w:t>
      </w:r>
      <w:r>
        <w:rPr>
          <w:spacing w:val="-29"/>
        </w:rPr>
      </w:r>
      <w:r>
        <w:rPr>
          <w:spacing w:val="-2"/>
        </w:rPr>
        <w:t>端及连锁餐饮市场还是在整个餐饮信息化市场的占有率均处于相对领先水平。在零售信息系统行业，通过</w:t>
      </w:r>
      <w:r>
        <w:rPr>
          <w:spacing w:val="-43"/>
        </w:rPr>
        <w:t> </w:t>
      </w:r>
      <w:r>
        <w:rPr>
          <w:spacing w:val="-43"/>
        </w:rPr>
      </w:r>
      <w:r>
        <w:rPr>
          <w:spacing w:val="-2"/>
        </w:rPr>
        <w:t>投资或控股的科传控股、长益科技、富基、思迅软件，零售客户总数约</w:t>
      </w:r>
      <w:r>
        <w:rPr>
          <w:rFonts w:ascii="Times New Roman" w:hAnsi="Times New Roman" w:cs="Times New Roman" w:eastAsia="Times New Roman" w:hint="default"/>
          <w:spacing w:val="-2"/>
        </w:rPr>
        <w:t>40</w:t>
      </w:r>
      <w:r>
        <w:rPr>
          <w:spacing w:val="-2"/>
        </w:rPr>
        <w:t>万家，占中国规模化零售业客户</w:t>
      </w:r>
      <w:r>
        <w:rPr>
          <w:spacing w:val="-40"/>
        </w:rPr>
        <w:t> </w:t>
      </w:r>
      <w:r>
        <w:rPr>
          <w:spacing w:val="-40"/>
        </w:rPr>
      </w:r>
      <w:r>
        <w:rPr/>
        <w:t>群的</w:t>
      </w:r>
      <w:r>
        <w:rPr>
          <w:rFonts w:ascii="Times New Roman" w:hAnsi="Times New Roman" w:cs="Times New Roman" w:eastAsia="Times New Roman" w:hint="default"/>
        </w:rPr>
        <w:t>6</w:t>
      </w:r>
      <w:r>
        <w:rPr/>
        <w:t>至</w:t>
      </w:r>
      <w:r>
        <w:rPr>
          <w:rFonts w:ascii="Times New Roman" w:hAnsi="Times New Roman" w:cs="Times New Roman" w:eastAsia="Times New Roman" w:hint="default"/>
        </w:rPr>
        <w:t>7</w:t>
      </w:r>
      <w:r>
        <w:rPr/>
        <w:t>成。</w:t>
      </w:r>
    </w:p>
    <w:p>
      <w:pPr>
        <w:pStyle w:val="BodyText"/>
        <w:spacing w:line="290" w:lineRule="auto" w:before="41"/>
        <w:ind w:left="573" w:right="1133" w:firstLine="2"/>
        <w:jc w:val="left"/>
      </w:pPr>
      <w:r>
        <w:rPr>
          <w:rFonts w:ascii="Times New Roman" w:hAnsi="Times New Roman" w:cs="Times New Roman" w:eastAsia="Times New Roman" w:hint="default"/>
          <w:b/>
          <w:bCs/>
        </w:rPr>
        <w:t>3</w:t>
      </w:r>
      <w:r>
        <w:rPr>
          <w:rFonts w:ascii="宋体" w:hAnsi="宋体" w:cs="宋体" w:eastAsia="宋体" w:hint="default"/>
          <w:b/>
          <w:bCs/>
        </w:rPr>
        <w:t>、客户优势</w:t>
      </w:r>
      <w:r>
        <w:rPr>
          <w:rFonts w:ascii="宋体" w:hAnsi="宋体" w:cs="宋体" w:eastAsia="宋体" w:hint="default"/>
          <w:b/>
          <w:bCs/>
          <w:w w:val="100"/>
        </w:rPr>
        <w:t> </w:t>
      </w:r>
      <w:r>
        <w:rPr>
          <w:spacing w:val="-2"/>
        </w:rPr>
        <w:t>公司在高星级酒店，尤其是五星级酒店，以及规模化零售业的信息管理系统市场均占有较大的份额，</w:t>
      </w:r>
    </w:p>
    <w:p>
      <w:pPr>
        <w:pStyle w:val="BodyText"/>
        <w:spacing w:line="273" w:lineRule="auto"/>
        <w:ind w:right="1126"/>
        <w:jc w:val="both"/>
      </w:pPr>
      <w:r>
        <w:rPr>
          <w:spacing w:val="-2"/>
        </w:rPr>
        <w:t>在中高端餐饮行业客户占比领先于其他竞争对手，这些中高端客户经营稳健、管理规范、信誉卓著，对技</w:t>
      </w:r>
      <w:r>
        <w:rPr>
          <w:spacing w:val="-44"/>
        </w:rPr>
        <w:t> </w:t>
      </w:r>
      <w:r>
        <w:rPr>
          <w:spacing w:val="-44"/>
        </w:rPr>
      </w:r>
      <w:r>
        <w:rPr>
          <w:spacing w:val="-2"/>
        </w:rPr>
        <w:t>术与服务的需求往往反映了国内信息行业的未来发展趋势。本公司与他们的合作一方面有力推动本公司技</w:t>
      </w:r>
      <w:r>
        <w:rPr>
          <w:spacing w:val="-43"/>
        </w:rPr>
        <w:t> </w:t>
      </w:r>
      <w:r>
        <w:rPr>
          <w:spacing w:val="-43"/>
        </w:rPr>
      </w:r>
      <w:r>
        <w:rPr>
          <w:spacing w:val="-2"/>
        </w:rPr>
        <w:t>术水平的不断提高、服务手段的不断改进；另一方面从经营管理、财务控制、现金流入等方面保障了本公</w:t>
      </w:r>
      <w:r>
        <w:rPr>
          <w:spacing w:val="-50"/>
        </w:rPr>
        <w:t> </w:t>
      </w:r>
      <w:r>
        <w:rPr>
          <w:spacing w:val="-50"/>
        </w:rPr>
      </w:r>
      <w:r>
        <w:rPr/>
        <w:t>司的长远稳定发展。</w:t>
      </w:r>
    </w:p>
    <w:p>
      <w:pPr>
        <w:pStyle w:val="BodyText"/>
        <w:spacing w:line="290" w:lineRule="auto" w:before="48"/>
        <w:ind w:left="573" w:right="1133" w:firstLine="2"/>
        <w:jc w:val="left"/>
      </w:pPr>
      <w:r>
        <w:rPr>
          <w:rFonts w:ascii="Times New Roman" w:hAnsi="Times New Roman" w:cs="Times New Roman" w:eastAsia="Times New Roman" w:hint="default"/>
          <w:b/>
          <w:bCs/>
        </w:rPr>
        <w:t>4</w:t>
      </w:r>
      <w:r>
        <w:rPr>
          <w:rFonts w:ascii="宋体" w:hAnsi="宋体" w:cs="宋体" w:eastAsia="宋体" w:hint="default"/>
          <w:b/>
          <w:bCs/>
        </w:rPr>
        <w:t>、品牌优势</w:t>
      </w:r>
      <w:r>
        <w:rPr>
          <w:rFonts w:ascii="宋体" w:hAnsi="宋体" w:cs="宋体" w:eastAsia="宋体" w:hint="default"/>
          <w:b/>
          <w:bCs/>
          <w:w w:val="100"/>
        </w:rPr>
        <w:t> </w:t>
      </w:r>
      <w:r>
        <w:rPr>
          <w:spacing w:val="-2"/>
        </w:rPr>
        <w:t>客户使用石基信息品牌的酒店信息管理系统，可以节省人力成本，增加收益，提升管理水平，加入主</w:t>
      </w:r>
    </w:p>
    <w:p>
      <w:pPr>
        <w:pStyle w:val="BodyText"/>
        <w:spacing w:line="273" w:lineRule="auto"/>
        <w:ind w:right="1133"/>
        <w:jc w:val="left"/>
      </w:pPr>
      <w:r>
        <w:rPr>
          <w:spacing w:val="-2"/>
        </w:rPr>
        <w:t>流酒店交流圈。尽管公司的很多品牌产品要比竞争对手产品价格高出数倍以上，但只要酒店配套投入资源</w:t>
      </w:r>
      <w:r>
        <w:rPr>
          <w:spacing w:val="-43"/>
        </w:rPr>
        <w:t> </w:t>
      </w:r>
      <w:r>
        <w:rPr>
          <w:spacing w:val="-43"/>
        </w:rPr>
      </w:r>
      <w:r>
        <w:rPr>
          <w:spacing w:val="-2"/>
        </w:rPr>
        <w:t>使系统能真正有效运转起来，就可以很快收回投资成本。主要原因是石基酒店信息管理系统是完全与国际</w:t>
      </w:r>
      <w:r>
        <w:rPr>
          <w:spacing w:val="-43"/>
        </w:rPr>
        <w:t> </w:t>
      </w:r>
      <w:r>
        <w:rPr>
          <w:spacing w:val="-43"/>
        </w:rPr>
      </w:r>
      <w:r>
        <w:rPr>
          <w:spacing w:val="-2"/>
        </w:rPr>
        <w:t>接轨的，全中国绝大多数好的酒店都在使用它，所以石基信息的品牌就成为了中国高星级酒店信息系统的</w:t>
      </w:r>
      <w:r>
        <w:rPr>
          <w:spacing w:val="-44"/>
        </w:rPr>
        <w:t> </w:t>
      </w:r>
      <w:r>
        <w:rPr>
          <w:spacing w:val="-44"/>
        </w:rPr>
      </w:r>
      <w:r>
        <w:rPr>
          <w:spacing w:val="-2"/>
        </w:rPr>
        <w:t>事实标准，而酒店信息管理系统是一套功能复杂的软件，要完全掌握和使用好这套系统，需要经过较长时</w:t>
      </w:r>
      <w:r>
        <w:rPr>
          <w:spacing w:val="-44"/>
        </w:rPr>
        <w:t> </w:t>
      </w:r>
      <w:r>
        <w:rPr>
          <w:spacing w:val="-44"/>
        </w:rPr>
      </w:r>
      <w:r>
        <w:rPr>
          <w:spacing w:val="-2"/>
        </w:rPr>
        <w:t>间的培训和经验积累，因而，整个酒店行业的人力资源就与石基信息酒店信息系统紧密关联。具有领先优</w:t>
      </w:r>
      <w:r>
        <w:rPr>
          <w:spacing w:val="-44"/>
        </w:rPr>
        <w:t> </w:t>
      </w:r>
      <w:r>
        <w:rPr>
          <w:spacing w:val="-44"/>
        </w:rPr>
      </w:r>
      <w:r>
        <w:rPr/>
        <w:t>势的市场占有率，意味着中国酒店业几乎所有最优秀的人才都在使用石基酒店信息管理系统作为工作语</w:t>
      </w:r>
      <w:r>
        <w:rPr>
          <w:w w:val="100"/>
        </w:rPr>
        <w:t> </w:t>
      </w:r>
      <w:r>
        <w:rPr>
          <w:spacing w:val="-2"/>
        </w:rPr>
        <w:t>言，由于酒店业是人才流动非常高的行业，如果一个酒店不使用石基酒店信息系统，这些优秀的人才即使</w:t>
      </w:r>
      <w:r>
        <w:rPr>
          <w:spacing w:val="-43"/>
        </w:rPr>
        <w:t> </w:t>
      </w:r>
      <w:r>
        <w:rPr>
          <w:spacing w:val="-43"/>
        </w:rPr>
      </w:r>
      <w:r>
        <w:rPr>
          <w:spacing w:val="-2"/>
        </w:rPr>
        <w:t>加入该酒店其工作效率肯定要大打折扣。这就是标准化给行业带来的价值。而公司投资的零售业信息管理</w:t>
      </w:r>
      <w:r>
        <w:rPr>
          <w:spacing w:val="-42"/>
        </w:rPr>
        <w:t> </w:t>
      </w:r>
      <w:r>
        <w:rPr>
          <w:spacing w:val="-42"/>
        </w:rPr>
      </w:r>
      <w:r>
        <w:rPr/>
        <w:t>系统行业品牌</w:t>
      </w:r>
      <w:r>
        <w:rPr>
          <w:rFonts w:ascii="Times New Roman" w:hAnsi="Times New Roman" w:cs="Times New Roman" w:eastAsia="Times New Roman" w:hint="default"/>
        </w:rPr>
        <w:t>“</w:t>
      </w:r>
      <w:r>
        <w:rPr/>
        <w:t>富基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长益</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科传</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海信</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思迅</w:t>
      </w:r>
      <w:r>
        <w:rPr>
          <w:rFonts w:ascii="Times New Roman" w:hAnsi="Times New Roman" w:cs="Times New Roman" w:eastAsia="Times New Roman" w:hint="default"/>
        </w:rPr>
        <w:t>”</w:t>
      </w:r>
      <w:r>
        <w:rPr/>
        <w:t>亦是这一行业最优秀的品牌代表。</w:t>
      </w:r>
    </w:p>
    <w:p>
      <w:pPr>
        <w:pStyle w:val="BodyText"/>
        <w:spacing w:line="290" w:lineRule="auto" w:before="27"/>
        <w:ind w:left="575" w:right="1133"/>
        <w:jc w:val="left"/>
      </w:pPr>
      <w:r>
        <w:rPr>
          <w:rFonts w:ascii="Times New Roman" w:hAnsi="Times New Roman" w:cs="Times New Roman" w:eastAsia="Times New Roman" w:hint="default"/>
          <w:b/>
          <w:bCs/>
        </w:rPr>
        <w:t>5</w:t>
      </w:r>
      <w:r>
        <w:rPr>
          <w:rFonts w:ascii="宋体" w:hAnsi="宋体" w:cs="宋体" w:eastAsia="宋体" w:hint="default"/>
          <w:b/>
          <w:bCs/>
        </w:rPr>
        <w:t>、人才优势</w:t>
      </w:r>
      <w:r>
        <w:rPr>
          <w:rFonts w:ascii="宋体" w:hAnsi="宋体" w:cs="宋体" w:eastAsia="宋体" w:hint="default"/>
          <w:b/>
          <w:bCs/>
          <w:spacing w:val="-104"/>
        </w:rPr>
        <w:t> </w:t>
      </w:r>
      <w:r>
        <w:rPr>
          <w:spacing w:val="-2"/>
        </w:rPr>
        <w:t>公司已建立起一支技术精湛、经验丰富、结构合理、团结合作的国际化管理团队。过去几年，公司加</w:t>
      </w:r>
    </w:p>
    <w:p>
      <w:pPr>
        <w:pStyle w:val="BodyText"/>
        <w:spacing w:line="273" w:lineRule="auto"/>
        <w:ind w:right="0"/>
        <w:jc w:val="left"/>
      </w:pPr>
      <w:r>
        <w:rPr>
          <w:spacing w:val="-2"/>
        </w:rPr>
        <w:t>大了海外专业人才的招聘和使用，公司已经在全球范围建立了基本覆盖全球酒店、餐饮、娱乐业需求的技</w:t>
      </w:r>
      <w:r>
        <w:rPr>
          <w:spacing w:val="-43"/>
        </w:rPr>
        <w:t> </w:t>
      </w:r>
      <w:r>
        <w:rPr>
          <w:spacing w:val="-43"/>
        </w:rPr>
      </w:r>
      <w:r>
        <w:rPr>
          <w:spacing w:val="-2"/>
        </w:rPr>
        <w:t>术领先的研发团队，他们或具有多年国际酒店管理的经验，或具有十数年的酒店信息管理系统开发设计经</w:t>
      </w:r>
      <w:r>
        <w:rPr>
          <w:spacing w:val="-43"/>
        </w:rPr>
        <w:t> </w:t>
      </w:r>
      <w:r>
        <w:rPr>
          <w:spacing w:val="-43"/>
        </w:rPr>
      </w:r>
      <w:r>
        <w:rPr>
          <w:spacing w:val="-5"/>
        </w:rPr>
        <w:t>验，对国内外酒店信息管理系统行业的技术及业务发展历程、未来趋势具有深刻理解，本公司的产品开发、</w:t>
      </w:r>
      <w:r>
        <w:rPr>
          <w:spacing w:val="-4"/>
        </w:rPr>
        <w:t> </w:t>
      </w:r>
      <w:r>
        <w:rPr>
          <w:spacing w:val="-4"/>
        </w:rPr>
      </w:r>
      <w:r>
        <w:rPr>
          <w:spacing w:val="-2"/>
        </w:rPr>
        <w:t>市场销售业务骨干大多具有多年国际酒店从业经验，既精通信息技术，同时又理解酒店及消费者需求；工</w:t>
      </w:r>
      <w:r>
        <w:rPr>
          <w:spacing w:val="-45"/>
        </w:rPr>
        <w:t> </w:t>
      </w:r>
      <w:r>
        <w:rPr>
          <w:spacing w:val="-45"/>
        </w:rPr>
      </w:r>
      <w:r>
        <w:rPr>
          <w:spacing w:val="-2"/>
        </w:rPr>
        <w:t>程实施、技术服务人员也大都具有多年从业经验，并经公司严格的内部培训。公司通过收购快速实现了规</w:t>
      </w:r>
      <w:r>
        <w:rPr>
          <w:spacing w:val="-43"/>
        </w:rPr>
        <w:t> </w:t>
      </w:r>
      <w:r>
        <w:rPr>
          <w:spacing w:val="-43"/>
        </w:rPr>
      </w:r>
      <w:r>
        <w:rPr/>
        <w:t>模化零售业信息管理系统行业的相对控制，这些从事零售业信息系统业务的子公司为行业最优秀的公司，</w:t>
      </w:r>
      <w:r>
        <w:rPr>
          <w:w w:val="100"/>
        </w:rPr>
        <w:t> </w:t>
      </w:r>
      <w:r>
        <w:rPr>
          <w:spacing w:val="-2"/>
        </w:rPr>
        <w:t>代表了行业最优秀的管理和运营团队。因此，专业的国际化管理团队和专业、敬业的优秀员工队伍是本公</w:t>
      </w:r>
      <w:r>
        <w:rPr>
          <w:spacing w:val="-44"/>
        </w:rPr>
        <w:t> </w:t>
      </w:r>
      <w:r>
        <w:rPr>
          <w:spacing w:val="-44"/>
        </w:rPr>
      </w:r>
      <w:r>
        <w:rPr/>
        <w:t>司的核心竞争优势之一。</w:t>
      </w:r>
    </w:p>
    <w:p>
      <w:pPr>
        <w:spacing w:after="0" w:line="273"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3" w:right="1133"/>
        <w:jc w:val="left"/>
        <w:rPr>
          <w:b w:val="0"/>
          <w:bCs w:val="0"/>
        </w:rPr>
      </w:pPr>
      <w:bookmarkStart w:name="_bookmark2" w:id="3"/>
      <w:bookmarkEnd w:id="3"/>
      <w:r>
        <w:rPr>
          <w:b w:val="0"/>
          <w:bCs w:val="0"/>
        </w:rPr>
      </w:r>
      <w:r>
        <w:rPr/>
        <w:t>第四节</w:t>
      </w:r>
      <w:r>
        <w:rPr>
          <w:spacing w:val="-5"/>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1133"/>
        <w:jc w:val="left"/>
        <w:rPr>
          <w:b w:val="0"/>
          <w:bCs w:val="0"/>
        </w:rPr>
      </w:pPr>
      <w:r>
        <w:rPr/>
        <w:t>一、概述</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right="0" w:firstLine="422"/>
        <w:jc w:val="left"/>
      </w:pPr>
      <w:r>
        <w:rPr>
          <w:rFonts w:ascii="Times New Roman" w:hAnsi="Times New Roman" w:cs="Times New Roman" w:eastAsia="Times New Roman" w:hint="default"/>
          <w:spacing w:val="-5"/>
        </w:rPr>
        <w:t>2018</w:t>
      </w:r>
      <w:r>
        <w:rPr>
          <w:spacing w:val="-5"/>
        </w:rPr>
        <w:t>年度，公司加速从软件供应商向面向整个大消费领域、以大数据驱动的应用服务平台运营商转型，</w:t>
      </w:r>
      <w:r>
        <w:rPr>
          <w:w w:val="100"/>
        </w:rPr>
        <w:t> </w:t>
      </w:r>
      <w:r>
        <w:rPr/>
        <w:t>在国际化和平台化方面取得了一系列重要进展，公司业务收入总体实现了稳定增长，经营效益稳步提升。</w:t>
      </w:r>
    </w:p>
    <w:p>
      <w:pPr>
        <w:pStyle w:val="BodyText"/>
        <w:spacing w:line="261" w:lineRule="auto" w:before="61"/>
        <w:ind w:right="1092" w:firstLine="422"/>
        <w:jc w:val="both"/>
      </w:pPr>
      <w:r>
        <w:rPr>
          <w:spacing w:val="-2"/>
        </w:rPr>
        <w:t>报告期内，公司平台化业务发展态势良好，通过公司零售业务板块协同效应的持续发挥，公司支付平</w:t>
      </w:r>
      <w:r>
        <w:rPr>
          <w:w w:val="100"/>
        </w:rPr>
        <w:t> </w:t>
      </w:r>
      <w:r>
        <w:rPr/>
        <w:t>台流量保持快速增长，公司客户与支付宝和微信直连的支付业务</w:t>
      </w:r>
      <w:r>
        <w:rPr>
          <w:rFonts w:ascii="Times New Roman" w:hAnsi="Times New Roman" w:cs="Times New Roman" w:eastAsia="Times New Roman" w:hint="default"/>
        </w:rPr>
        <w:t>2018</w:t>
      </w:r>
      <w:r>
        <w:rPr/>
        <w:t>年度交易总金额超过</w:t>
      </w:r>
      <w:r>
        <w:rPr>
          <w:rFonts w:ascii="Times New Roman" w:hAnsi="Times New Roman" w:cs="Times New Roman" w:eastAsia="Times New Roman" w:hint="default"/>
        </w:rPr>
        <w:t>1,100</w:t>
      </w:r>
      <w:r>
        <w:rPr/>
        <w:t>亿元人民</w:t>
      </w:r>
      <w:r>
        <w:rPr>
          <w:spacing w:val="19"/>
        </w:rPr>
        <w:t> </w:t>
      </w:r>
      <w:r>
        <w:rPr>
          <w:spacing w:val="19"/>
        </w:rPr>
      </w:r>
      <w:r>
        <w:rPr>
          <w:spacing w:val="-3"/>
        </w:rPr>
        <w:t>币，与</w:t>
      </w:r>
      <w:r>
        <w:rPr>
          <w:rFonts w:ascii="Times New Roman" w:hAnsi="Times New Roman" w:cs="Times New Roman" w:eastAsia="Times New Roman" w:hint="default"/>
          <w:spacing w:val="-3"/>
        </w:rPr>
        <w:t>2017</w:t>
      </w:r>
      <w:r>
        <w:rPr>
          <w:spacing w:val="-3"/>
        </w:rPr>
        <w:t>年同期流量相比增长</w:t>
      </w:r>
      <w:r>
        <w:rPr>
          <w:rFonts w:ascii="Times New Roman" w:hAnsi="Times New Roman" w:cs="Times New Roman" w:eastAsia="Times New Roman" w:hint="default"/>
          <w:spacing w:val="-3"/>
        </w:rPr>
        <w:t>126%</w:t>
      </w:r>
      <w:r>
        <w:rPr>
          <w:spacing w:val="-3"/>
        </w:rPr>
        <w:t>，畅联预订平台技术进一步提升，交易流量与上年同期相比实现</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7"/>
        </w:rPr>
        <w:t>的良性增长。国际化方面，公司不断完善新一代云平台的酒店、餐饮信息系统，云平台</w:t>
      </w:r>
      <w:r>
        <w:rPr>
          <w:rFonts w:ascii="Times New Roman" w:hAnsi="Times New Roman" w:cs="Times New Roman" w:eastAsia="Times New Roman" w:hint="default"/>
          <w:spacing w:val="-7"/>
        </w:rPr>
        <w:t>POS</w:t>
      </w:r>
      <w:r>
        <w:rPr>
          <w:spacing w:val="-7"/>
        </w:rPr>
        <w:t>系统</w:t>
      </w:r>
      <w:r>
        <w:rPr>
          <w:rFonts w:ascii="Times New Roman" w:hAnsi="Times New Roman" w:cs="Times New Roman" w:eastAsia="Times New Roman" w:hint="default"/>
          <w:spacing w:val="-7"/>
        </w:rPr>
        <w:t>“INFRASYS</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rFonts w:ascii="Times New Roman" w:hAnsi="Times New Roman" w:cs="Times New Roman" w:eastAsia="Times New Roman" w:hint="default"/>
          <w:spacing w:val="-4"/>
        </w:rPr>
        <w:t>CLOUD”</w:t>
      </w:r>
      <w:r>
        <w:rPr>
          <w:spacing w:val="-4"/>
        </w:rPr>
        <w:t>在取得了里程碑式进展基础上，继续获得数个国际知名酒店集团认可；</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月初，公司完成了</w:t>
      </w:r>
      <w:r>
        <w:rPr>
          <w:spacing w:val="-17"/>
        </w:rPr>
        <w:t> </w:t>
      </w:r>
      <w:r>
        <w:rPr>
          <w:spacing w:val="-17"/>
        </w:rPr>
      </w:r>
      <w:r>
        <w:rPr>
          <w:spacing w:val="-1"/>
        </w:rPr>
        <w:t>全资子公司石基零售</w:t>
      </w:r>
      <w:r>
        <w:rPr>
          <w:rFonts w:ascii="Times New Roman" w:hAnsi="Times New Roman" w:cs="Times New Roman" w:eastAsia="Times New Roman" w:hint="default"/>
          <w:spacing w:val="-1"/>
        </w:rPr>
        <w:t>38%</w:t>
      </w:r>
      <w:r>
        <w:rPr>
          <w:spacing w:val="-1"/>
        </w:rPr>
        <w:t>的股权出让给阿里</w:t>
      </w:r>
      <w:r>
        <w:rPr>
          <w:rFonts w:ascii="Times New Roman" w:hAnsi="Times New Roman" w:cs="Times New Roman" w:eastAsia="Times New Roman" w:hint="default"/>
          <w:spacing w:val="-1"/>
        </w:rPr>
        <w:t>SJ</w:t>
      </w:r>
      <w:r>
        <w:rPr>
          <w:spacing w:val="-1"/>
        </w:rPr>
        <w:t>投资的交易，奠定了公司国际化战略的资金基础，并在不断</w:t>
      </w:r>
      <w:r>
        <w:rPr>
          <w:spacing w:val="-41"/>
        </w:rPr>
        <w:t> </w:t>
      </w:r>
      <w:r>
        <w:rPr>
          <w:spacing w:val="-41"/>
        </w:rPr>
      </w:r>
      <w:r>
        <w:rPr>
          <w:spacing w:val="-2"/>
        </w:rPr>
        <w:t>加深与阿里巴巴集团在新零售领域的业务合作；为了将公司高端酒店信息系统业务向海外市场拓展，公司</w:t>
      </w:r>
      <w:r>
        <w:rPr>
          <w:spacing w:val="-43"/>
        </w:rPr>
        <w:t> </w:t>
      </w:r>
      <w:r>
        <w:rPr>
          <w:spacing w:val="-43"/>
        </w:rPr>
      </w:r>
      <w:r>
        <w:rPr/>
        <w:t>继续在印度、日本、迪拜、澳门、泰国等地新设立子公司，为全球客户提供服务，海外雇员超过</w:t>
      </w:r>
      <w:r>
        <w:rPr>
          <w:rFonts w:ascii="Times New Roman" w:hAnsi="Times New Roman" w:cs="Times New Roman" w:eastAsia="Times New Roman" w:hint="default"/>
        </w:rPr>
        <w:t>500</w:t>
      </w:r>
      <w:r>
        <w:rPr/>
        <w:t>名；</w:t>
      </w:r>
      <w:r>
        <w:rPr>
          <w:spacing w:val="-22"/>
        </w:rPr>
        <w:t> </w:t>
      </w:r>
      <w:r>
        <w:rPr>
          <w:spacing w:val="-2"/>
        </w:rPr>
        <w:t>国际化投资方面继续重点围绕酒店业务开展，</w:t>
      </w:r>
      <w:r>
        <w:rPr>
          <w:rFonts w:ascii="Times New Roman" w:hAnsi="Times New Roman" w:cs="Times New Roman" w:eastAsia="Times New Roman" w:hint="default"/>
          <w:spacing w:val="-2"/>
        </w:rPr>
        <w:t>2018</w:t>
      </w:r>
      <w:r>
        <w:rPr>
          <w:spacing w:val="-2"/>
        </w:rPr>
        <w:t>年实现全资收购移动酒店信息系统提供商</w:t>
      </w:r>
      <w:r>
        <w:rPr>
          <w:rFonts w:ascii="Times New Roman" w:hAnsi="Times New Roman" w:cs="Times New Roman" w:eastAsia="Times New Roman" w:hint="default"/>
          <w:spacing w:val="-2"/>
        </w:rPr>
        <w:t>StayNTouch</w:t>
      </w:r>
      <w:r>
        <w:rPr>
          <w:spacing w:val="-2"/>
        </w:rPr>
        <w:t>、</w:t>
      </w:r>
      <w:r>
        <w:rPr>
          <w:spacing w:val="-6"/>
        </w:rPr>
        <w:t> </w:t>
      </w:r>
      <w:r>
        <w:rPr/>
        <w:t>酒店大数据分析服务商</w:t>
      </w:r>
      <w:r>
        <w:rPr>
          <w:rFonts w:ascii="Times New Roman" w:hAnsi="Times New Roman" w:cs="Times New Roman" w:eastAsia="Times New Roman" w:hint="default"/>
        </w:rPr>
        <w:t>Snapshot</w:t>
      </w:r>
      <w:r>
        <w:rPr/>
        <w:t>、高尔夫及水疗管理解决方案提供商</w:t>
      </w:r>
      <w:r>
        <w:rPr>
          <w:rFonts w:ascii="Times New Roman" w:hAnsi="Times New Roman" w:cs="Times New Roman" w:eastAsia="Times New Roman" w:hint="default"/>
        </w:rPr>
        <w:t>CONCEPT</w:t>
      </w:r>
      <w:r>
        <w:rPr/>
        <w:t>公司。</w:t>
      </w:r>
    </w:p>
    <w:p>
      <w:pPr>
        <w:pStyle w:val="BodyText"/>
        <w:spacing w:line="256" w:lineRule="auto" w:before="41"/>
        <w:ind w:right="1085" w:firstLine="422"/>
        <w:jc w:val="both"/>
      </w:pPr>
      <w:r>
        <w:rPr>
          <w:spacing w:val="-2"/>
        </w:rPr>
        <w:t>报告期内，公司实现营业收入</w:t>
      </w:r>
      <w:r>
        <w:rPr>
          <w:rFonts w:ascii="Times New Roman" w:hAnsi="Times New Roman" w:cs="Times New Roman" w:eastAsia="Times New Roman" w:hint="default"/>
          <w:spacing w:val="-2"/>
        </w:rPr>
        <w:t>309,751.94</w:t>
      </w:r>
      <w:r>
        <w:rPr>
          <w:spacing w:val="-2"/>
        </w:rPr>
        <w:t>万元，比去年同期增长</w:t>
      </w:r>
      <w:r>
        <w:rPr>
          <w:rFonts w:ascii="Times New Roman" w:hAnsi="Times New Roman" w:cs="Times New Roman" w:eastAsia="Times New Roman" w:hint="default"/>
          <w:spacing w:val="-2"/>
        </w:rPr>
        <w:t>4.60%</w:t>
      </w:r>
      <w:r>
        <w:rPr>
          <w:spacing w:val="-2"/>
        </w:rPr>
        <w:t>；实现利润总额</w:t>
      </w:r>
      <w:r>
        <w:rPr>
          <w:rFonts w:ascii="Times New Roman" w:hAnsi="Times New Roman" w:cs="Times New Roman" w:eastAsia="Times New Roman" w:hint="default"/>
          <w:spacing w:val="-2"/>
        </w:rPr>
        <w:t>60,712.97</w:t>
      </w:r>
      <w:r>
        <w:rPr>
          <w:spacing w:val="-2"/>
        </w:rPr>
        <w:t>万元，</w:t>
      </w:r>
      <w:r>
        <w:rPr>
          <w:w w:val="100"/>
        </w:rPr>
        <w:t> </w:t>
      </w:r>
      <w:r>
        <w:rPr/>
        <w:t>比去年同期增长</w:t>
      </w:r>
      <w:r>
        <w:rPr>
          <w:rFonts w:ascii="Times New Roman" w:hAnsi="Times New Roman" w:cs="Times New Roman" w:eastAsia="Times New Roman" w:hint="default"/>
        </w:rPr>
        <w:t>25.35%</w:t>
      </w:r>
      <w:r>
        <w:rPr/>
        <w:t>；实现归属于上市公司股东净利润</w:t>
      </w:r>
      <w:r>
        <w:rPr>
          <w:rFonts w:ascii="Times New Roman" w:hAnsi="Times New Roman" w:cs="Times New Roman" w:eastAsia="Times New Roman" w:hint="default"/>
        </w:rPr>
        <w:t>46,348.25</w:t>
      </w:r>
      <w:r>
        <w:rPr/>
        <w:t>万元，比去年同期增长</w:t>
      </w:r>
      <w:r>
        <w:rPr>
          <w:rFonts w:ascii="Times New Roman" w:hAnsi="Times New Roman" w:cs="Times New Roman" w:eastAsia="Times New Roman" w:hint="default"/>
        </w:rPr>
        <w:t>10.61%</w:t>
      </w:r>
      <w:r>
        <w:rPr/>
        <w:t>。</w:t>
      </w:r>
    </w:p>
    <w:p>
      <w:pPr>
        <w:pStyle w:val="BodyText"/>
        <w:spacing w:line="240" w:lineRule="auto" w:before="46"/>
        <w:ind w:left="575" w:right="1133"/>
        <w:jc w:val="left"/>
      </w:pPr>
      <w:r>
        <w:rPr/>
        <w:t>报告期内，公司各项主要业务经营情况如下：</w:t>
      </w:r>
    </w:p>
    <w:p>
      <w:pPr>
        <w:spacing w:line="290" w:lineRule="auto" w:before="75"/>
        <w:ind w:left="575"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、酒店信息系统业务及咨询服务业务</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报告期内，公司主要由母公司、全资子公司北京石基、上海石基、北海石基开展完全国际化经营与管</w:t>
      </w:r>
    </w:p>
    <w:p>
      <w:pPr>
        <w:pStyle w:val="BodyText"/>
        <w:spacing w:line="261" w:lineRule="auto"/>
        <w:ind w:right="0"/>
        <w:jc w:val="left"/>
      </w:pPr>
      <w:r>
        <w:rPr/>
        <w:t>理的高星级酒店的信息系统业务，全资子公司杭州西软、广州万迅和航信华仪开展本地中高档星级酒店信</w:t>
      </w:r>
      <w:r>
        <w:rPr>
          <w:w w:val="100"/>
        </w:rPr>
        <w:t> </w:t>
      </w:r>
      <w:r>
        <w:rPr>
          <w:spacing w:val="-4"/>
        </w:rPr>
        <w:t>息系统业务，控股子公司石基昆仑则专注于酒店会员管理系统、客户关系管理系统与中央预订系统（</w:t>
      </w:r>
      <w:r>
        <w:rPr>
          <w:rFonts w:ascii="Times New Roman" w:hAnsi="Times New Roman" w:cs="Times New Roman" w:eastAsia="Times New Roman" w:hint="default"/>
          <w:spacing w:val="-4"/>
        </w:rPr>
        <w:t>CRS</w:t>
      </w:r>
      <w:r>
        <w:rPr>
          <w:spacing w:val="-4"/>
        </w:rPr>
        <w:t>）</w:t>
      </w:r>
      <w:r>
        <w:rPr>
          <w:spacing w:val="-24"/>
        </w:rPr>
        <w:t> </w:t>
      </w:r>
      <w:r>
        <w:rPr/>
        <w:t>业务，石基欧洲主要从事云平台的</w:t>
      </w:r>
      <w:r>
        <w:rPr>
          <w:rFonts w:ascii="Times New Roman" w:hAnsi="Times New Roman" w:cs="Times New Roman" w:eastAsia="Times New Roman" w:hint="default"/>
        </w:rPr>
        <w:t>PMS/CRS</w:t>
      </w:r>
      <w:r>
        <w:rPr/>
        <w:t>业务，</w:t>
      </w:r>
      <w:r>
        <w:rPr>
          <w:rFonts w:ascii="Times New Roman" w:hAnsi="Times New Roman" w:cs="Times New Roman" w:eastAsia="Times New Roman" w:hint="default"/>
        </w:rPr>
        <w:t>RR</w:t>
      </w:r>
      <w:r>
        <w:rPr/>
        <w:t>公司为酒店提供声誉评价及管理解决方案，浩华从</w:t>
      </w:r>
      <w:r>
        <w:rPr>
          <w:spacing w:val="-27"/>
        </w:rPr>
        <w:t> </w:t>
      </w:r>
      <w:r>
        <w:rPr>
          <w:spacing w:val="-27"/>
        </w:rPr>
      </w:r>
      <w:r>
        <w:rPr/>
        <w:t>事酒店管理顾问与咨询业务。</w:t>
      </w:r>
    </w:p>
    <w:p>
      <w:pPr>
        <w:pStyle w:val="BodyText"/>
        <w:spacing w:line="256" w:lineRule="auto" w:before="59"/>
        <w:ind w:right="1130" w:firstLine="422"/>
        <w:jc w:val="both"/>
      </w:pPr>
      <w:r>
        <w:rPr>
          <w:spacing w:val="-2"/>
        </w:rPr>
        <w:t>报告期内，完成新建国际高星级酒店信息系统项目</w:t>
      </w:r>
      <w:r>
        <w:rPr>
          <w:rFonts w:ascii="Times New Roman" w:hAnsi="Times New Roman" w:cs="Times New Roman" w:eastAsia="Times New Roman" w:hint="default"/>
          <w:spacing w:val="-2"/>
        </w:rPr>
        <w:t>138</w:t>
      </w:r>
      <w:r>
        <w:rPr>
          <w:spacing w:val="-2"/>
        </w:rPr>
        <w:t>个，新签技术支持与服务用户</w:t>
      </w:r>
      <w:r>
        <w:rPr>
          <w:rFonts w:ascii="Times New Roman" w:hAnsi="Times New Roman" w:cs="Times New Roman" w:eastAsia="Times New Roman" w:hint="default"/>
          <w:spacing w:val="-2"/>
        </w:rPr>
        <w:t>138</w:t>
      </w:r>
      <w:r>
        <w:rPr>
          <w:spacing w:val="-2"/>
        </w:rPr>
        <w:t>个，签订技术</w:t>
      </w:r>
      <w:r>
        <w:rPr>
          <w:w w:val="100"/>
        </w:rPr>
        <w:t> </w:t>
      </w:r>
      <w:r>
        <w:rPr/>
        <w:t>支持与服务合同的用户数达到</w:t>
      </w:r>
      <w:r>
        <w:rPr>
          <w:rFonts w:ascii="Times New Roman" w:hAnsi="Times New Roman" w:cs="Times New Roman" w:eastAsia="Times New Roman" w:hint="default"/>
        </w:rPr>
        <w:t>1669</w:t>
      </w:r>
      <w:r>
        <w:rPr/>
        <w:t>家。</w:t>
      </w:r>
    </w:p>
    <w:p>
      <w:pPr>
        <w:pStyle w:val="BodyText"/>
        <w:spacing w:line="256" w:lineRule="auto" w:before="43"/>
        <w:ind w:right="1126" w:firstLine="422"/>
        <w:jc w:val="both"/>
      </w:pPr>
      <w:r>
        <w:rPr/>
        <w:t>报告期内，全资子公司杭州西软新增酒店客户</w:t>
      </w:r>
      <w:r>
        <w:rPr>
          <w:rFonts w:ascii="Times New Roman" w:hAnsi="Times New Roman" w:cs="Times New Roman" w:eastAsia="Times New Roman" w:hint="default"/>
        </w:rPr>
        <w:t>655</w:t>
      </w:r>
      <w:r>
        <w:rPr/>
        <w:t>家，报告期末合计用户数量达到</w:t>
      </w:r>
      <w:r>
        <w:rPr>
          <w:rFonts w:ascii="Times New Roman" w:hAnsi="Times New Roman" w:cs="Times New Roman" w:eastAsia="Times New Roman" w:hint="default"/>
        </w:rPr>
        <w:t>7483</w:t>
      </w:r>
      <w:r>
        <w:rPr/>
        <w:t>家，继续保持</w:t>
      </w:r>
      <w:r>
        <w:rPr>
          <w:w w:val="100"/>
        </w:rPr>
        <w:t> </w:t>
      </w:r>
      <w:r>
        <w:rPr>
          <w:spacing w:val="-3"/>
        </w:rPr>
        <w:t>市场领先地位；研发方面，围绕酒店数字化转型推出数字签名、一点通、智能大屏，升级客房通、移动</w:t>
      </w:r>
      <w:r>
        <w:rPr>
          <w:rFonts w:ascii="Times New Roman" w:hAnsi="Times New Roman" w:cs="Times New Roman" w:eastAsia="Times New Roman" w:hint="default"/>
          <w:spacing w:val="-3"/>
        </w:rPr>
        <w:t>SC</w:t>
      </w:r>
      <w:r>
        <w:rPr>
          <w:rFonts w:ascii="Times New Roman" w:hAnsi="Times New Roman" w:cs="Times New Roman" w:eastAsia="Times New Roman" w:hint="default"/>
          <w:spacing w:val="9"/>
        </w:rPr>
        <w:t> </w:t>
      </w:r>
      <w:r>
        <w:rPr/>
        <w:t>等移动产品，实现了一键入住、甩卡退房等流程概念，云化</w:t>
      </w:r>
      <w:r>
        <w:rPr>
          <w:rFonts w:ascii="Times New Roman" w:hAnsi="Times New Roman" w:cs="Times New Roman" w:eastAsia="Times New Roman" w:hint="default"/>
        </w:rPr>
        <w:t>XMS</w:t>
      </w:r>
      <w:r>
        <w:rPr/>
        <w:t>产品线完成了迭代。</w:t>
      </w:r>
    </w:p>
    <w:p>
      <w:pPr>
        <w:pStyle w:val="BodyText"/>
        <w:spacing w:line="266" w:lineRule="auto" w:before="46"/>
        <w:ind w:right="1126" w:firstLine="422"/>
        <w:jc w:val="both"/>
      </w:pPr>
      <w:r>
        <w:rPr>
          <w:spacing w:val="-2"/>
        </w:rPr>
        <w:t>报告期内，航信华仪将部分客户引导升级至西软用户，通过与西软整合后更加合理规划公司研发、实</w:t>
      </w:r>
      <w:r>
        <w:rPr>
          <w:w w:val="100"/>
        </w:rPr>
        <w:t> </w:t>
      </w:r>
      <w:r>
        <w:rPr>
          <w:spacing w:val="-2"/>
        </w:rPr>
        <w:t>施和维护团队，新增酒店用户</w:t>
      </w:r>
      <w:r>
        <w:rPr>
          <w:rFonts w:ascii="Times New Roman" w:hAnsi="Times New Roman" w:cs="Times New Roman" w:eastAsia="Times New Roman" w:hint="default"/>
          <w:spacing w:val="-2"/>
        </w:rPr>
        <w:t>9</w:t>
      </w:r>
      <w:r>
        <w:rPr>
          <w:spacing w:val="-2"/>
        </w:rPr>
        <w:t>家，报告期末酒店用户总数</w:t>
      </w:r>
      <w:r>
        <w:rPr>
          <w:rFonts w:ascii="Times New Roman" w:hAnsi="Times New Roman" w:cs="Times New Roman" w:eastAsia="Times New Roman" w:hint="default"/>
          <w:spacing w:val="-2"/>
        </w:rPr>
        <w:t>765</w:t>
      </w:r>
      <w:r>
        <w:rPr>
          <w:spacing w:val="-2"/>
        </w:rPr>
        <w:t>家；技术研发方面，继续对原有</w:t>
      </w:r>
      <w:r>
        <w:rPr>
          <w:rFonts w:ascii="Times New Roman" w:hAnsi="Times New Roman" w:cs="Times New Roman" w:eastAsia="Times New Roman" w:hint="default"/>
          <w:spacing w:val="-2"/>
        </w:rPr>
        <w:t>PMS</w:t>
      </w:r>
      <w:r>
        <w:rPr>
          <w:spacing w:val="-2"/>
        </w:rPr>
        <w:t>酒店管</w:t>
      </w:r>
      <w:r>
        <w:rPr>
          <w:spacing w:val="-47"/>
        </w:rPr>
        <w:t> </w:t>
      </w:r>
      <w:r>
        <w:rPr>
          <w:spacing w:val="-2"/>
        </w:rPr>
        <w:t>理系统进行优化，完成了与西软移动报表管理系统的对接，与微信产品的优化，以及供应链系统升级改造</w:t>
      </w:r>
      <w:r>
        <w:rPr>
          <w:spacing w:val="-43"/>
        </w:rPr>
        <w:t> </w:t>
      </w:r>
      <w:r>
        <w:rPr>
          <w:spacing w:val="-43"/>
        </w:rPr>
      </w:r>
      <w:r>
        <w:rPr/>
        <w:t>等工作。</w:t>
      </w:r>
    </w:p>
    <w:p>
      <w:pPr>
        <w:pStyle w:val="BodyText"/>
        <w:spacing w:line="256" w:lineRule="auto" w:before="55"/>
        <w:ind w:right="1128" w:firstLine="422"/>
        <w:jc w:val="both"/>
      </w:pPr>
      <w:r>
        <w:rPr/>
        <w:t>报告期内，全资子公司广州万迅新增酒店客户</w:t>
      </w:r>
      <w:r>
        <w:rPr>
          <w:rFonts w:ascii="Times New Roman" w:hAnsi="Times New Roman" w:cs="Times New Roman" w:eastAsia="Times New Roman" w:hint="default"/>
        </w:rPr>
        <w:t>180</w:t>
      </w:r>
      <w:r>
        <w:rPr/>
        <w:t>家，报告期末酒店客户总数</w:t>
      </w:r>
      <w:r>
        <w:rPr>
          <w:rFonts w:ascii="Times New Roman" w:hAnsi="Times New Roman" w:cs="Times New Roman" w:eastAsia="Times New Roman" w:hint="default"/>
        </w:rPr>
        <w:t>4014</w:t>
      </w:r>
      <w:r>
        <w:rPr/>
        <w:t>家；云系统新用户</w:t>
      </w:r>
      <w:r>
        <w:rPr>
          <w:w w:val="100"/>
        </w:rPr>
        <w:t> </w:t>
      </w:r>
      <w:r>
        <w:rPr>
          <w:spacing w:val="-2"/>
        </w:rPr>
        <w:t>数稳步增长，</w:t>
      </w:r>
      <w:r>
        <w:rPr>
          <w:rFonts w:ascii="Times New Roman" w:hAnsi="Times New Roman" w:cs="Times New Roman" w:eastAsia="Times New Roman" w:hint="default"/>
          <w:spacing w:val="-2"/>
        </w:rPr>
        <w:t>2018</w:t>
      </w:r>
      <w:r>
        <w:rPr>
          <w:spacing w:val="-2"/>
        </w:rPr>
        <w:t>年新增客户中云</w:t>
      </w:r>
      <w:r>
        <w:rPr>
          <w:rFonts w:ascii="Times New Roman" w:hAnsi="Times New Roman" w:cs="Times New Roman" w:eastAsia="Times New Roman" w:hint="default"/>
          <w:spacing w:val="-2"/>
        </w:rPr>
        <w:t>PMS</w:t>
      </w:r>
      <w:r>
        <w:rPr>
          <w:spacing w:val="-2"/>
        </w:rPr>
        <w:t>增加</w:t>
      </w:r>
      <w:r>
        <w:rPr>
          <w:rFonts w:ascii="Times New Roman" w:hAnsi="Times New Roman" w:cs="Times New Roman" w:eastAsia="Times New Roman" w:hint="default"/>
          <w:spacing w:val="-2"/>
        </w:rPr>
        <w:t>36</w:t>
      </w:r>
      <w:r>
        <w:rPr>
          <w:spacing w:val="-2"/>
        </w:rPr>
        <w:t>个新用户；技术开发方面，完成了大部分传统产品的云化及</w:t>
      </w:r>
      <w:r>
        <w:rPr>
          <w:spacing w:val="-39"/>
        </w:rPr>
        <w:t> </w:t>
      </w:r>
      <w:r>
        <w:rPr>
          <w:spacing w:val="-39"/>
        </w:rPr>
      </w:r>
      <w:r>
        <w:rPr>
          <w:spacing w:val="-2"/>
        </w:rPr>
        <w:t>市场应用推广，云</w:t>
      </w:r>
      <w:r>
        <w:rPr>
          <w:rFonts w:ascii="Times New Roman" w:hAnsi="Times New Roman" w:cs="Times New Roman" w:eastAsia="Times New Roman" w:hint="default"/>
          <w:spacing w:val="-2"/>
        </w:rPr>
        <w:t>PMS</w:t>
      </w:r>
      <w:r>
        <w:rPr>
          <w:spacing w:val="-2"/>
        </w:rPr>
        <w:t>、</w:t>
      </w:r>
      <w:r>
        <w:rPr>
          <w:rFonts w:ascii="Times New Roman" w:hAnsi="Times New Roman" w:cs="Times New Roman" w:eastAsia="Times New Roman" w:hint="default"/>
          <w:spacing w:val="-2"/>
        </w:rPr>
        <w:t>ICRM</w:t>
      </w:r>
      <w:r>
        <w:rPr>
          <w:spacing w:val="-2"/>
        </w:rPr>
        <w:t>（云会员管理系统）、</w:t>
      </w:r>
      <w:r>
        <w:rPr>
          <w:rFonts w:ascii="Times New Roman" w:hAnsi="Times New Roman" w:cs="Times New Roman" w:eastAsia="Times New Roman" w:hint="default"/>
          <w:spacing w:val="-2"/>
        </w:rPr>
        <w:t>IFBM</w:t>
      </w:r>
      <w:r>
        <w:rPr>
          <w:spacing w:val="-2"/>
        </w:rPr>
        <w:t>（云餐饮管理系统）均已得到市场的认可并在</w:t>
      </w:r>
      <w:r>
        <w:rPr>
          <w:spacing w:val="-44"/>
        </w:rPr>
        <w:t> </w:t>
      </w:r>
      <w:r>
        <w:rPr>
          <w:spacing w:val="-44"/>
        </w:rPr>
      </w:r>
      <w:r>
        <w:rPr/>
        <w:t>众多客户中上线使用，</w:t>
      </w:r>
      <w:r>
        <w:rPr>
          <w:rFonts w:ascii="Times New Roman" w:hAnsi="Times New Roman" w:cs="Times New Roman" w:eastAsia="Times New Roman" w:hint="default"/>
        </w:rPr>
        <w:t>IAPT</w:t>
      </w:r>
      <w:r>
        <w:rPr/>
        <w:t>（云公寓长租管理系统）长租系统开始成功上线使用，</w:t>
      </w:r>
      <w:r>
        <w:rPr>
          <w:rFonts w:ascii="Times New Roman" w:hAnsi="Times New Roman" w:cs="Times New Roman" w:eastAsia="Times New Roman" w:hint="default"/>
        </w:rPr>
        <w:t>ICRS</w:t>
      </w:r>
      <w:r>
        <w:rPr/>
        <w:t>（云中央预订管</w:t>
      </w:r>
      <w:r>
        <w:rPr>
          <w:spacing w:val="-15"/>
        </w:rPr>
        <w:t> </w:t>
      </w:r>
      <w:r>
        <w:rPr>
          <w:spacing w:val="-15"/>
        </w:rPr>
      </w:r>
      <w:r>
        <w:rPr/>
        <w:t>理系统）集团化系统已完成云化。</w:t>
      </w:r>
    </w:p>
    <w:p>
      <w:pPr>
        <w:pStyle w:val="BodyText"/>
        <w:spacing w:line="240" w:lineRule="auto" w:before="61"/>
        <w:ind w:left="575" w:right="0"/>
        <w:jc w:val="left"/>
      </w:pPr>
      <w:r>
        <w:rPr/>
        <w:t>报告期内，石基昆仑新增酒店用户</w:t>
      </w:r>
      <w:r>
        <w:rPr>
          <w:rFonts w:ascii="Times New Roman" w:hAnsi="Times New Roman" w:cs="Times New Roman" w:eastAsia="Times New Roman" w:hint="default"/>
        </w:rPr>
        <w:t>98</w:t>
      </w:r>
      <w:r>
        <w:rPr/>
        <w:t>家，酒店用户总数达到</w:t>
      </w:r>
      <w:r>
        <w:rPr>
          <w:rFonts w:ascii="Times New Roman" w:hAnsi="Times New Roman" w:cs="Times New Roman" w:eastAsia="Times New Roman" w:hint="default"/>
        </w:rPr>
        <w:t>1287</w:t>
      </w:r>
      <w:r>
        <w:rPr/>
        <w:t>家；石基昆仑核心业务</w:t>
      </w:r>
      <w:r>
        <w:rPr>
          <w:rFonts w:ascii="Times New Roman" w:hAnsi="Times New Roman" w:cs="Times New Roman" w:eastAsia="Times New Roman" w:hint="default"/>
        </w:rPr>
        <w:t>CRS</w:t>
      </w:r>
      <w:r>
        <w:rPr/>
        <w:t>在国内四</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56" w:lineRule="auto" w:before="36"/>
        <w:ind w:right="1126"/>
        <w:jc w:val="both"/>
      </w:pPr>
      <w:r>
        <w:rPr>
          <w:spacing w:val="-2"/>
        </w:rPr>
        <w:t>五星级连锁酒店集团市场占有率保持在</w:t>
      </w:r>
      <w:r>
        <w:rPr>
          <w:rFonts w:ascii="Times New Roman" w:hAnsi="Times New Roman" w:cs="Times New Roman" w:eastAsia="Times New Roman" w:hint="default"/>
          <w:spacing w:val="-2"/>
        </w:rPr>
        <w:t>80%</w:t>
      </w:r>
      <w:r>
        <w:rPr>
          <w:spacing w:val="-2"/>
        </w:rPr>
        <w:t>；重点推进了多业态目的地项目产品中台的研发和市场推广，</w:t>
      </w:r>
      <w:r>
        <w:rPr>
          <w:spacing w:val="-5"/>
        </w:rPr>
        <w:t> </w:t>
      </w:r>
      <w:r>
        <w:rPr>
          <w:spacing w:val="-5"/>
        </w:rPr>
      </w:r>
      <w:r>
        <w:rPr>
          <w:spacing w:val="-2"/>
        </w:rPr>
        <w:t>持续优化和提升</w:t>
      </w:r>
      <w:r>
        <w:rPr>
          <w:rFonts w:ascii="Times New Roman" w:hAnsi="Times New Roman" w:cs="Times New Roman" w:eastAsia="Times New Roman" w:hint="default"/>
          <w:spacing w:val="-2"/>
        </w:rPr>
        <w:t>CRS</w:t>
      </w:r>
      <w:r>
        <w:rPr>
          <w:spacing w:val="-2"/>
        </w:rPr>
        <w:t>系统，大力推进新一代宴会销售系统（</w:t>
      </w:r>
      <w:r>
        <w:rPr>
          <w:rFonts w:ascii="Times New Roman" w:hAnsi="Times New Roman" w:cs="Times New Roman" w:eastAsia="Times New Roman" w:hint="default"/>
          <w:spacing w:val="-2"/>
        </w:rPr>
        <w:t>KEH</w:t>
      </w:r>
      <w:r>
        <w:rPr>
          <w:spacing w:val="-2"/>
        </w:rPr>
        <w:t>）的产品落地，同时加强了云早餐、自动</w:t>
      </w:r>
      <w:r>
        <w:rPr>
          <w:spacing w:val="-26"/>
        </w:rPr>
        <w:t> </w:t>
      </w:r>
      <w:r>
        <w:rPr>
          <w:spacing w:val="-26"/>
        </w:rPr>
      </w:r>
      <w:r>
        <w:rPr/>
        <w:t>化发票、无纸化方案等系统方面的研发。</w:t>
      </w:r>
    </w:p>
    <w:p>
      <w:pPr>
        <w:pStyle w:val="BodyText"/>
        <w:spacing w:line="256" w:lineRule="auto" w:before="63"/>
        <w:ind w:right="0" w:firstLine="422"/>
        <w:jc w:val="left"/>
      </w:pPr>
      <w:r>
        <w:rPr/>
        <w:t>继</w:t>
      </w:r>
      <w:r>
        <w:rPr>
          <w:rFonts w:ascii="Times New Roman" w:hAnsi="Times New Roman" w:cs="Times New Roman" w:eastAsia="Times New Roman" w:hint="default"/>
        </w:rPr>
        <w:t>2016</w:t>
      </w:r>
      <w:r>
        <w:rPr/>
        <w:t>年控股</w:t>
      </w:r>
      <w:r>
        <w:rPr>
          <w:rFonts w:ascii="Times New Roman" w:hAnsi="Times New Roman" w:cs="Times New Roman" w:eastAsia="Times New Roman" w:hint="default"/>
        </w:rPr>
        <w:t>Snapshot</w:t>
      </w:r>
      <w:r>
        <w:rPr/>
        <w:t>之后，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日，公司完成收购</w:t>
      </w:r>
      <w:r>
        <w:rPr>
          <w:rFonts w:ascii="Times New Roman" w:hAnsi="Times New Roman" w:cs="Times New Roman" w:eastAsia="Times New Roman" w:hint="default"/>
        </w:rPr>
        <w:t>Snapshot</w:t>
      </w:r>
      <w:r>
        <w:rPr/>
        <w:t>其余股东持有的该公司剩余全部</w:t>
      </w:r>
      <w:r>
        <w:rPr>
          <w:w w:val="100"/>
        </w:rPr>
        <w:t> </w:t>
      </w:r>
      <w:r>
        <w:rPr>
          <w:spacing w:val="-3"/>
        </w:rPr>
        <w:t>股份，</w:t>
      </w:r>
      <w:r>
        <w:rPr>
          <w:rFonts w:ascii="Times New Roman" w:hAnsi="Times New Roman" w:cs="Times New Roman" w:eastAsia="Times New Roman" w:hint="default"/>
          <w:spacing w:val="-3"/>
        </w:rPr>
        <w:t>Snapshot</w:t>
      </w:r>
      <w:r>
        <w:rPr>
          <w:spacing w:val="-3"/>
        </w:rPr>
        <w:t>成为公司全资子公司。</w:t>
      </w:r>
      <w:r>
        <w:rPr>
          <w:rFonts w:ascii="Times New Roman" w:hAnsi="Times New Roman" w:cs="Times New Roman" w:eastAsia="Times New Roman" w:hint="default"/>
          <w:spacing w:val="-3"/>
        </w:rPr>
        <w:t>Snapshot</w:t>
      </w:r>
      <w:r>
        <w:rPr>
          <w:spacing w:val="-3"/>
        </w:rPr>
        <w:t>使用数据中心模型存储和处理酒店和相关第三方数据，并为</w:t>
      </w:r>
      <w:r>
        <w:rPr>
          <w:spacing w:val="-43"/>
        </w:rPr>
        <w:t> </w:t>
      </w:r>
      <w:r>
        <w:rPr>
          <w:spacing w:val="-43"/>
        </w:rPr>
      </w:r>
      <w:r>
        <w:rPr>
          <w:spacing w:val="-4"/>
        </w:rPr>
        <w:t>欧洲和亚洲的</w:t>
      </w:r>
      <w:r>
        <w:rPr>
          <w:rFonts w:ascii="Times New Roman" w:hAnsi="Times New Roman" w:cs="Times New Roman" w:eastAsia="Times New Roman" w:hint="default"/>
          <w:spacing w:val="-4"/>
        </w:rPr>
        <w:t>5000</w:t>
      </w:r>
      <w:r>
        <w:rPr>
          <w:spacing w:val="-4"/>
        </w:rPr>
        <w:t>多家酒店提供相关分析，拥有</w:t>
      </w:r>
      <w:r>
        <w:rPr>
          <w:rFonts w:ascii="Times New Roman" w:hAnsi="Times New Roman" w:cs="Times New Roman" w:eastAsia="Times New Roman" w:hint="default"/>
          <w:spacing w:val="-4"/>
        </w:rPr>
        <w:t>45</w:t>
      </w:r>
      <w:r>
        <w:rPr>
          <w:spacing w:val="-4"/>
        </w:rPr>
        <w:t>个</w:t>
      </w:r>
      <w:r>
        <w:rPr>
          <w:rFonts w:ascii="Times New Roman" w:hAnsi="Times New Roman" w:cs="Times New Roman" w:eastAsia="Times New Roman" w:hint="default"/>
          <w:spacing w:val="-4"/>
        </w:rPr>
        <w:t>PMS</w:t>
      </w:r>
      <w:r>
        <w:rPr>
          <w:spacing w:val="-4"/>
        </w:rPr>
        <w:t>数据合作伙伴，目前有四大支柱产品：数据平台、</w:t>
      </w:r>
      <w:r>
        <w:rPr>
          <w:spacing w:val="-37"/>
        </w:rPr>
        <w:t> </w:t>
      </w:r>
      <w:r>
        <w:rPr>
          <w:spacing w:val="-37"/>
        </w:rPr>
      </w:r>
      <w:r>
        <w:rPr/>
        <w:t>分析和可视化、</w:t>
      </w:r>
      <w:r>
        <w:rPr>
          <w:rFonts w:ascii="Times New Roman" w:hAnsi="Times New Roman" w:cs="Times New Roman" w:eastAsia="Times New Roman" w:hint="default"/>
        </w:rPr>
        <w:t>API</w:t>
      </w:r>
      <w:r>
        <w:rPr/>
        <w:t>（应用程序编程接口）和市场服务、教育。</w:t>
      </w:r>
      <w:r>
        <w:rPr>
          <w:rFonts w:ascii="Times New Roman" w:hAnsi="Times New Roman" w:cs="Times New Roman" w:eastAsia="Times New Roman" w:hint="default"/>
        </w:rPr>
        <w:t>Snapshot</w:t>
      </w:r>
      <w:r>
        <w:rPr/>
        <w:t>的</w:t>
      </w:r>
      <w:r>
        <w:rPr>
          <w:rFonts w:ascii="Times New Roman" w:hAnsi="Times New Roman" w:cs="Times New Roman" w:eastAsia="Times New Roman" w:hint="default"/>
        </w:rPr>
        <w:t>API</w:t>
      </w:r>
      <w:r>
        <w:rPr/>
        <w:t>允许数据所有者和消费者移</w:t>
      </w:r>
      <w:r>
        <w:rPr>
          <w:w w:val="100"/>
        </w:rPr>
        <w:t> </w:t>
      </w:r>
      <w:r>
        <w:rPr/>
        <w:t>动、挖掘和分析其数据，而无需创建和管理单个数据解决方案。</w:t>
      </w:r>
      <w:r>
        <w:rPr>
          <w:rFonts w:ascii="Times New Roman" w:hAnsi="Times New Roman" w:cs="Times New Roman" w:eastAsia="Times New Roman" w:hint="default"/>
        </w:rPr>
        <w:t>Snapshot</w:t>
      </w:r>
      <w:r>
        <w:rPr/>
        <w:t>的市场服务使创新的第三方应用</w:t>
      </w:r>
      <w:r>
        <w:rPr>
          <w:spacing w:val="-55"/>
        </w:rPr>
        <w:t> </w:t>
      </w:r>
      <w:r>
        <w:rPr/>
        <w:t>程序开发人员能够通过</w:t>
      </w:r>
      <w:r>
        <w:rPr>
          <w:rFonts w:ascii="Times New Roman" w:hAnsi="Times New Roman" w:cs="Times New Roman" w:eastAsia="Times New Roman" w:hint="default"/>
        </w:rPr>
        <w:t>Snapshot</w:t>
      </w:r>
      <w:r>
        <w:rPr/>
        <w:t>在收入共享模式下提供服务和功能。</w:t>
      </w:r>
    </w:p>
    <w:p>
      <w:pPr>
        <w:pStyle w:val="BodyText"/>
        <w:spacing w:line="256" w:lineRule="auto" w:before="43"/>
        <w:ind w:right="1128" w:firstLine="422"/>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日，公司将全资子公司</w:t>
      </w:r>
      <w:r>
        <w:rPr>
          <w:rFonts w:ascii="Times New Roman" w:hAnsi="Times New Roman" w:cs="Times New Roman" w:eastAsia="Times New Roman" w:hint="default"/>
        </w:rPr>
        <w:t>Snapshot</w:t>
      </w:r>
      <w:r>
        <w:rPr/>
        <w:t>和</w:t>
      </w:r>
      <w:r>
        <w:rPr>
          <w:rFonts w:ascii="Times New Roman" w:hAnsi="Times New Roman" w:cs="Times New Roman" w:eastAsia="Times New Roman" w:hint="default"/>
        </w:rPr>
        <w:t>AC Project</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3"/>
        </w:rPr>
        <w:t>GmbH</w:t>
      </w:r>
      <w:r>
        <w:rPr>
          <w:spacing w:val="-3"/>
        </w:rPr>
        <w:t>整合成为全资子公司石基欧洲。石基</w:t>
      </w:r>
      <w:r>
        <w:rPr>
          <w:w w:val="100"/>
        </w:rPr>
        <w:t> </w:t>
      </w:r>
      <w:r>
        <w:rPr/>
        <w:t>欧洲下属子公司还包括石基德国（原德国</w:t>
      </w:r>
      <w:r>
        <w:rPr>
          <w:rFonts w:ascii="宋体" w:hAnsi="宋体" w:cs="宋体" w:eastAsia="宋体" w:hint="default"/>
        </w:rPr>
        <w:t>Hetras</w:t>
      </w:r>
      <w:r>
        <w:rPr/>
        <w:t>）。石基欧洲将在整合原有石基德国、</w:t>
      </w:r>
      <w:r>
        <w:rPr>
          <w:rFonts w:ascii="Times New Roman" w:hAnsi="Times New Roman" w:cs="Times New Roman" w:eastAsia="Times New Roman" w:hint="default"/>
        </w:rPr>
        <w:t>Snapshot</w:t>
      </w:r>
      <w:r>
        <w:rPr/>
        <w:t>公司资源</w:t>
      </w:r>
      <w:r>
        <w:rPr>
          <w:spacing w:val="-59"/>
        </w:rPr>
        <w:t> </w:t>
      </w:r>
      <w:r>
        <w:rPr>
          <w:spacing w:val="-59"/>
        </w:rPr>
      </w:r>
      <w:r>
        <w:rPr/>
        <w:t>的基础上，按照集团公司对于全新一代云平台产品的构想，负责从事新一代云平台的</w:t>
      </w:r>
      <w:r>
        <w:rPr>
          <w:rFonts w:ascii="Times New Roman" w:hAnsi="Times New Roman" w:cs="Times New Roman" w:eastAsia="Times New Roman" w:hint="default"/>
        </w:rPr>
        <w:t>PMS/CRS</w:t>
      </w:r>
      <w:r>
        <w:rPr/>
        <w:t>业务。</w:t>
      </w:r>
    </w:p>
    <w:p>
      <w:pPr>
        <w:pStyle w:val="BodyText"/>
        <w:spacing w:line="259" w:lineRule="auto" w:before="46"/>
        <w:ind w:right="1019" w:firstLine="420"/>
        <w:jc w:val="left"/>
      </w:pPr>
      <w:r>
        <w:rPr/>
        <w:t>控股子公司</w:t>
      </w:r>
      <w:r>
        <w:rPr>
          <w:rFonts w:ascii="Times New Roman" w:hAnsi="Times New Roman" w:cs="Times New Roman" w:eastAsia="Times New Roman" w:hint="default"/>
        </w:rPr>
        <w:t>Review Rank</w:t>
      </w:r>
      <w:r>
        <w:rPr>
          <w:rFonts w:ascii="Times New Roman" w:hAnsi="Times New Roman" w:cs="Times New Roman" w:eastAsia="Times New Roman" w:hint="default"/>
          <w:spacing w:val="-18"/>
        </w:rPr>
        <w:t> </w:t>
      </w:r>
      <w:r>
        <w:rPr>
          <w:rFonts w:ascii="Times New Roman" w:hAnsi="Times New Roman" w:cs="Times New Roman" w:eastAsia="Times New Roman" w:hint="default"/>
        </w:rPr>
        <w:t>S.A.</w:t>
      </w:r>
      <w:r>
        <w:rPr/>
        <w:t>公司注册于西班牙，是全面的酒店一站式客户管理平台提供商，为酒店、</w:t>
      </w:r>
      <w:r>
        <w:rPr>
          <w:w w:val="100"/>
        </w:rPr>
        <w:t> </w:t>
      </w:r>
      <w:r>
        <w:rPr/>
        <w:t>餐厅、业务咨询顾问、酒店投资者等目标客户群提供网上声誉管理、客户满意度调查、餐饮声誉管理、营</w:t>
      </w:r>
      <w:r>
        <w:rPr>
          <w:w w:val="100"/>
        </w:rPr>
        <w:t> </w:t>
      </w:r>
      <w:r>
        <w:rPr>
          <w:spacing w:val="-4"/>
        </w:rPr>
        <w:t>收管理及社交媒体、收费分析及技术人员支援等服务，确保客户能快速有效进行反馈，</w:t>
      </w:r>
      <w:r>
        <w:rPr>
          <w:rFonts w:ascii="Times New Roman" w:hAnsi="Times New Roman" w:cs="Times New Roman" w:eastAsia="Times New Roman" w:hint="default"/>
          <w:spacing w:val="-4"/>
        </w:rPr>
        <w:t>RR</w:t>
      </w:r>
      <w:r>
        <w:rPr>
          <w:spacing w:val="-4"/>
        </w:rPr>
        <w:t>公司的全球评价</w:t>
      </w:r>
      <w:r>
        <w:rPr>
          <w:spacing w:val="-18"/>
        </w:rPr>
        <w:t> </w:t>
      </w:r>
      <w:r>
        <w:rPr>
          <w:spacing w:val="-18"/>
        </w:rPr>
      </w:r>
      <w:r>
        <w:rPr>
          <w:spacing w:val="-3"/>
        </w:rPr>
        <w:t>指数（</w:t>
      </w:r>
      <w:r>
        <w:rPr>
          <w:rFonts w:ascii="Times New Roman" w:hAnsi="Times New Roman" w:cs="Times New Roman" w:eastAsia="Times New Roman" w:hint="default"/>
          <w:spacing w:val="-3"/>
        </w:rPr>
        <w:t>GRI</w:t>
      </w:r>
      <w:r>
        <w:rPr>
          <w:spacing w:val="-3"/>
        </w:rPr>
        <w:t>）是作为行业标准的在线信誉指数，基于从</w:t>
      </w:r>
      <w:r>
        <w:rPr>
          <w:rFonts w:ascii="Times New Roman" w:hAnsi="Times New Roman" w:cs="Times New Roman" w:eastAsia="Times New Roman" w:hint="default"/>
          <w:spacing w:val="-3"/>
        </w:rPr>
        <w:t>175</w:t>
      </w:r>
      <w:r>
        <w:rPr>
          <w:spacing w:val="-3"/>
        </w:rPr>
        <w:t>个以上的</w:t>
      </w:r>
      <w:r>
        <w:rPr>
          <w:rFonts w:ascii="Times New Roman" w:hAnsi="Times New Roman" w:cs="Times New Roman" w:eastAsia="Times New Roman" w:hint="default"/>
          <w:spacing w:val="-3"/>
        </w:rPr>
        <w:t>OTA</w:t>
      </w:r>
      <w:r>
        <w:rPr>
          <w:spacing w:val="-3"/>
        </w:rPr>
        <w:t>和</w:t>
      </w:r>
      <w:r>
        <w:rPr>
          <w:rFonts w:ascii="Times New Roman" w:hAnsi="Times New Roman" w:cs="Times New Roman" w:eastAsia="Times New Roman" w:hint="default"/>
          <w:spacing w:val="-3"/>
        </w:rPr>
        <w:t>45</w:t>
      </w:r>
      <w:r>
        <w:rPr>
          <w:spacing w:val="-3"/>
        </w:rPr>
        <w:t>种以上语种的评价网站搜集的</w:t>
      </w:r>
      <w:r>
        <w:rPr>
          <w:spacing w:val="-49"/>
        </w:rPr>
        <w:t> </w:t>
      </w:r>
      <w:r>
        <w:rPr>
          <w:spacing w:val="-49"/>
        </w:rPr>
      </w:r>
      <w:r>
        <w:rPr>
          <w:spacing w:val="-4"/>
        </w:rPr>
        <w:t>评价数据，其云计算解决方案能够让客户更深入地了解其声誉表现以及运营</w:t>
      </w:r>
      <w:r>
        <w:rPr>
          <w:rFonts w:ascii="Times New Roman" w:hAnsi="Times New Roman" w:cs="Times New Roman" w:eastAsia="Times New Roman" w:hint="default"/>
          <w:spacing w:val="-4"/>
        </w:rPr>
        <w:t>/</w:t>
      </w:r>
      <w:r>
        <w:rPr>
          <w:spacing w:val="-4"/>
        </w:rPr>
        <w:t>服务的优势和劣势，可以通过</w:t>
      </w:r>
      <w:r>
        <w:rPr>
          <w:spacing w:val="-5"/>
        </w:rPr>
        <w:t> </w:t>
      </w:r>
      <w:r>
        <w:rPr>
          <w:spacing w:val="-5"/>
        </w:rPr>
      </w:r>
      <w:r>
        <w:rPr>
          <w:spacing w:val="-4"/>
        </w:rPr>
        <w:t>提供可执行的洞察数据，来提高客户满意度和在评论网站</w:t>
      </w:r>
      <w:r>
        <w:rPr>
          <w:rFonts w:ascii="Times New Roman" w:hAnsi="Times New Roman" w:cs="Times New Roman" w:eastAsia="Times New Roman" w:hint="default"/>
          <w:spacing w:val="-4"/>
        </w:rPr>
        <w:t>/</w:t>
      </w:r>
      <w:r>
        <w:rPr>
          <w:spacing w:val="-4"/>
        </w:rPr>
        <w:t>在线旅行社上的排名，并最终提高收益，客户遍</w:t>
      </w:r>
      <w:r>
        <w:rPr>
          <w:spacing w:val="-7"/>
        </w:rPr>
        <w:t> </w:t>
      </w:r>
      <w:r>
        <w:rPr>
          <w:spacing w:val="-7"/>
        </w:rPr>
      </w:r>
      <w:r>
        <w:rPr/>
        <w:t>布全球超过</w:t>
      </w:r>
      <w:r>
        <w:rPr>
          <w:rFonts w:ascii="Times New Roman" w:hAnsi="Times New Roman" w:cs="Times New Roman" w:eastAsia="Times New Roman" w:hint="default"/>
        </w:rPr>
        <w:t>150</w:t>
      </w:r>
      <w:r>
        <w:rPr/>
        <w:t>个国家。报告期内，随着与集团公司业务协同效应的发挥，</w:t>
      </w:r>
      <w:r>
        <w:rPr>
          <w:rFonts w:ascii="Times New Roman" w:hAnsi="Times New Roman" w:cs="Times New Roman" w:eastAsia="Times New Roman" w:hint="default"/>
        </w:rPr>
        <w:t>RR</w:t>
      </w:r>
      <w:r>
        <w:rPr/>
        <w:t>公司能提供对中大型企业品</w:t>
      </w:r>
      <w:r>
        <w:rPr>
          <w:spacing w:val="-99"/>
        </w:rPr>
        <w:t> </w:t>
      </w:r>
      <w:r>
        <w:rPr>
          <w:spacing w:val="-99"/>
        </w:rPr>
      </w:r>
      <w:r>
        <w:rPr/>
        <w:t>牌具有吸引力的客户智能套件，</w:t>
      </w:r>
      <w:r>
        <w:rPr>
          <w:rFonts w:ascii="Times New Roman" w:hAnsi="Times New Roman" w:cs="Times New Roman" w:eastAsia="Times New Roman" w:hint="default"/>
        </w:rPr>
        <w:t>RR</w:t>
      </w:r>
      <w:r>
        <w:rPr/>
        <w:t>公司收入比去年同期增长</w:t>
      </w:r>
      <w:r>
        <w:rPr>
          <w:rFonts w:ascii="Times New Roman" w:hAnsi="Times New Roman" w:cs="Times New Roman" w:eastAsia="Times New Roman" w:hint="default"/>
        </w:rPr>
        <w:t>29.21%</w:t>
      </w:r>
      <w:r>
        <w:rPr/>
        <w:t>，报告期末，</w:t>
      </w:r>
      <w:r>
        <w:rPr>
          <w:rFonts w:ascii="Times New Roman" w:hAnsi="Times New Roman" w:cs="Times New Roman" w:eastAsia="Times New Roman" w:hint="default"/>
        </w:rPr>
        <w:t>RR</w:t>
      </w:r>
      <w:r>
        <w:rPr/>
        <w:t>公司酒店客户总数约</w:t>
      </w:r>
      <w:r>
        <w:rPr>
          <w:spacing w:val="-80"/>
        </w:rPr>
        <w:t> </w:t>
      </w:r>
      <w:r>
        <w:rPr>
          <w:spacing w:val="-80"/>
        </w:rPr>
      </w:r>
      <w:r>
        <w:rPr>
          <w:rFonts w:ascii="Times New Roman" w:hAnsi="Times New Roman" w:cs="Times New Roman" w:eastAsia="Times New Roman" w:hint="default"/>
        </w:rPr>
        <w:t>5.1</w:t>
      </w:r>
      <w:r>
        <w:rPr/>
        <w:t>万家，餐厅客户总数约</w:t>
      </w:r>
      <w:r>
        <w:rPr>
          <w:rFonts w:ascii="Times New Roman" w:hAnsi="Times New Roman" w:cs="Times New Roman" w:eastAsia="Times New Roman" w:hint="default"/>
        </w:rPr>
        <w:t>3400</w:t>
      </w:r>
      <w:r>
        <w:rPr/>
        <w:t>家。</w:t>
      </w:r>
    </w:p>
    <w:p>
      <w:pPr>
        <w:pStyle w:val="BodyText"/>
        <w:spacing w:line="256" w:lineRule="auto" w:before="43"/>
        <w:ind w:right="1126" w:firstLine="420"/>
        <w:jc w:val="both"/>
      </w:pPr>
      <w:r>
        <w:rPr/>
        <w:t>公司于</w:t>
      </w:r>
      <w:r>
        <w:rPr>
          <w:rFonts w:ascii="Times New Roman" w:hAnsi="Times New Roman" w:cs="Times New Roman" w:eastAsia="Times New Roman" w:hint="default"/>
        </w:rPr>
        <w:t>2016</w:t>
      </w:r>
      <w:r>
        <w:rPr/>
        <w:t>年首次参股和</w:t>
      </w:r>
      <w:r>
        <w:rPr>
          <w:rFonts w:ascii="Times New Roman" w:hAnsi="Times New Roman" w:cs="Times New Roman" w:eastAsia="Times New Roman" w:hint="default"/>
        </w:rPr>
        <w:t>2017</w:t>
      </w:r>
      <w:r>
        <w:rPr/>
        <w:t>年增资</w:t>
      </w:r>
      <w:r>
        <w:rPr>
          <w:rFonts w:ascii="Times New Roman" w:hAnsi="Times New Roman" w:cs="Times New Roman" w:eastAsia="Times New Roman" w:hint="default"/>
        </w:rPr>
        <w:t>StayNTouch</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日，公司完成全资收购</w:t>
      </w:r>
      <w:r>
        <w:rPr>
          <w:rFonts w:ascii="Times New Roman" w:hAnsi="Times New Roman" w:cs="Times New Roman" w:eastAsia="Times New Roman" w:hint="default"/>
        </w:rPr>
        <w:t>StayNTouch</w:t>
      </w:r>
      <w:r>
        <w:rPr/>
        <w:t>。</w:t>
      </w:r>
      <w:r>
        <w:rPr>
          <w:w w:val="100"/>
        </w:rPr>
        <w:t> </w:t>
      </w:r>
      <w:r>
        <w:rPr>
          <w:rFonts w:ascii="Times New Roman" w:hAnsi="Times New Roman" w:cs="Times New Roman" w:eastAsia="Times New Roman" w:hint="default"/>
          <w:spacing w:val="-2"/>
        </w:rPr>
        <w:t>StayNTouch</w:t>
      </w:r>
      <w:r>
        <w:rPr>
          <w:spacing w:val="-2"/>
        </w:rPr>
        <w:t>提供一系列富有创新性的基于云的移动酒店管理解决方案，不仅适用于小型酒店，也适用于房</w:t>
      </w:r>
      <w:r>
        <w:rPr>
          <w:spacing w:val="-46"/>
        </w:rPr>
        <w:t> </w:t>
      </w:r>
      <w:r>
        <w:rPr>
          <w:spacing w:val="-46"/>
        </w:rPr>
      </w:r>
      <w:r>
        <w:rPr>
          <w:spacing w:val="-2"/>
        </w:rPr>
        <w:t>间数超过</w:t>
      </w:r>
      <w:r>
        <w:rPr>
          <w:rFonts w:ascii="Times New Roman" w:hAnsi="Times New Roman" w:cs="Times New Roman" w:eastAsia="Times New Roman" w:hint="default"/>
          <w:spacing w:val="-2"/>
        </w:rPr>
        <w:t>1000</w:t>
      </w:r>
      <w:r>
        <w:rPr>
          <w:spacing w:val="-2"/>
        </w:rPr>
        <w:t>间的大型酒店，其解决方案简单易用，对于用户十分友好，同时稳定而可靠，其模块化式的</w:t>
      </w:r>
      <w:r>
        <w:rPr>
          <w:spacing w:val="-44"/>
        </w:rPr>
        <w:t> </w:t>
      </w:r>
      <w:r>
        <w:rPr>
          <w:spacing w:val="-44"/>
        </w:rPr>
      </w:r>
      <w:r>
        <w:rPr>
          <w:spacing w:val="-6"/>
          <w:w w:val="100"/>
        </w:rPr>
        <w:t>设计同时适用于</w:t>
      </w:r>
      <w:r>
        <w:rPr>
          <w:rFonts w:ascii="Times New Roman" w:hAnsi="Times New Roman" w:cs="Times New Roman" w:eastAsia="Times New Roman" w:hint="default"/>
          <w:spacing w:val="-6"/>
          <w:w w:val="100"/>
        </w:rPr>
        <w:t>PMS</w:t>
      </w:r>
      <w:r>
        <w:rPr>
          <w:spacing w:val="-6"/>
          <w:w w:val="100"/>
        </w:rPr>
        <w:t>本地部署的酒店，也适用于那些想要转型使用云端系统的酒店。报告期末，</w:t>
      </w:r>
      <w:r>
        <w:rPr>
          <w:rFonts w:ascii="Times New Roman" w:hAnsi="Times New Roman" w:cs="Times New Roman" w:eastAsia="Times New Roman" w:hint="default"/>
          <w:spacing w:val="-6"/>
          <w:w w:val="100"/>
        </w:rPr>
        <w:t>StayNTouch</w:t>
      </w:r>
      <w:r>
        <w:rPr>
          <w:rFonts w:ascii="Times New Roman" w:hAnsi="Times New Roman" w:cs="Times New Roman" w:eastAsia="Times New Roman" w:hint="default"/>
          <w:spacing w:val="-47"/>
          <w:w w:val="100"/>
        </w:rPr>
        <w:t> </w:t>
      </w:r>
      <w:r>
        <w:rPr>
          <w:rFonts w:ascii="Times New Roman" w:hAnsi="Times New Roman" w:cs="Times New Roman" w:eastAsia="Times New Roman" w:hint="default"/>
          <w:spacing w:val="-47"/>
          <w:w w:val="100"/>
        </w:rPr>
      </w:r>
      <w:r>
        <w:rPr/>
        <w:t>公司酒店客户总数为</w:t>
      </w:r>
      <w:r>
        <w:rPr>
          <w:rFonts w:ascii="Times New Roman" w:hAnsi="Times New Roman" w:cs="Times New Roman" w:eastAsia="Times New Roman" w:hint="default"/>
        </w:rPr>
        <w:t>429</w:t>
      </w:r>
      <w:r>
        <w:rPr/>
        <w:t>家，客房数约</w:t>
      </w:r>
      <w:r>
        <w:rPr>
          <w:rFonts w:ascii="Times New Roman" w:hAnsi="Times New Roman" w:cs="Times New Roman" w:eastAsia="Times New Roman" w:hint="default"/>
        </w:rPr>
        <w:t>9.9</w:t>
      </w:r>
      <w:r>
        <w:rPr/>
        <w:t>万个房间。</w:t>
      </w:r>
    </w:p>
    <w:p>
      <w:pPr>
        <w:pStyle w:val="BodyText"/>
        <w:spacing w:line="266" w:lineRule="auto" w:before="43"/>
        <w:ind w:right="1105" w:firstLine="420"/>
        <w:jc w:val="both"/>
      </w:pPr>
      <w:r>
        <w:rPr>
          <w:spacing w:val="-2"/>
        </w:rPr>
        <w:t>公司控股子公司浩华致力于为酒店及休闲旅游业提供专业顾问服务，能够为酒店提供整体咨询解决方</w:t>
      </w:r>
      <w:r>
        <w:rPr>
          <w:w w:val="100"/>
        </w:rPr>
        <w:t> </w:t>
      </w:r>
      <w:r>
        <w:rPr>
          <w:spacing w:val="-2"/>
        </w:rPr>
        <w:t>案，其方案涵盖酒店从初始规划到开发、资产管理、操作建议以及酒店事务、财务重组等各个方面，覆盖</w:t>
      </w:r>
      <w:r>
        <w:rPr>
          <w:spacing w:val="-43"/>
        </w:rPr>
        <w:t> </w:t>
      </w:r>
      <w:r>
        <w:rPr>
          <w:spacing w:val="-43"/>
        </w:rPr>
      </w:r>
      <w:r>
        <w:rPr>
          <w:spacing w:val="-2"/>
        </w:rPr>
        <w:t>酒店完整的生命周期，目前在香港、曼谷、北京、上海、新加坡、雅加达、吉隆坡、深圳设立了办事处。</w:t>
      </w:r>
      <w:r>
        <w:rPr>
          <w:spacing w:val="-21"/>
        </w:rPr>
        <w:t> </w:t>
      </w:r>
      <w:r>
        <w:rPr>
          <w:spacing w:val="-21"/>
        </w:rPr>
      </w:r>
      <w:r>
        <w:rPr>
          <w:spacing w:val="-2"/>
        </w:rPr>
        <w:t>浩华是世界最大的酒店咨询服务品牌，至今已为亚太区</w:t>
      </w:r>
      <w:r>
        <w:rPr>
          <w:rFonts w:ascii="Times New Roman" w:hAnsi="Times New Roman" w:cs="Times New Roman" w:eastAsia="Times New Roman" w:hint="default"/>
          <w:spacing w:val="-2"/>
        </w:rPr>
        <w:t>1000</w:t>
      </w:r>
      <w:r>
        <w:rPr>
          <w:spacing w:val="-2"/>
        </w:rPr>
        <w:t>多个酒店和旅游业项目提供开发到运营各阶段</w:t>
      </w:r>
      <w:r>
        <w:rPr>
          <w:spacing w:val="-40"/>
        </w:rPr>
        <w:t> </w:t>
      </w:r>
      <w:r>
        <w:rPr>
          <w:spacing w:val="-40"/>
        </w:rPr>
      </w:r>
      <w:r>
        <w:rPr>
          <w:spacing w:val="-2"/>
        </w:rPr>
        <w:t>的顾问服务，客户范围从个体私营企业到全球知名的酒店管理公司，以及开发商、银行、投资机构及工业</w:t>
      </w:r>
      <w:r>
        <w:rPr>
          <w:spacing w:val="-47"/>
        </w:rPr>
        <w:t> </w:t>
      </w:r>
      <w:r>
        <w:rPr>
          <w:spacing w:val="-47"/>
        </w:rPr>
      </w:r>
      <w:r>
        <w:rPr>
          <w:spacing w:val="-4"/>
        </w:rPr>
        <w:t>企业。报告期内，浩华业务总体实现平稳增长，共实施约</w:t>
      </w:r>
      <w:r>
        <w:rPr>
          <w:rFonts w:ascii="Times New Roman" w:hAnsi="Times New Roman" w:cs="Times New Roman" w:eastAsia="Times New Roman" w:hint="default"/>
          <w:spacing w:val="-4"/>
        </w:rPr>
        <w:t>180</w:t>
      </w:r>
      <w:r>
        <w:rPr>
          <w:spacing w:val="-4"/>
        </w:rPr>
        <w:t>个项目，其中</w:t>
      </w:r>
      <w:r>
        <w:rPr>
          <w:rFonts w:ascii="Times New Roman" w:hAnsi="Times New Roman" w:cs="Times New Roman" w:eastAsia="Times New Roman" w:hint="default"/>
          <w:spacing w:val="-4"/>
        </w:rPr>
        <w:t>70%</w:t>
      </w:r>
      <w:r>
        <w:rPr>
          <w:spacing w:val="-4"/>
        </w:rPr>
        <w:t>来自中国公司客户，剩余来</w:t>
      </w:r>
      <w:r>
        <w:rPr>
          <w:spacing w:val="-12"/>
        </w:rPr>
        <w:t> </w:t>
      </w:r>
      <w:r>
        <w:rPr>
          <w:spacing w:val="-12"/>
        </w:rPr>
      </w:r>
      <w:r>
        <w:rPr/>
        <w:t>自各个亚洲国家公司客户。</w:t>
      </w:r>
    </w:p>
    <w:p>
      <w:pPr>
        <w:pStyle w:val="BodyText"/>
        <w:spacing w:line="256" w:lineRule="auto" w:before="55"/>
        <w:ind w:right="0" w:firstLine="420"/>
        <w:jc w:val="left"/>
      </w:pP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10</w:t>
      </w:r>
      <w:r>
        <w:rPr>
          <w:spacing w:val="-6"/>
        </w:rPr>
        <w:t>月，公司完成了对</w:t>
      </w:r>
      <w:r>
        <w:rPr>
          <w:rFonts w:ascii="Times New Roman" w:hAnsi="Times New Roman" w:cs="Times New Roman" w:eastAsia="Times New Roman" w:hint="default"/>
          <w:spacing w:val="-6"/>
        </w:rPr>
        <w:t>Concept</w:t>
      </w:r>
      <w:r>
        <w:rPr>
          <w:spacing w:val="-6"/>
        </w:rPr>
        <w:t>的全资收购。</w:t>
      </w:r>
      <w:r>
        <w:rPr>
          <w:rFonts w:ascii="Times New Roman" w:hAnsi="Times New Roman" w:cs="Times New Roman" w:eastAsia="Times New Roman" w:hint="default"/>
          <w:spacing w:val="-6"/>
        </w:rPr>
        <w:t>Concept</w:t>
      </w:r>
      <w:r>
        <w:rPr>
          <w:spacing w:val="-6"/>
        </w:rPr>
        <w:t>公司是世界领先的高尔夫、水疗及</w:t>
      </w:r>
      <w:r>
        <w:rPr>
          <w:rFonts w:ascii="Times New Roman" w:hAnsi="Times New Roman" w:cs="Times New Roman" w:eastAsia="Times New Roman" w:hint="default"/>
          <w:spacing w:val="-6"/>
        </w:rPr>
        <w:t>POS</w:t>
      </w:r>
      <w:r>
        <w:rPr>
          <w:rFonts w:ascii="Times New Roman" w:hAnsi="Times New Roman" w:cs="Times New Roman" w:eastAsia="Times New Roman" w:hint="default"/>
          <w:spacing w:val="8"/>
        </w:rPr>
        <w:t> </w:t>
      </w:r>
      <w:r>
        <w:rPr>
          <w:rFonts w:ascii="Times New Roman" w:hAnsi="Times New Roman" w:cs="Times New Roman" w:eastAsia="Times New Roman" w:hint="default"/>
        </w:rPr>
        <w:t>(Pantry)</w:t>
      </w:r>
      <w:r>
        <w:rPr>
          <w:rFonts w:ascii="Times New Roman" w:hAnsi="Times New Roman" w:cs="Times New Roman" w:eastAsia="Times New Roman" w:hint="default"/>
          <w:w w:val="100"/>
        </w:rPr>
        <w:t> </w:t>
      </w:r>
      <w:r>
        <w:rPr>
          <w:spacing w:val="-2"/>
        </w:rPr>
        <w:t>解决方案的提供商，总部位于葡萄牙，专注于为豪华酒店提供服务。</w:t>
      </w:r>
      <w:r>
        <w:rPr>
          <w:rFonts w:ascii="Times New Roman" w:hAnsi="Times New Roman" w:cs="Times New Roman" w:eastAsia="Times New Roman" w:hint="default"/>
          <w:spacing w:val="-2"/>
        </w:rPr>
        <w:t>Concept</w:t>
      </w:r>
      <w:r>
        <w:rPr>
          <w:spacing w:val="-2"/>
        </w:rPr>
        <w:t>的用户覆盖全球</w:t>
      </w:r>
      <w:r>
        <w:rPr>
          <w:rFonts w:ascii="Times New Roman" w:hAnsi="Times New Roman" w:cs="Times New Roman" w:eastAsia="Times New Roman" w:hint="default"/>
          <w:spacing w:val="-2"/>
        </w:rPr>
        <w:t>60</w:t>
      </w:r>
      <w:r>
        <w:rPr>
          <w:spacing w:val="-2"/>
        </w:rPr>
        <w:t>多个国家，</w:t>
      </w:r>
      <w:r>
        <w:rPr>
          <w:spacing w:val="-13"/>
        </w:rPr>
        <w:t> </w:t>
      </w:r>
      <w:r>
        <w:rPr>
          <w:spacing w:val="-13"/>
        </w:rPr>
      </w:r>
      <w:r>
        <w:rPr>
          <w:spacing w:val="-2"/>
        </w:rPr>
        <w:t>并拥有超过</w:t>
      </w:r>
      <w:r>
        <w:rPr>
          <w:rFonts w:ascii="Times New Roman" w:hAnsi="Times New Roman" w:cs="Times New Roman" w:eastAsia="Times New Roman" w:hint="default"/>
          <w:spacing w:val="-2"/>
        </w:rPr>
        <w:t>20</w:t>
      </w:r>
      <w:r>
        <w:rPr>
          <w:spacing w:val="-2"/>
        </w:rPr>
        <w:t>年的行业经验，其系统服务体系能够全方位与酒店</w:t>
      </w:r>
      <w:r>
        <w:rPr>
          <w:rFonts w:ascii="Times New Roman" w:hAnsi="Times New Roman" w:cs="Times New Roman" w:eastAsia="Times New Roman" w:hint="default"/>
          <w:spacing w:val="-2"/>
        </w:rPr>
        <w:t>PMS</w:t>
      </w:r>
      <w:r>
        <w:rPr>
          <w:spacing w:val="-2"/>
        </w:rPr>
        <w:t>系统对接，为酒店运营者进行线上和</w:t>
      </w:r>
      <w:r>
        <w:rPr>
          <w:spacing w:val="-41"/>
        </w:rPr>
        <w:t> </w:t>
      </w:r>
      <w:r>
        <w:rPr>
          <w:spacing w:val="-41"/>
        </w:rPr>
      </w:r>
      <w:r>
        <w:rPr/>
        <w:t>线下的高尔夫和水疗客户数据管理。</w:t>
      </w:r>
    </w:p>
    <w:p>
      <w:pPr>
        <w:spacing w:line="290" w:lineRule="auto" w:before="64"/>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、餐饮及零售信息系统（</w:t>
      </w:r>
      <w:r>
        <w:rPr>
          <w:rFonts w:ascii="Times New Roman" w:hAnsi="Times New Roman" w:cs="Times New Roman" w:eastAsia="Times New Roman" w:hint="default"/>
          <w:b/>
          <w:bCs/>
          <w:sz w:val="21"/>
          <w:szCs w:val="21"/>
        </w:rPr>
        <w:t>POS</w:t>
      </w:r>
      <w:r>
        <w:rPr>
          <w:rFonts w:ascii="宋体" w:hAnsi="宋体" w:cs="宋体" w:eastAsia="宋体" w:hint="default"/>
          <w:b/>
          <w:bCs/>
          <w:sz w:val="21"/>
          <w:szCs w:val="21"/>
        </w:rPr>
        <w:t>）业务</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报告期内，在餐饮领域，公司从事酒店、高端餐饮信息系统业务，控股子公司上海正品贵德软件有限</w:t>
      </w:r>
    </w:p>
    <w:p>
      <w:pPr>
        <w:pStyle w:val="BodyText"/>
        <w:spacing w:line="266" w:lineRule="auto"/>
        <w:ind w:right="1126"/>
        <w:jc w:val="both"/>
      </w:pPr>
      <w:r>
        <w:rPr>
          <w:spacing w:val="-2"/>
        </w:rPr>
        <w:t>公司开展中高端、连锁餐饮行业的信息系统业务，控股子公司思迅软件开展标准化餐饮信息系统业务；在</w:t>
      </w:r>
      <w:r>
        <w:rPr>
          <w:spacing w:val="-43"/>
        </w:rPr>
        <w:t> </w:t>
      </w:r>
      <w:r>
        <w:rPr>
          <w:spacing w:val="-43"/>
        </w:rPr>
      </w:r>
      <w:r>
        <w:rPr/>
        <w:t>零售领域，公司主要通过</w:t>
      </w:r>
      <w:r>
        <w:rPr>
          <w:rFonts w:ascii="Times New Roman" w:hAnsi="Times New Roman" w:cs="Times New Roman" w:eastAsia="Times New Roman" w:hint="default"/>
        </w:rPr>
        <w:t>Shiji</w:t>
      </w:r>
      <w:r>
        <w:rPr>
          <w:rFonts w:ascii="Times New Roman" w:hAnsi="Times New Roman" w:cs="Times New Roman" w:eastAsia="Times New Roman" w:hint="default"/>
          <w:spacing w:val="-9"/>
        </w:rPr>
        <w:t> </w:t>
      </w:r>
      <w:r>
        <w:rPr>
          <w:rFonts w:ascii="Times New Roman" w:hAnsi="Times New Roman" w:cs="Times New Roman" w:eastAsia="Times New Roman" w:hint="default"/>
        </w:rPr>
        <w:t>Retail</w:t>
      </w:r>
      <w:r>
        <w:rPr>
          <w:rFonts w:ascii="Times New Roman" w:hAnsi="Times New Roman" w:cs="Times New Roman" w:eastAsia="Times New Roman" w:hint="default"/>
          <w:spacing w:val="-9"/>
        </w:rPr>
        <w:t> </w:t>
      </w:r>
      <w:r>
        <w:rPr>
          <w:rFonts w:ascii="Times New Roman" w:hAnsi="Times New Roman" w:cs="Times New Roman" w:eastAsia="Times New Roman" w:hint="default"/>
        </w:rPr>
        <w:t>Information</w:t>
      </w:r>
      <w:r>
        <w:rPr>
          <w:rFonts w:ascii="Times New Roman" w:hAnsi="Times New Roman" w:cs="Times New Roman" w:eastAsia="Times New Roman" w:hint="default"/>
          <w:spacing w:val="-8"/>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13"/>
        </w:rPr>
        <w:t> </w:t>
      </w:r>
      <w:r>
        <w:rPr>
          <w:rFonts w:ascii="Times New Roman" w:hAnsi="Times New Roman" w:cs="Times New Roman" w:eastAsia="Times New Roman" w:hint="default"/>
        </w:rPr>
        <w:t>Co.</w:t>
      </w:r>
      <w:r>
        <w:rPr>
          <w:rFonts w:ascii="Times New Roman" w:hAnsi="Times New Roman" w:cs="Times New Roman" w:eastAsia="Times New Roman" w:hint="default"/>
          <w:spacing w:val="-8"/>
        </w:rPr>
        <w:t> </w:t>
      </w:r>
      <w:r>
        <w:rPr>
          <w:rFonts w:ascii="Times New Roman" w:hAnsi="Times New Roman" w:cs="Times New Roman" w:eastAsia="Times New Roman" w:hint="default"/>
        </w:rPr>
        <w:t>Ltd.</w:t>
      </w:r>
      <w:r>
        <w:rPr/>
        <w:t>（以下简称</w:t>
      </w:r>
      <w:r>
        <w:rPr>
          <w:rFonts w:ascii="Times New Roman" w:hAnsi="Times New Roman" w:cs="Times New Roman" w:eastAsia="Times New Roman" w:hint="default"/>
        </w:rPr>
        <w:t>“</w:t>
      </w:r>
      <w:r>
        <w:rPr/>
        <w:t>石基零售</w:t>
      </w:r>
      <w:r>
        <w:rPr>
          <w:rFonts w:ascii="Times New Roman" w:hAnsi="Times New Roman" w:cs="Times New Roman" w:eastAsia="Times New Roman" w:hint="default"/>
        </w:rPr>
        <w:t>”</w:t>
      </w:r>
      <w:r>
        <w:rPr/>
        <w:t>）旗下子公司石</w:t>
      </w:r>
      <w:r>
        <w:rPr>
          <w:w w:val="100"/>
        </w:rPr>
        <w:t> </w:t>
      </w:r>
      <w:r>
        <w:rPr>
          <w:spacing w:val="-2"/>
        </w:rPr>
        <w:t>基大商信息、富基信息、长益科技、上海时运开展规模化零售信息系统业务，控股子公司思迅软件开展标</w:t>
      </w:r>
      <w:r>
        <w:rPr>
          <w:spacing w:val="-46"/>
        </w:rPr>
        <w:t> </w:t>
      </w:r>
      <w:r>
        <w:rPr>
          <w:spacing w:val="-46"/>
        </w:rPr>
      </w:r>
      <w:r>
        <w:rPr/>
        <w:t>准化零售信息系统业务。</w:t>
      </w:r>
    </w:p>
    <w:p>
      <w:pPr>
        <w:spacing w:after="0" w:line="26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64" w:lineRule="auto" w:before="36"/>
        <w:ind w:right="0"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Infrasys</w:t>
      </w:r>
      <w:r>
        <w:rPr/>
        <w:t>更名为石基信息技术（香港）有限公司，以配合集团的全球业务，在餐饮信息系</w:t>
      </w:r>
      <w:r>
        <w:rPr>
          <w:w w:val="100"/>
        </w:rPr>
        <w:t> </w:t>
      </w:r>
      <w:r>
        <w:rPr>
          <w:spacing w:val="-2"/>
        </w:rPr>
        <w:t>统核心业务以外，业务扩展至其他的酒店主要信息系统解决方案。报告期内，石基信息技术（香港）有限</w:t>
      </w:r>
      <w:r>
        <w:rPr>
          <w:spacing w:val="-43"/>
        </w:rPr>
        <w:t> </w:t>
      </w:r>
      <w:r>
        <w:rPr>
          <w:spacing w:val="-43"/>
        </w:rPr>
      </w:r>
      <w:r>
        <w:rPr/>
        <w:t>公司新增酒店餐饮用户</w:t>
      </w:r>
      <w:r>
        <w:rPr>
          <w:rFonts w:ascii="Times New Roman" w:hAnsi="Times New Roman" w:cs="Times New Roman" w:eastAsia="Times New Roman" w:hint="default"/>
        </w:rPr>
        <w:t>143</w:t>
      </w:r>
      <w:r>
        <w:rPr/>
        <w:t>家，新增社会餐厅用户</w:t>
      </w:r>
      <w:r>
        <w:rPr>
          <w:rFonts w:ascii="Times New Roman" w:hAnsi="Times New Roman" w:cs="Times New Roman" w:eastAsia="Times New Roman" w:hint="default"/>
        </w:rPr>
        <w:t>163</w:t>
      </w:r>
      <w:r>
        <w:rPr/>
        <w:t>家，其中云平台的</w:t>
      </w:r>
      <w:r>
        <w:rPr>
          <w:rFonts w:ascii="Times New Roman" w:hAnsi="Times New Roman" w:cs="Times New Roman" w:eastAsia="Times New Roman" w:hint="default"/>
        </w:rPr>
        <w:t>“Infrasys Cloud”</w:t>
      </w:r>
      <w:r>
        <w:rPr/>
        <w:t>新增酒店用户</w:t>
      </w:r>
      <w:r>
        <w:rPr>
          <w:rFonts w:ascii="Times New Roman" w:hAnsi="Times New Roman" w:cs="Times New Roman" w:eastAsia="Times New Roman" w:hint="default"/>
        </w:rPr>
        <w:t>122</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spacing w:val="-3"/>
        </w:rPr>
        <w:t>家，酒楼用户</w:t>
      </w:r>
      <w:r>
        <w:rPr>
          <w:rFonts w:ascii="Times New Roman" w:hAnsi="Times New Roman" w:cs="Times New Roman" w:eastAsia="Times New Roman" w:hint="default"/>
          <w:spacing w:val="-3"/>
        </w:rPr>
        <w:t>106</w:t>
      </w:r>
      <w:r>
        <w:rPr>
          <w:spacing w:val="-3"/>
        </w:rPr>
        <w:t>家；新一代云平台的餐饮信息系统</w:t>
      </w:r>
      <w:r>
        <w:rPr>
          <w:rFonts w:ascii="Times New Roman" w:hAnsi="Times New Roman" w:cs="Times New Roman" w:eastAsia="Times New Roman" w:hint="default"/>
          <w:spacing w:val="-3"/>
        </w:rPr>
        <w:t>“Infrasys </w:t>
      </w:r>
      <w:r>
        <w:rPr>
          <w:rFonts w:ascii="Times New Roman" w:hAnsi="Times New Roman" w:cs="Times New Roman" w:eastAsia="Times New Roman" w:hint="default"/>
          <w:spacing w:val="-4"/>
        </w:rPr>
        <w:t>Cloud”</w:t>
      </w:r>
      <w:r>
        <w:rPr>
          <w:spacing w:val="-4"/>
        </w:rPr>
        <w:t>已经成功成为洲际、凯悦、半岛、马可</w:t>
      </w:r>
      <w:r>
        <w:rPr>
          <w:spacing w:val="-10"/>
        </w:rPr>
        <w:t> </w:t>
      </w:r>
      <w:r>
        <w:rPr>
          <w:spacing w:val="-10"/>
        </w:rPr>
      </w:r>
      <w:r>
        <w:rPr>
          <w:spacing w:val="-2"/>
        </w:rPr>
        <w:t>波罗等多家全球知名国际酒店集团的系统标准；不断完善依托微信、支付宝的线上营销平台，在社会餐厅</w:t>
      </w:r>
      <w:r>
        <w:rPr>
          <w:spacing w:val="-44"/>
        </w:rPr>
        <w:t> </w:t>
      </w:r>
      <w:r>
        <w:rPr>
          <w:spacing w:val="-44"/>
        </w:rPr>
      </w:r>
      <w:r>
        <w:rPr>
          <w:spacing w:val="-5"/>
        </w:rPr>
        <w:t>和酒店领域打造从会员营销平台、餐位预订、预点菜、餐厅及客房扫码点菜、电子账单、微信支付宝支付、</w:t>
      </w:r>
      <w:r>
        <w:rPr>
          <w:spacing w:val="-6"/>
        </w:rPr>
        <w:t> </w:t>
      </w:r>
      <w:r>
        <w:rPr>
          <w:spacing w:val="-6"/>
        </w:rPr>
      </w:r>
      <w:r>
        <w:rPr/>
        <w:t>外卖及会员注册、会员积分、消费券管理等功能的</w:t>
      </w:r>
      <w:r>
        <w:rPr>
          <w:rFonts w:ascii="Times New Roman" w:hAnsi="Times New Roman" w:cs="Times New Roman" w:eastAsia="Times New Roman" w:hint="default"/>
        </w:rPr>
        <w:t>O2O</w:t>
      </w:r>
      <w:r>
        <w:rPr/>
        <w:t>业务闭环，同时逐步打通对接其他主流营销平台，</w:t>
      </w:r>
      <w:r>
        <w:rPr>
          <w:w w:val="100"/>
        </w:rPr>
        <w:t> </w:t>
      </w:r>
      <w:r>
        <w:rPr/>
        <w:t>提升餐厅的营销能力；同时完善了</w:t>
      </w:r>
      <w:r>
        <w:rPr>
          <w:rFonts w:ascii="Times New Roman" w:hAnsi="Times New Roman" w:cs="Times New Roman" w:eastAsia="Times New Roman" w:hint="default"/>
        </w:rPr>
        <w:t>Shiji</w:t>
      </w:r>
      <w:r>
        <w:rPr>
          <w:rFonts w:ascii="Times New Roman" w:hAnsi="Times New Roman" w:cs="Times New Roman" w:eastAsia="Times New Roman" w:hint="default"/>
          <w:spacing w:val="30"/>
        </w:rPr>
        <w:t> </w:t>
      </w:r>
      <w:r>
        <w:rPr>
          <w:rFonts w:ascii="Times New Roman" w:hAnsi="Times New Roman" w:cs="Times New Roman" w:eastAsia="Times New Roman" w:hint="default"/>
        </w:rPr>
        <w:t>Cloud</w:t>
      </w:r>
      <w:r>
        <w:rPr/>
        <w:t>移动客户端软件功能，实现移动手机、平板电脑、</w:t>
      </w:r>
      <w:r>
        <w:rPr>
          <w:rFonts w:ascii="Times New Roman" w:hAnsi="Times New Roman" w:cs="Times New Roman" w:eastAsia="Times New Roman" w:hint="default"/>
        </w:rPr>
        <w:t>Xpos</w:t>
      </w:r>
      <w:r>
        <w:rPr/>
        <w:t>终端</w:t>
      </w:r>
      <w:r>
        <w:rPr>
          <w:w w:val="100"/>
        </w:rPr>
        <w:t> </w:t>
      </w:r>
      <w:r>
        <w:rPr>
          <w:spacing w:val="-2"/>
        </w:rPr>
        <w:t>一机多能，从点菜、打折、核销、支付全功能一体化，简化餐厅操作流程，大大降低了餐厅服务员的劳动</w:t>
      </w:r>
      <w:r>
        <w:rPr>
          <w:spacing w:val="-42"/>
        </w:rPr>
        <w:t> </w:t>
      </w:r>
      <w:r>
        <w:rPr>
          <w:spacing w:val="-42"/>
        </w:rPr>
      </w:r>
      <w:r>
        <w:rPr/>
        <w:t>强度，有效降低了餐厅运营成本。</w:t>
      </w:r>
    </w:p>
    <w:p>
      <w:pPr>
        <w:pStyle w:val="BodyText"/>
        <w:spacing w:line="256" w:lineRule="auto" w:before="57"/>
        <w:ind w:right="1128" w:firstLine="420"/>
        <w:jc w:val="both"/>
      </w:pPr>
      <w:r>
        <w:rPr>
          <w:spacing w:val="-2"/>
        </w:rPr>
        <w:t>报告期内，正品贵德新增客户</w:t>
      </w:r>
      <w:r>
        <w:rPr>
          <w:rFonts w:ascii="Times New Roman" w:hAnsi="Times New Roman" w:cs="Times New Roman" w:eastAsia="Times New Roman" w:hint="default"/>
          <w:spacing w:val="-2"/>
        </w:rPr>
        <w:t>830</w:t>
      </w:r>
      <w:r>
        <w:rPr>
          <w:spacing w:val="-2"/>
        </w:rPr>
        <w:t>家，报告期末客户总数超过</w:t>
      </w:r>
      <w:r>
        <w:rPr>
          <w:rFonts w:ascii="Times New Roman" w:hAnsi="Times New Roman" w:cs="Times New Roman" w:eastAsia="Times New Roman" w:hint="default"/>
          <w:spacing w:val="-2"/>
        </w:rPr>
        <w:t>11000</w:t>
      </w:r>
      <w:r>
        <w:rPr>
          <w:spacing w:val="-2"/>
        </w:rPr>
        <w:t>家，在连锁餐饮及供应链应用领域</w:t>
      </w:r>
      <w:r>
        <w:rPr>
          <w:w w:val="100"/>
        </w:rPr>
        <w:t> </w:t>
      </w:r>
      <w:r>
        <w:rPr>
          <w:spacing w:val="-1"/>
        </w:rPr>
        <w:t>继续保持行业优势地位，</w:t>
      </w:r>
      <w:r>
        <w:rPr>
          <w:rFonts w:ascii="Times New Roman" w:hAnsi="Times New Roman" w:cs="Times New Roman" w:eastAsia="Times New Roman" w:hint="default"/>
          <w:spacing w:val="-1"/>
        </w:rPr>
        <w:t>2018</w:t>
      </w:r>
      <w:r>
        <w:rPr>
          <w:spacing w:val="-1"/>
        </w:rPr>
        <w:t>年正品贵德重点研发的核心产品</w:t>
      </w:r>
      <w:r>
        <w:rPr>
          <w:rFonts w:ascii="Times New Roman" w:hAnsi="Times New Roman" w:cs="Times New Roman" w:eastAsia="Times New Roman" w:hint="default"/>
          <w:spacing w:val="-1"/>
        </w:rPr>
        <w:t>SaaS</w:t>
      </w:r>
      <w:r>
        <w:rPr>
          <w:spacing w:val="-1"/>
        </w:rPr>
        <w:t>版</w:t>
      </w:r>
      <w:r>
        <w:rPr>
          <w:rFonts w:ascii="Times New Roman" w:hAnsi="Times New Roman" w:cs="Times New Roman" w:eastAsia="Times New Roman" w:hint="default"/>
          <w:spacing w:val="-1"/>
        </w:rPr>
        <w:t>G10</w:t>
      </w:r>
      <w:r>
        <w:rPr>
          <w:spacing w:val="-1"/>
        </w:rPr>
        <w:t>餐饮供应链已推向市场，并在唐</w:t>
      </w:r>
      <w:r>
        <w:rPr>
          <w:spacing w:val="-21"/>
        </w:rPr>
        <w:t> </w:t>
      </w:r>
      <w:r>
        <w:rPr>
          <w:spacing w:val="-21"/>
        </w:rPr>
      </w:r>
      <w:r>
        <w:rPr/>
        <w:t>宫等客户实际应用。</w:t>
      </w:r>
    </w:p>
    <w:p>
      <w:pPr>
        <w:pStyle w:val="BodyText"/>
        <w:spacing w:line="273" w:lineRule="auto" w:before="61"/>
        <w:ind w:right="1126" w:firstLine="420"/>
        <w:jc w:val="both"/>
      </w:pPr>
      <w:r>
        <w:rPr>
          <w:spacing w:val="-2"/>
        </w:rPr>
        <w:t>通过公司内部重组，公司将旗下所持从事规模化零售信息系统业务的子公司长益科技、北京富基融通</w:t>
      </w:r>
      <w:r>
        <w:rPr>
          <w:w w:val="100"/>
        </w:rPr>
        <w:t> </w:t>
      </w:r>
      <w:r>
        <w:rPr>
          <w:spacing w:val="-2"/>
        </w:rPr>
        <w:t>科技有限公司（已更名为石基大商信息）、长益科技、上海时运和科传控股等公司的股权全部转由石基零</w:t>
      </w:r>
      <w:r>
        <w:rPr>
          <w:spacing w:val="-47"/>
        </w:rPr>
        <w:t> </w:t>
      </w:r>
      <w:r>
        <w:rPr>
          <w:spacing w:val="-47"/>
        </w:rPr>
      </w:r>
      <w:r>
        <w:rPr/>
        <w:t>售直接或间接持有，并于</w:t>
      </w:r>
      <w:r>
        <w:rPr>
          <w:rFonts w:ascii="宋体" w:hAnsi="宋体" w:cs="宋体" w:eastAsia="宋体" w:hint="default"/>
        </w:rPr>
        <w:t>2018</w:t>
      </w:r>
      <w:r>
        <w:rPr/>
        <w:t>年</w:t>
      </w:r>
      <w:r>
        <w:rPr>
          <w:rFonts w:ascii="宋体" w:hAnsi="宋体" w:cs="宋体" w:eastAsia="宋体" w:hint="default"/>
        </w:rPr>
        <w:t>4</w:t>
      </w:r>
      <w:r>
        <w:rPr/>
        <w:t>月初完成向阿里</w:t>
      </w:r>
      <w:r>
        <w:rPr>
          <w:rFonts w:ascii="宋体" w:hAnsi="宋体" w:cs="宋体" w:eastAsia="宋体" w:hint="default"/>
        </w:rPr>
        <w:t>SJ</w:t>
      </w:r>
      <w:r>
        <w:rPr/>
        <w:t>投资出售石基零售</w:t>
      </w:r>
      <w:r>
        <w:rPr>
          <w:rFonts w:ascii="宋体" w:hAnsi="宋体" w:cs="宋体" w:eastAsia="宋体" w:hint="default"/>
        </w:rPr>
        <w:t>38%</w:t>
      </w:r>
      <w:r>
        <w:rPr/>
        <w:t>股权的全部交割手续。</w:t>
      </w:r>
    </w:p>
    <w:p>
      <w:pPr>
        <w:pStyle w:val="BodyText"/>
        <w:spacing w:line="264" w:lineRule="auto" w:before="48"/>
        <w:ind w:right="1126" w:firstLine="420"/>
        <w:jc w:val="both"/>
      </w:pPr>
      <w:r>
        <w:rPr>
          <w:spacing w:val="-2"/>
        </w:rPr>
        <w:t>石基大商信息下设北京富基融通信息技术有限公司（简称“富基信息”），承继原北京富基融通科技</w:t>
      </w:r>
      <w:r>
        <w:rPr>
          <w:w w:val="100"/>
        </w:rPr>
        <w:t> </w:t>
      </w:r>
      <w:r>
        <w:rPr>
          <w:spacing w:val="-2"/>
        </w:rPr>
        <w:t>有限公司（以下简称“原北京富基融通”）部分业务。原北京富基融通是中国快速增长的消费品及零售行</w:t>
      </w:r>
      <w:r>
        <w:rPr>
          <w:spacing w:val="-42"/>
        </w:rPr>
        <w:t> </w:t>
      </w:r>
      <w:r>
        <w:rPr>
          <w:spacing w:val="-42"/>
        </w:rPr>
      </w:r>
      <w:r>
        <w:rPr/>
        <w:t>业软件和解决方案提供商、移动互联网业务的推动者，为国内外消费品牌和零售企业超过</w:t>
      </w:r>
      <w:r>
        <w:rPr>
          <w:rFonts w:ascii="Times New Roman" w:hAnsi="Times New Roman" w:cs="Times New Roman" w:eastAsia="Times New Roman" w:hint="default"/>
        </w:rPr>
        <w:t>50000</w:t>
      </w:r>
      <w:r>
        <w:rPr/>
        <w:t>家实体门</w:t>
      </w:r>
      <w:r>
        <w:rPr>
          <w:spacing w:val="-26"/>
        </w:rPr>
        <w:t> </w:t>
      </w:r>
      <w:r>
        <w:rPr>
          <w:spacing w:val="-2"/>
        </w:rPr>
        <w:t>店提供从工厂厂门到消费者家门的全渠道解决方案、移动社交购物和本地服务，其客户群体已经包括中国</w:t>
      </w:r>
      <w:r>
        <w:rPr>
          <w:spacing w:val="-44"/>
        </w:rPr>
        <w:t> </w:t>
      </w:r>
      <w:r>
        <w:rPr>
          <w:spacing w:val="-44"/>
        </w:rPr>
      </w:r>
      <w:r>
        <w:rPr>
          <w:spacing w:val="-3"/>
        </w:rPr>
        <w:t>宝洁、百事、欧莱雅、</w:t>
      </w:r>
      <w:r>
        <w:rPr>
          <w:rFonts w:ascii="Times New Roman" w:hAnsi="Times New Roman" w:cs="Times New Roman" w:eastAsia="Times New Roman" w:hint="default"/>
          <w:spacing w:val="-3"/>
        </w:rPr>
        <w:t>GUCCI</w:t>
      </w:r>
      <w:r>
        <w:rPr>
          <w:spacing w:val="-3"/>
        </w:rPr>
        <w:t>等在内的全球企业及苏宁电器、华润万家等大型商超。报告期内，富基品牌</w:t>
      </w:r>
      <w:r>
        <w:rPr>
          <w:spacing w:val="-23"/>
        </w:rPr>
        <w:t> </w:t>
      </w:r>
      <w:r>
        <w:rPr>
          <w:spacing w:val="-23"/>
        </w:rPr>
      </w:r>
      <w:r>
        <w:rPr/>
        <w:t>新增集团客户数量</w:t>
      </w:r>
      <w:r>
        <w:rPr>
          <w:rFonts w:ascii="Times New Roman" w:hAnsi="Times New Roman" w:cs="Times New Roman" w:eastAsia="Times New Roman" w:hint="default"/>
        </w:rPr>
        <w:t>58</w:t>
      </w:r>
      <w:r>
        <w:rPr/>
        <w:t>家，报告期末集团客户总数</w:t>
      </w:r>
      <w:r>
        <w:rPr>
          <w:rFonts w:ascii="Times New Roman" w:hAnsi="Times New Roman" w:cs="Times New Roman" w:eastAsia="Times New Roman" w:hint="default"/>
        </w:rPr>
        <w:t>781</w:t>
      </w:r>
      <w:r>
        <w:rPr/>
        <w:t>家；技术研发方面，在新零售的战略下主要在聚合营</w:t>
      </w:r>
      <w:r>
        <w:rPr>
          <w:spacing w:val="-26"/>
        </w:rPr>
        <w:t> </w:t>
      </w:r>
      <w:r>
        <w:rPr>
          <w:spacing w:val="-26"/>
        </w:rPr>
      </w:r>
      <w:r>
        <w:rPr/>
        <w:t>销、聚合支付、全渠道业务及新门店相关产品上加大了研发力度。</w:t>
      </w:r>
    </w:p>
    <w:p>
      <w:pPr>
        <w:pStyle w:val="BodyText"/>
        <w:spacing w:line="264" w:lineRule="auto" w:before="57"/>
        <w:ind w:right="0" w:firstLine="420"/>
        <w:jc w:val="left"/>
      </w:pPr>
      <w:r>
        <w:rPr/>
        <w:t>长益科技专注于流通零售行业信息化全面解决方案和服务，其业务涉及零售、分销、物流、电子商务</w:t>
      </w:r>
      <w:r>
        <w:rPr>
          <w:w w:val="100"/>
        </w:rPr>
        <w:t> </w:t>
      </w:r>
      <w:r>
        <w:rPr/>
        <w:t>等流通业各个领域，产品线覆盖百货、超市、购物中心、专卖店（包括珠宝、化妆、服装、医药、建材、</w:t>
      </w:r>
      <w:r>
        <w:rPr>
          <w:w w:val="100"/>
        </w:rPr>
        <w:t> </w:t>
      </w:r>
      <w:r>
        <w:rPr/>
        <w:t>家电）以及无店铺销售等零售业态，典型的客户包括北京翠微集团、北京华联集团（</w:t>
      </w:r>
      <w:r>
        <w:rPr>
          <w:rFonts w:ascii="Times New Roman" w:hAnsi="Times New Roman" w:cs="Times New Roman" w:eastAsia="Times New Roman" w:hint="default"/>
        </w:rPr>
        <w:t>SKP</w:t>
      </w:r>
      <w:r>
        <w:rPr/>
        <w:t>）、北京首商集</w:t>
      </w:r>
      <w:r>
        <w:rPr>
          <w:spacing w:val="-99"/>
        </w:rPr>
        <w:t> </w:t>
      </w:r>
      <w:r>
        <w:rPr>
          <w:spacing w:val="-99"/>
        </w:rPr>
      </w:r>
      <w:r>
        <w:rPr>
          <w:spacing w:val="-2"/>
        </w:rPr>
        <w:t>团、北京物美集团等在内的几十家上市公司及太平洋百货等众多国际顶级零售企业，已经为累计超过</w:t>
      </w:r>
      <w:r>
        <w:rPr>
          <w:rFonts w:ascii="Times New Roman" w:hAnsi="Times New Roman" w:cs="Times New Roman" w:eastAsia="Times New Roman" w:hint="default"/>
          <w:spacing w:val="-2"/>
        </w:rPr>
        <w:t>1000</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spacing w:val="-2"/>
        </w:rPr>
        <w:t>多家国内外大中型流通零售企业提供解决方案和优异服务。报告期内，长益科技新增客户</w:t>
      </w:r>
      <w:r>
        <w:rPr>
          <w:rFonts w:ascii="Times New Roman" w:hAnsi="Times New Roman" w:cs="Times New Roman" w:eastAsia="Times New Roman" w:hint="default"/>
          <w:spacing w:val="-2"/>
        </w:rPr>
        <w:t>53</w:t>
      </w:r>
      <w:r>
        <w:rPr>
          <w:spacing w:val="-2"/>
        </w:rPr>
        <w:t>家，报告期末</w:t>
      </w:r>
      <w:r>
        <w:rPr>
          <w:spacing w:val="-41"/>
        </w:rPr>
        <w:t> </w:t>
      </w:r>
      <w:r>
        <w:rPr>
          <w:spacing w:val="-41"/>
        </w:rPr>
      </w:r>
      <w:r>
        <w:rPr/>
        <w:t>存量客户</w:t>
      </w:r>
      <w:r>
        <w:rPr>
          <w:rFonts w:ascii="Times New Roman" w:hAnsi="Times New Roman" w:cs="Times New Roman" w:eastAsia="Times New Roman" w:hint="default"/>
        </w:rPr>
        <w:t>979</w:t>
      </w:r>
      <w:r>
        <w:rPr/>
        <w:t>家；技术研发方面，在整个实体零售竞争激烈，实体零售增长乏力的趋势下，长益科技推出</w:t>
      </w:r>
      <w:r>
        <w:rPr>
          <w:spacing w:val="-27"/>
        </w:rPr>
        <w:t> </w:t>
      </w:r>
      <w:r>
        <w:rPr>
          <w:spacing w:val="-27"/>
        </w:rPr>
      </w:r>
      <w:r>
        <w:rPr>
          <w:rFonts w:ascii="Times New Roman" w:hAnsi="Times New Roman" w:cs="Times New Roman" w:eastAsia="Times New Roman" w:hint="default"/>
          <w:spacing w:val="-2"/>
        </w:rPr>
        <w:t>1+N(</w:t>
      </w:r>
      <w:r>
        <w:rPr>
          <w:spacing w:val="-2"/>
        </w:rPr>
        <w:t>百货、购物中心、超市等</w:t>
      </w:r>
      <w:r>
        <w:rPr>
          <w:rFonts w:ascii="Times New Roman" w:hAnsi="Times New Roman" w:cs="Times New Roman" w:eastAsia="Times New Roman" w:hint="default"/>
          <w:spacing w:val="-2"/>
        </w:rPr>
        <w:t>+</w:t>
      </w:r>
      <w:r>
        <w:rPr>
          <w:spacing w:val="-2"/>
        </w:rPr>
        <w:t>营销中台、智能</w:t>
      </w:r>
      <w:r>
        <w:rPr>
          <w:rFonts w:ascii="Times New Roman" w:hAnsi="Times New Roman" w:cs="Times New Roman" w:eastAsia="Times New Roman" w:hint="default"/>
          <w:spacing w:val="-2"/>
        </w:rPr>
        <w:t>POS</w:t>
      </w:r>
      <w:r>
        <w:rPr>
          <w:spacing w:val="-2"/>
        </w:rPr>
        <w:t>、商户平台、微商城等</w:t>
      </w:r>
      <w:r>
        <w:rPr>
          <w:rFonts w:ascii="Times New Roman" w:hAnsi="Times New Roman" w:cs="Times New Roman" w:eastAsia="Times New Roman" w:hint="default"/>
          <w:spacing w:val="-2"/>
        </w:rPr>
        <w:t>)</w:t>
      </w:r>
      <w:r>
        <w:rPr>
          <w:spacing w:val="-2"/>
        </w:rPr>
        <w:t>的产品架构，全系列</w:t>
      </w:r>
      <w:r>
        <w:rPr>
          <w:rFonts w:ascii="Times New Roman" w:hAnsi="Times New Roman" w:cs="Times New Roman" w:eastAsia="Times New Roman" w:hint="default"/>
          <w:spacing w:val="-2"/>
        </w:rPr>
        <w:t>B/S</w:t>
      </w:r>
      <w:r>
        <w:rPr>
          <w:spacing w:val="-2"/>
        </w:rPr>
        <w:t>产品，</w:t>
      </w:r>
      <w:r>
        <w:rPr>
          <w:spacing w:val="-22"/>
        </w:rPr>
        <w:t> </w:t>
      </w:r>
      <w:r>
        <w:rPr/>
        <w:t>基于主流云架构部署及移动应用发布了全新的商友</w:t>
      </w:r>
      <w:r>
        <w:rPr>
          <w:rFonts w:ascii="Times New Roman" w:hAnsi="Times New Roman" w:cs="Times New Roman" w:eastAsia="Times New Roman" w:hint="default"/>
        </w:rPr>
        <w:t>V10.0</w:t>
      </w:r>
      <w:r>
        <w:rPr/>
        <w:t>平台产品线，实现商友</w:t>
      </w:r>
      <w:r>
        <w:rPr>
          <w:rFonts w:ascii="Times New Roman" w:hAnsi="Times New Roman" w:cs="Times New Roman" w:eastAsia="Times New Roman" w:hint="default"/>
        </w:rPr>
        <w:t>V10.0</w:t>
      </w:r>
      <w:r>
        <w:rPr/>
        <w:t>系列产品的平台化发</w:t>
      </w:r>
      <w:r>
        <w:rPr>
          <w:w w:val="100"/>
        </w:rPr>
        <w:t> </w:t>
      </w:r>
      <w:r>
        <w:rPr>
          <w:spacing w:val="-5"/>
        </w:rPr>
        <w:t>展战略，针对综合体百货的发展、转型趋势，公司研发出适用于新零售下综合体百货运营模式的百购版本、</w:t>
      </w:r>
      <w:r>
        <w:rPr>
          <w:spacing w:val="-6"/>
        </w:rPr>
        <w:t> </w:t>
      </w:r>
      <w:r>
        <w:rPr>
          <w:spacing w:val="-6"/>
        </w:rPr>
      </w:r>
      <w:r>
        <w:rPr>
          <w:spacing w:val="-2"/>
        </w:rPr>
        <w:t>全渠道数字化百购中台；在创新应用方面，公司与阿里平台合作，实践阿里新零售模式，打造企业会员生</w:t>
      </w:r>
      <w:r>
        <w:rPr>
          <w:spacing w:val="-50"/>
        </w:rPr>
        <w:t> </w:t>
      </w:r>
      <w:r>
        <w:rPr>
          <w:spacing w:val="-50"/>
        </w:rPr>
      </w:r>
      <w:r>
        <w:rPr>
          <w:spacing w:val="-2"/>
        </w:rPr>
        <w:t>态体系，实现全渠道数字化营销场景，从基于场景化的实体零售行业到以数据为主驱动的无界零售，从重</w:t>
      </w:r>
      <w:r>
        <w:rPr>
          <w:spacing w:val="-42"/>
        </w:rPr>
        <w:t> </w:t>
      </w:r>
      <w:r>
        <w:rPr>
          <w:spacing w:val="-42"/>
        </w:rPr>
      </w:r>
      <w:r>
        <w:rPr>
          <w:spacing w:val="-2"/>
        </w:rPr>
        <w:t>复感官体验到极简的无感消费体验，积极研究人脸技术的落地应用，包括刷脸支付、会员识别、无感会员</w:t>
      </w:r>
      <w:r>
        <w:rPr>
          <w:spacing w:val="-47"/>
        </w:rPr>
        <w:t> </w:t>
      </w:r>
      <w:r>
        <w:rPr>
          <w:spacing w:val="-47"/>
        </w:rPr>
      </w:r>
      <w:r>
        <w:rPr/>
        <w:t>等应用场景。</w:t>
      </w:r>
    </w:p>
    <w:p>
      <w:pPr>
        <w:pStyle w:val="BodyText"/>
        <w:spacing w:line="261" w:lineRule="auto" w:before="54"/>
        <w:ind w:right="1126" w:firstLine="420"/>
        <w:jc w:val="both"/>
      </w:pPr>
      <w:r>
        <w:rPr>
          <w:spacing w:val="-4"/>
        </w:rPr>
        <w:t>上海时运的核心业务包括外资项目（</w:t>
      </w:r>
      <w:r>
        <w:rPr>
          <w:rFonts w:ascii="Times New Roman" w:hAnsi="Times New Roman" w:cs="Times New Roman" w:eastAsia="Times New Roman" w:hint="default"/>
          <w:spacing w:val="-4"/>
        </w:rPr>
        <w:t>Oracle</w:t>
      </w:r>
      <w:r>
        <w:rPr>
          <w:spacing w:val="-4"/>
        </w:rPr>
        <w:t>公司</w:t>
      </w:r>
      <w:r>
        <w:rPr>
          <w:rFonts w:ascii="Times New Roman" w:hAnsi="Times New Roman" w:cs="Times New Roman" w:eastAsia="Times New Roman" w:hint="default"/>
          <w:spacing w:val="-4"/>
        </w:rPr>
        <w:t>Xstore</w:t>
      </w:r>
      <w:r>
        <w:rPr>
          <w:spacing w:val="-4"/>
        </w:rPr>
        <w:t>产品亚太地区实施及服务），以及内资项目（自</w:t>
      </w:r>
      <w:r>
        <w:rPr>
          <w:w w:val="100"/>
        </w:rPr>
        <w:t> </w:t>
      </w:r>
      <w:r>
        <w:rPr>
          <w:spacing w:val="-2"/>
        </w:rPr>
        <w:t>主研发的商业零售管理系统），拥有完全自主研发的商业零售管理系统，在便利店行业细分客户中日系便</w:t>
      </w:r>
      <w:r>
        <w:rPr>
          <w:spacing w:val="-44"/>
        </w:rPr>
        <w:t> </w:t>
      </w:r>
      <w:r>
        <w:rPr>
          <w:spacing w:val="-44"/>
        </w:rPr>
      </w:r>
      <w:r>
        <w:rPr>
          <w:spacing w:val="-1"/>
        </w:rPr>
        <w:t>利店的发展势头较好，其实施的</w:t>
      </w:r>
      <w:r>
        <w:rPr>
          <w:rFonts w:ascii="Times New Roman" w:hAnsi="Times New Roman" w:cs="Times New Roman" w:eastAsia="Times New Roman" w:hint="default"/>
          <w:spacing w:val="-1"/>
        </w:rPr>
        <w:t>Xstore</w:t>
      </w:r>
      <w:r>
        <w:rPr>
          <w:spacing w:val="-1"/>
        </w:rPr>
        <w:t>及</w:t>
      </w:r>
      <w:r>
        <w:rPr>
          <w:rFonts w:ascii="Times New Roman" w:hAnsi="Times New Roman" w:cs="Times New Roman" w:eastAsia="Times New Roman" w:hint="default"/>
          <w:spacing w:val="-1"/>
        </w:rPr>
        <w:t>Simphony</w:t>
      </w:r>
      <w:r>
        <w:rPr>
          <w:spacing w:val="-1"/>
        </w:rPr>
        <w:t>的优质客户包括：迪士尼、</w:t>
      </w:r>
      <w:r>
        <w:rPr>
          <w:rFonts w:ascii="Times New Roman" w:hAnsi="Times New Roman" w:cs="Times New Roman" w:eastAsia="Times New Roman" w:hint="default"/>
          <w:spacing w:val="-1"/>
        </w:rPr>
        <w:t>GODIVA</w:t>
      </w:r>
      <w:r>
        <w:rPr>
          <w:spacing w:val="-1"/>
        </w:rPr>
        <w:t>、星巴克等。报告</w:t>
      </w:r>
      <w:r>
        <w:rPr>
          <w:spacing w:val="-21"/>
        </w:rPr>
        <w:t> </w:t>
      </w:r>
      <w:r>
        <w:rPr>
          <w:spacing w:val="-21"/>
        </w:rPr>
      </w:r>
      <w:r>
        <w:rPr>
          <w:spacing w:val="-1"/>
        </w:rPr>
        <w:t>期末，上海时运客户总数</w:t>
      </w:r>
      <w:r>
        <w:rPr>
          <w:rFonts w:ascii="Times New Roman" w:hAnsi="Times New Roman" w:cs="Times New Roman" w:eastAsia="Times New Roman" w:hint="default"/>
          <w:spacing w:val="-1"/>
        </w:rPr>
        <w:t>40</w:t>
      </w:r>
      <w:r>
        <w:rPr>
          <w:spacing w:val="-1"/>
        </w:rPr>
        <w:t>家；报告期内，上海时运与</w:t>
      </w:r>
      <w:r>
        <w:rPr>
          <w:rFonts w:ascii="Times New Roman" w:hAnsi="Times New Roman" w:cs="Times New Roman" w:eastAsia="Times New Roman" w:hint="default"/>
          <w:spacing w:val="-1"/>
        </w:rPr>
        <w:t>MINISTOP</w:t>
      </w:r>
      <w:r>
        <w:rPr>
          <w:spacing w:val="-1"/>
        </w:rPr>
        <w:t>便利店（日本第四大便利店）达成战略</w:t>
      </w:r>
      <w:r>
        <w:rPr>
          <w:spacing w:val="-22"/>
        </w:rPr>
        <w:t> </w:t>
      </w:r>
      <w:r>
        <w:rPr>
          <w:spacing w:val="-22"/>
        </w:rPr>
      </w:r>
      <w:r>
        <w:rPr>
          <w:spacing w:val="-4"/>
        </w:rPr>
        <w:t>合作，在</w:t>
      </w:r>
      <w:r>
        <w:rPr>
          <w:rFonts w:ascii="Times New Roman" w:hAnsi="Times New Roman" w:cs="Times New Roman" w:eastAsia="Times New Roman" w:hint="default"/>
          <w:spacing w:val="-4"/>
        </w:rPr>
        <w:t>ministop</w:t>
      </w:r>
      <w:r>
        <w:rPr>
          <w:spacing w:val="-4"/>
        </w:rPr>
        <w:t>中国及越南等亚太国家提供便利店</w:t>
      </w:r>
      <w:r>
        <w:rPr>
          <w:rFonts w:ascii="Times New Roman" w:hAnsi="Times New Roman" w:cs="Times New Roman" w:eastAsia="Times New Roman" w:hint="default"/>
          <w:spacing w:val="-4"/>
        </w:rPr>
        <w:t>POS</w:t>
      </w:r>
      <w:r>
        <w:rPr>
          <w:spacing w:val="-4"/>
        </w:rPr>
        <w:t>系统解决方案，努力把便利店系统解决方案做深做 </w:t>
      </w:r>
      <w:r>
        <w:rPr/>
        <w:t>细，同时，落地了多个阿里淘鲜达人脸识别的自助收银及智慧门店项目。</w:t>
      </w:r>
    </w:p>
    <w:p>
      <w:pPr>
        <w:pStyle w:val="BodyText"/>
        <w:spacing w:line="256" w:lineRule="auto" w:before="59"/>
        <w:ind w:right="1129" w:firstLine="420"/>
        <w:jc w:val="both"/>
      </w:pPr>
      <w:r>
        <w:rPr/>
        <w:t>思迅软件专注于为零售、餐饮、娱乐行业提供标准化解决方案，产品包括思迅、美食家、</w:t>
      </w:r>
      <w:r>
        <w:rPr>
          <w:rFonts w:ascii="Times New Roman" w:hAnsi="Times New Roman" w:cs="Times New Roman" w:eastAsia="Times New Roman" w:hint="default"/>
        </w:rPr>
        <w:t>eShop</w:t>
      </w:r>
      <w:r>
        <w:rPr>
          <w:rFonts w:ascii="Times New Roman" w:hAnsi="Times New Roman" w:cs="Times New Roman" w:eastAsia="Times New Roman" w:hint="default"/>
          <w:spacing w:val="20"/>
        </w:rPr>
        <w:t> </w:t>
      </w:r>
      <w:r>
        <w:rPr/>
        <w:t>等行</w:t>
      </w:r>
      <w:r>
        <w:rPr>
          <w:w w:val="100"/>
        </w:rPr>
        <w:t> </w:t>
      </w:r>
      <w:r>
        <w:rPr>
          <w:spacing w:val="-3"/>
        </w:rPr>
        <w:t>业系列产品，以及</w:t>
      </w:r>
      <w:r>
        <w:rPr>
          <w:rFonts w:ascii="Times New Roman" w:hAnsi="Times New Roman" w:cs="Times New Roman" w:eastAsia="Times New Roman" w:hint="default"/>
          <w:spacing w:val="-3"/>
        </w:rPr>
        <w:t>"</w:t>
      </w:r>
      <w:r>
        <w:rPr>
          <w:spacing w:val="-3"/>
        </w:rPr>
        <w:t>天店</w:t>
      </w:r>
      <w:r>
        <w:rPr>
          <w:rFonts w:ascii="Times New Roman" w:hAnsi="Times New Roman" w:cs="Times New Roman" w:eastAsia="Times New Roman" w:hint="default"/>
          <w:spacing w:val="-3"/>
        </w:rPr>
        <w:t>"</w:t>
      </w:r>
      <w:r>
        <w:rPr>
          <w:spacing w:val="-3"/>
        </w:rPr>
        <w:t>互联网</w:t>
      </w:r>
      <w:r>
        <w:rPr>
          <w:rFonts w:ascii="Times New Roman" w:hAnsi="Times New Roman" w:cs="Times New Roman" w:eastAsia="Times New Roman" w:hint="default"/>
          <w:spacing w:val="-3"/>
        </w:rPr>
        <w:t>SAAS</w:t>
      </w:r>
      <w:r>
        <w:rPr>
          <w:spacing w:val="-3"/>
        </w:rPr>
        <w:t>平台。报告期内，思迅软件新增用户门店数达</w:t>
      </w:r>
      <w:r>
        <w:rPr>
          <w:rFonts w:ascii="Times New Roman" w:hAnsi="Times New Roman" w:cs="Times New Roman" w:eastAsia="Times New Roman" w:hint="default"/>
          <w:spacing w:val="-3"/>
        </w:rPr>
        <w:t>83,000</w:t>
      </w:r>
      <w:r>
        <w:rPr>
          <w:spacing w:val="-3"/>
        </w:rPr>
        <w:t>家，报告期末累</w:t>
      </w:r>
    </w:p>
    <w:p>
      <w:pPr>
        <w:spacing w:after="0" w:line="25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61" w:lineRule="auto" w:before="36"/>
        <w:ind w:right="1126"/>
        <w:jc w:val="both"/>
      </w:pPr>
      <w:r>
        <w:rPr>
          <w:spacing w:val="-2"/>
        </w:rPr>
        <w:t>计客户总数近</w:t>
      </w:r>
      <w:r>
        <w:rPr>
          <w:rFonts w:ascii="Times New Roman" w:hAnsi="Times New Roman" w:cs="Times New Roman" w:eastAsia="Times New Roman" w:hint="default"/>
          <w:spacing w:val="-2"/>
        </w:rPr>
        <w:t>60</w:t>
      </w:r>
      <w:r>
        <w:rPr>
          <w:spacing w:val="-2"/>
        </w:rPr>
        <w:t>万家；</w:t>
      </w:r>
      <w:r>
        <w:rPr>
          <w:rFonts w:ascii="Times New Roman" w:hAnsi="Times New Roman" w:cs="Times New Roman" w:eastAsia="Times New Roman" w:hint="default"/>
          <w:spacing w:val="-2"/>
        </w:rPr>
        <w:t>2018</w:t>
      </w:r>
      <w:r>
        <w:rPr>
          <w:spacing w:val="-2"/>
        </w:rPr>
        <w:t>年思迅软件零售超市产品销售及服务业务持续稳步增长，由于公司积累了庞大</w:t>
      </w:r>
      <w:r>
        <w:rPr>
          <w:spacing w:val="-41"/>
        </w:rPr>
        <w:t> </w:t>
      </w:r>
      <w:r>
        <w:rPr>
          <w:spacing w:val="-41"/>
        </w:rPr>
      </w:r>
      <w:r>
        <w:rPr>
          <w:spacing w:val="-1"/>
        </w:rPr>
        <w:t>的线下客户基础，使扫码支付及</w:t>
      </w:r>
      <w:r>
        <w:rPr>
          <w:rFonts w:ascii="Times New Roman" w:hAnsi="Times New Roman" w:cs="Times New Roman" w:eastAsia="Times New Roman" w:hint="default"/>
          <w:spacing w:val="-1"/>
        </w:rPr>
        <w:t>O2O</w:t>
      </w:r>
      <w:r>
        <w:rPr>
          <w:spacing w:val="-1"/>
        </w:rPr>
        <w:t>业务收入大幅度增长，因此思迅软件营业收入比上年同期增长</w:t>
      </w:r>
      <w:r>
        <w:rPr>
          <w:rFonts w:ascii="Times New Roman" w:hAnsi="Times New Roman" w:cs="Times New Roman" w:eastAsia="Times New Roman" w:hint="default"/>
          <w:spacing w:val="-1"/>
        </w:rPr>
        <w:t>49%</w:t>
      </w:r>
      <w:r>
        <w:rPr>
          <w:spacing w:val="-1"/>
        </w:rPr>
        <w:t>；</w:t>
      </w:r>
      <w:r>
        <w:rPr>
          <w:spacing w:val="-40"/>
        </w:rPr>
        <w:t> </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23</w:t>
      </w:r>
      <w:r>
        <w:rPr>
          <w:spacing w:val="-4"/>
        </w:rPr>
        <w:t>日，思迅软件通过增资和股权转让，完成控股南京客至软件</w:t>
      </w:r>
      <w:r>
        <w:rPr>
          <w:rFonts w:ascii="Times New Roman" w:hAnsi="Times New Roman" w:cs="Times New Roman" w:eastAsia="Times New Roman" w:hint="default"/>
          <w:spacing w:val="-4"/>
        </w:rPr>
        <w:t>55%</w:t>
      </w:r>
      <w:r>
        <w:rPr>
          <w:spacing w:val="-4"/>
        </w:rPr>
        <w:t>股权，客至软件专注为零售店</w:t>
      </w:r>
      <w:r>
        <w:rPr>
          <w:spacing w:val="-2"/>
        </w:rPr>
        <w:t> </w:t>
      </w:r>
      <w:r>
        <w:rPr>
          <w:spacing w:val="-2"/>
        </w:rPr>
        <w:t>搭建以人为中心的，连接员工、客户、商品、市场运营、供应商等各个环节的闭环会员营销系统软件，简</w:t>
      </w:r>
      <w:r>
        <w:rPr>
          <w:spacing w:val="-45"/>
        </w:rPr>
        <w:t> </w:t>
      </w:r>
      <w:r>
        <w:rPr>
          <w:spacing w:val="-45"/>
        </w:rPr>
      </w:r>
      <w:r>
        <w:rPr>
          <w:spacing w:val="-3"/>
        </w:rPr>
        <w:t>称</w:t>
      </w:r>
      <w:r>
        <w:rPr>
          <w:rFonts w:ascii="Times New Roman" w:hAnsi="Times New Roman" w:cs="Times New Roman" w:eastAsia="Times New Roman" w:hint="default"/>
          <w:spacing w:val="-3"/>
        </w:rPr>
        <w:t>CRM</w:t>
      </w:r>
      <w:r>
        <w:rPr>
          <w:spacing w:val="-3"/>
        </w:rPr>
        <w:t>软件，以帮助零售店实现在全渠道、全场景下为消费者提供全方位营销、销售、管理等服务，其业</w:t>
      </w:r>
      <w:r>
        <w:rPr>
          <w:spacing w:val="-45"/>
        </w:rPr>
        <w:t> </w:t>
      </w:r>
      <w:r>
        <w:rPr>
          <w:spacing w:val="-45"/>
        </w:rPr>
      </w:r>
      <w:r>
        <w:rPr/>
        <w:t>务和思迅的原有业务有协同效应，将进一步提升思迅软件新零售整体解决方案的竞争力。</w:t>
      </w:r>
    </w:p>
    <w:p>
      <w:pPr>
        <w:pStyle w:val="BodyText"/>
        <w:spacing w:line="256" w:lineRule="auto" w:before="59"/>
        <w:ind w:right="1126" w:firstLine="420"/>
        <w:jc w:val="both"/>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9</w:t>
      </w:r>
      <w:r>
        <w:rPr>
          <w:spacing w:val="-4"/>
        </w:rPr>
        <w:t>日，公司子公司石基大商信息完成收购广州合光</w:t>
      </w:r>
      <w:r>
        <w:rPr>
          <w:rFonts w:ascii="Times New Roman" w:hAnsi="Times New Roman" w:cs="Times New Roman" w:eastAsia="Times New Roman" w:hint="default"/>
          <w:spacing w:val="-4"/>
        </w:rPr>
        <w:t>100%</w:t>
      </w:r>
      <w:r>
        <w:rPr>
          <w:spacing w:val="-4"/>
        </w:rPr>
        <w:t>股权。广州合光是一家为零售商提供</w:t>
      </w:r>
      <w:r>
        <w:rPr>
          <w:w w:val="100"/>
        </w:rPr>
        <w:t> </w:t>
      </w:r>
      <w:r>
        <w:rPr>
          <w:spacing w:val="-4"/>
        </w:rPr>
        <w:t>信息软件和服务的</w:t>
      </w:r>
      <w:r>
        <w:rPr>
          <w:rFonts w:ascii="Times New Roman" w:hAnsi="Times New Roman" w:cs="Times New Roman" w:eastAsia="Times New Roman" w:hint="default"/>
          <w:spacing w:val="-4"/>
        </w:rPr>
        <w:t>SAAS</w:t>
      </w:r>
      <w:r>
        <w:rPr>
          <w:spacing w:val="-4"/>
        </w:rPr>
        <w:t>服务公司。报告期内，广州合光的软件产品云</w:t>
      </w:r>
      <w:r>
        <w:rPr>
          <w:rFonts w:ascii="Times New Roman" w:hAnsi="Times New Roman" w:cs="Times New Roman" w:eastAsia="Times New Roman" w:hint="default"/>
          <w:spacing w:val="-4"/>
        </w:rPr>
        <w:t>POS</w:t>
      </w:r>
      <w:r>
        <w:rPr>
          <w:spacing w:val="-4"/>
        </w:rPr>
        <w:t>正在市场上做验证完善，未来将</w:t>
      </w:r>
      <w:r>
        <w:rPr>
          <w:spacing w:val="-29"/>
        </w:rPr>
        <w:t> </w:t>
      </w:r>
      <w:r>
        <w:rPr>
          <w:spacing w:val="-29"/>
        </w:rPr>
      </w:r>
      <w:r>
        <w:rPr/>
        <w:t>在整个石基零售体系内的客户中推广应用。</w:t>
      </w:r>
    </w:p>
    <w:p>
      <w:pPr>
        <w:pStyle w:val="BodyText"/>
        <w:spacing w:line="290" w:lineRule="auto" w:before="61"/>
        <w:ind w:left="573" w:right="1133" w:firstLine="2"/>
        <w:jc w:val="left"/>
      </w:pPr>
      <w:r>
        <w:rPr>
          <w:rFonts w:ascii="Times New Roman" w:hAnsi="Times New Roman" w:cs="Times New Roman" w:eastAsia="Times New Roman" w:hint="default"/>
          <w:b/>
          <w:bCs/>
        </w:rPr>
        <w:t>3</w:t>
      </w:r>
      <w:r>
        <w:rPr>
          <w:rFonts w:ascii="宋体" w:hAnsi="宋体" w:cs="宋体" w:eastAsia="宋体" w:hint="default"/>
          <w:b/>
          <w:bCs/>
        </w:rPr>
        <w:t>、分销与数据业务</w:t>
      </w:r>
      <w:r>
        <w:rPr>
          <w:rFonts w:ascii="宋体" w:hAnsi="宋体" w:cs="宋体" w:eastAsia="宋体" w:hint="default"/>
          <w:b/>
          <w:bCs/>
          <w:w w:val="100"/>
        </w:rPr>
        <w:t> </w:t>
      </w:r>
      <w:r>
        <w:rPr>
          <w:spacing w:val="-2"/>
        </w:rPr>
        <w:t>报告期内，畅联进一步推进直连在集团／酒店与多种类型渠道合作中的应用，技术功能升级换代，业</w:t>
      </w:r>
    </w:p>
    <w:p>
      <w:pPr>
        <w:pStyle w:val="BodyText"/>
        <w:spacing w:line="284" w:lineRule="exact"/>
        <w:ind w:right="0"/>
        <w:jc w:val="both"/>
      </w:pPr>
      <w:r>
        <w:rPr/>
        <w:t>务拓展范围扩大，</w:t>
      </w:r>
      <w:r>
        <w:rPr>
          <w:rFonts w:ascii="Times New Roman" w:hAnsi="Times New Roman" w:cs="Times New Roman" w:eastAsia="Times New Roman" w:hint="default"/>
        </w:rPr>
        <w:t>2018</w:t>
      </w:r>
      <w:r>
        <w:rPr/>
        <w:t>年畅联有效直连产量超过</w:t>
      </w:r>
      <w:r>
        <w:rPr>
          <w:rFonts w:ascii="Times New Roman" w:hAnsi="Times New Roman" w:cs="Times New Roman" w:eastAsia="Times New Roman" w:hint="default"/>
        </w:rPr>
        <w:t>683</w:t>
      </w:r>
      <w:r>
        <w:rPr/>
        <w:t>万间夜，比上年同期产量同比增长</w:t>
      </w:r>
      <w:r>
        <w:rPr>
          <w:rFonts w:ascii="Times New Roman" w:hAnsi="Times New Roman" w:cs="Times New Roman" w:eastAsia="Times New Roman" w:hint="default"/>
        </w:rPr>
        <w:t>30%</w:t>
      </w:r>
      <w:r>
        <w:rPr/>
        <w:t>。</w:t>
      </w:r>
    </w:p>
    <w:p>
      <w:pPr>
        <w:pStyle w:val="BodyText"/>
        <w:spacing w:line="256" w:lineRule="auto" w:before="62"/>
        <w:ind w:right="0" w:firstLine="420"/>
        <w:jc w:val="left"/>
      </w:pPr>
      <w:r>
        <w:rPr/>
        <w:t>（</w:t>
      </w:r>
      <w:r>
        <w:rPr>
          <w:rFonts w:ascii="Times New Roman" w:hAnsi="Times New Roman" w:cs="Times New Roman" w:eastAsia="Times New Roman" w:hint="default"/>
        </w:rPr>
        <w:t>1</w:t>
      </w:r>
      <w:r>
        <w:rPr/>
        <w:t>）酒店分销方面，畅联在</w:t>
      </w:r>
      <w:r>
        <w:rPr>
          <w:rFonts w:ascii="Times New Roman" w:hAnsi="Times New Roman" w:cs="Times New Roman" w:eastAsia="Times New Roman" w:hint="default"/>
        </w:rPr>
        <w:t>2018</w:t>
      </w:r>
      <w:r>
        <w:rPr/>
        <w:t>年继续丰富渠道客户构成，新增新兴</w:t>
      </w:r>
      <w:r>
        <w:rPr>
          <w:rFonts w:ascii="Times New Roman" w:hAnsi="Times New Roman" w:cs="Times New Roman" w:eastAsia="Times New Roman" w:hint="default"/>
        </w:rPr>
        <w:t>OTA</w:t>
      </w:r>
      <w:r>
        <w:rPr/>
        <w:t>、批发商、差旅平台、微</w:t>
      </w:r>
      <w:r>
        <w:rPr>
          <w:w w:val="100"/>
        </w:rPr>
        <w:t> </w:t>
      </w:r>
      <w:r>
        <w:rPr>
          <w:spacing w:val="-5"/>
        </w:rPr>
        <w:t>信平台、旅行社、旅游服务网站等</w:t>
      </w:r>
      <w:r>
        <w:rPr>
          <w:rFonts w:ascii="Times New Roman" w:hAnsi="Times New Roman" w:cs="Times New Roman" w:eastAsia="Times New Roman" w:hint="default"/>
          <w:spacing w:val="-5"/>
        </w:rPr>
        <w:t>70</w:t>
      </w:r>
      <w:r>
        <w:rPr>
          <w:spacing w:val="-5"/>
        </w:rPr>
        <w:t>多个海内外渠道；供应商的客户组成亦更加多元化，除了传统的国际、</w:t>
      </w:r>
      <w:r>
        <w:rPr>
          <w:spacing w:val="-2"/>
        </w:rPr>
        <w:t> </w:t>
      </w:r>
      <w:r>
        <w:rPr>
          <w:spacing w:val="-2"/>
        </w:rPr>
      </w:r>
      <w:r>
        <w:rPr/>
        <w:t>国内高星集团和经济连锁集团外，新增了民宿、公寓、客栈、别墅等；报告期内完成</w:t>
      </w:r>
      <w:r>
        <w:rPr>
          <w:rFonts w:ascii="Times New Roman" w:hAnsi="Times New Roman" w:cs="Times New Roman" w:eastAsia="Times New Roman" w:hint="default"/>
        </w:rPr>
        <w:t>170</w:t>
      </w:r>
      <w:r>
        <w:rPr/>
        <w:t>多个直连项目，</w:t>
      </w:r>
      <w:r>
        <w:rPr>
          <w:spacing w:val="-24"/>
        </w:rPr>
        <w:t> </w:t>
      </w:r>
      <w:r>
        <w:rPr>
          <w:spacing w:val="-24"/>
        </w:rPr>
      </w:r>
      <w:r>
        <w:rPr/>
        <w:t>报告期末直连酒店增加到了约</w:t>
      </w:r>
      <w:r>
        <w:rPr>
          <w:rFonts w:ascii="Times New Roman" w:hAnsi="Times New Roman" w:cs="Times New Roman" w:eastAsia="Times New Roman" w:hint="default"/>
        </w:rPr>
        <w:t>2.3</w:t>
      </w:r>
      <w:r>
        <w:rPr/>
        <w:t>万家。</w:t>
      </w:r>
    </w:p>
    <w:p>
      <w:pPr>
        <w:pStyle w:val="BodyText"/>
        <w:spacing w:line="256" w:lineRule="auto" w:before="43"/>
        <w:ind w:right="1132" w:firstLine="420"/>
        <w:jc w:val="both"/>
      </w:pPr>
      <w:r>
        <w:rPr/>
        <w:t>（</w:t>
      </w:r>
      <w:r>
        <w:rPr>
          <w:rFonts w:ascii="Times New Roman" w:hAnsi="Times New Roman" w:cs="Times New Roman" w:eastAsia="Times New Roman" w:hint="default"/>
        </w:rPr>
        <w:t>2</w:t>
      </w:r>
      <w:r>
        <w:rPr/>
        <w:t>）产品和技术方面，</w:t>
      </w:r>
      <w:r>
        <w:rPr>
          <w:rFonts w:ascii="Times New Roman" w:hAnsi="Times New Roman" w:cs="Times New Roman" w:eastAsia="Times New Roman" w:hint="default"/>
        </w:rPr>
        <w:t>2018</w:t>
      </w:r>
      <w:r>
        <w:rPr/>
        <w:t>年畅联完成智能落地平台的研发，更加高效、准确的管理系统峰值，降</w:t>
      </w:r>
      <w:r>
        <w:rPr>
          <w:w w:val="100"/>
        </w:rPr>
        <w:t> </w:t>
      </w:r>
      <w:r>
        <w:rPr/>
        <w:t>低直连对集团和渠道系统的压力，提高系统性能和稳定。</w:t>
      </w:r>
    </w:p>
    <w:p>
      <w:pPr>
        <w:pStyle w:val="BodyText"/>
        <w:spacing w:line="261" w:lineRule="auto" w:before="63"/>
        <w:ind w:right="1124" w:firstLine="420"/>
        <w:jc w:val="both"/>
      </w:pPr>
      <w:r>
        <w:rPr/>
        <w:t>（</w:t>
      </w:r>
      <w:r>
        <w:rPr>
          <w:rFonts w:ascii="Times New Roman" w:hAnsi="Times New Roman" w:cs="Times New Roman" w:eastAsia="Times New Roman" w:hint="default"/>
        </w:rPr>
        <w:t>3</w:t>
      </w:r>
      <w:r>
        <w:rPr/>
        <w:t>）战略合作方面，畅联进一步深化与飞猪的合作，特别是国际项目拓展方面加大力度。</w:t>
      </w:r>
      <w:r>
        <w:rPr>
          <w:rFonts w:ascii="Times New Roman" w:hAnsi="Times New Roman" w:cs="Times New Roman" w:eastAsia="Times New Roman" w:hint="default"/>
        </w:rPr>
        <w:t>2018</w:t>
      </w:r>
      <w:r>
        <w:rPr/>
        <w:t>年完</w:t>
      </w:r>
      <w:r>
        <w:rPr>
          <w:spacing w:val="2"/>
          <w:w w:val="100"/>
        </w:rPr>
        <w:t> </w:t>
      </w:r>
      <w:r>
        <w:rPr/>
        <w:t>成了洲际、雅高、文华东方、澳门金沙、</w:t>
      </w:r>
      <w:r>
        <w:rPr>
          <w:rFonts w:ascii="Times New Roman" w:hAnsi="Times New Roman" w:cs="Times New Roman" w:eastAsia="Times New Roman" w:hint="default"/>
        </w:rPr>
        <w:t>SiteMinder</w:t>
      </w:r>
      <w:r>
        <w:rPr/>
        <w:t>等重要集团与飞猪平台的直连。与携程的合作同样更</w:t>
      </w:r>
      <w:r>
        <w:rPr>
          <w:spacing w:val="-26"/>
        </w:rPr>
        <w:t> </w:t>
      </w:r>
      <w:r>
        <w:rPr>
          <w:spacing w:val="-26"/>
        </w:rPr>
      </w:r>
      <w:r>
        <w:rPr>
          <w:spacing w:val="-2"/>
        </w:rPr>
        <w:t>加密切，国内单体酒店和集团酒店直连项目数量继续稳步增长的同时，还完成了多个海外直连项目，包括</w:t>
      </w:r>
      <w:r>
        <w:rPr>
          <w:spacing w:val="-42"/>
        </w:rPr>
        <w:t> </w:t>
      </w:r>
      <w:r>
        <w:rPr>
          <w:spacing w:val="-42"/>
        </w:rPr>
      </w:r>
      <w:r>
        <w:rPr/>
        <w:t>重点项目温德姆集团全球酒店的直连。</w:t>
      </w:r>
    </w:p>
    <w:p>
      <w:pPr>
        <w:pStyle w:val="BodyText"/>
        <w:spacing w:line="264" w:lineRule="auto" w:before="59"/>
        <w:ind w:right="0" w:firstLine="420"/>
        <w:jc w:val="left"/>
      </w:pPr>
      <w:r>
        <w:rPr>
          <w:spacing w:val="-2"/>
        </w:rPr>
        <w:t>注册设立的石基商用，专注于零售业供应链管理解决方案，即从零售商获取数据、提供给供应商，让</w:t>
      </w:r>
      <w:r>
        <w:rPr>
          <w:w w:val="100"/>
        </w:rPr>
        <w:t> </w:t>
      </w:r>
      <w:r>
        <w:rPr>
          <w:spacing w:val="-2"/>
        </w:rPr>
        <w:t>后者针对零售端热销产品相应地调整供应链。石基商用的主要业务由下属全资子公司北京商用星联信息科</w:t>
      </w:r>
      <w:r>
        <w:rPr>
          <w:spacing w:val="-43"/>
        </w:rPr>
        <w:t> </w:t>
      </w:r>
      <w:r>
        <w:rPr>
          <w:spacing w:val="-43"/>
        </w:rPr>
      </w:r>
      <w:r>
        <w:rPr/>
        <w:t>技有限公司（以下简称</w:t>
      </w:r>
      <w:r>
        <w:rPr>
          <w:rFonts w:ascii="Times New Roman" w:hAnsi="Times New Roman" w:cs="Times New Roman" w:eastAsia="Times New Roman" w:hint="default"/>
        </w:rPr>
        <w:t>“</w:t>
      </w:r>
      <w:r>
        <w:rPr/>
        <w:t>商用星联</w:t>
      </w:r>
      <w:r>
        <w:rPr>
          <w:rFonts w:ascii="Times New Roman" w:hAnsi="Times New Roman" w:cs="Times New Roman" w:eastAsia="Times New Roman" w:hint="default"/>
        </w:rPr>
        <w:t>”</w:t>
      </w:r>
      <w:r>
        <w:rPr/>
        <w:t>）开展，即零供协作云平台业务。零供协作平台给零售商和供货商提供</w:t>
      </w:r>
      <w:r>
        <w:rPr>
          <w:spacing w:val="-3"/>
          <w:w w:val="100"/>
        </w:rPr>
        <w:t> </w:t>
      </w:r>
      <w:r>
        <w:rPr/>
        <w:t>协同工作服务，包括</w:t>
      </w:r>
      <w:r>
        <w:rPr>
          <w:rFonts w:ascii="Times New Roman" w:hAnsi="Times New Roman" w:cs="Times New Roman" w:eastAsia="Times New Roman" w:hint="default"/>
        </w:rPr>
        <w:t>ERP</w:t>
      </w:r>
      <w:r>
        <w:rPr/>
        <w:t>经营数据的查询，各种单据的制作审核，信息员管理，费用管理，发票管理，结</w:t>
      </w:r>
      <w:r>
        <w:rPr>
          <w:spacing w:val="-99"/>
        </w:rPr>
        <w:t> </w:t>
      </w:r>
      <w:r>
        <w:rPr>
          <w:spacing w:val="-99"/>
        </w:rPr>
      </w:r>
      <w:r>
        <w:rPr>
          <w:spacing w:val="-6"/>
        </w:rPr>
        <w:t>算管理等，功能涉及</w:t>
      </w:r>
      <w:r>
        <w:rPr>
          <w:rFonts w:ascii="Times New Roman" w:hAnsi="Times New Roman" w:cs="Times New Roman" w:eastAsia="Times New Roman" w:hint="default"/>
          <w:spacing w:val="-6"/>
        </w:rPr>
        <w:t>ERP</w:t>
      </w:r>
      <w:r>
        <w:rPr>
          <w:spacing w:val="-6"/>
        </w:rPr>
        <w:t>、财务、人事、</w:t>
      </w:r>
      <w:r>
        <w:rPr>
          <w:rFonts w:ascii="Times New Roman" w:hAnsi="Times New Roman" w:cs="Times New Roman" w:eastAsia="Times New Roman" w:hint="default"/>
          <w:spacing w:val="-6"/>
        </w:rPr>
        <w:t>OA</w:t>
      </w:r>
      <w:r>
        <w:rPr>
          <w:spacing w:val="-6"/>
        </w:rPr>
        <w:t>工作流，以软件服务的模式运营，每月收供货商的平台使用费。</w:t>
      </w:r>
      <w:r>
        <w:rPr>
          <w:spacing w:val="-4"/>
        </w:rPr>
        <w:t> </w:t>
      </w:r>
      <w:r>
        <w:rPr>
          <w:spacing w:val="-4"/>
        </w:rPr>
      </w:r>
      <w:r>
        <w:rPr>
          <w:spacing w:val="-2"/>
        </w:rPr>
        <w:t>为了让零售商帮助推广平台，商用星联采取和零售商分润的模式，从供货商的平台使用费中分出一部分给</w:t>
      </w:r>
      <w:r>
        <w:rPr>
          <w:spacing w:val="-43"/>
        </w:rPr>
        <w:t> </w:t>
      </w:r>
      <w:r>
        <w:rPr>
          <w:spacing w:val="-43"/>
        </w:rPr>
      </w:r>
      <w:r>
        <w:rPr/>
        <w:t>零售商。报告期末，平台上有</w:t>
      </w:r>
      <w:r>
        <w:rPr>
          <w:rFonts w:ascii="Times New Roman" w:hAnsi="Times New Roman" w:cs="Times New Roman" w:eastAsia="Times New Roman" w:hint="default"/>
        </w:rPr>
        <w:t>60</w:t>
      </w:r>
      <w:r>
        <w:rPr/>
        <w:t>多家零售集团，约</w:t>
      </w:r>
      <w:r>
        <w:rPr>
          <w:rFonts w:ascii="Times New Roman" w:hAnsi="Times New Roman" w:cs="Times New Roman" w:eastAsia="Times New Roman" w:hint="default"/>
        </w:rPr>
        <w:t>900</w:t>
      </w:r>
      <w:r>
        <w:rPr/>
        <w:t>家单店，约</w:t>
      </w:r>
      <w:r>
        <w:rPr>
          <w:rFonts w:ascii="Times New Roman" w:hAnsi="Times New Roman" w:cs="Times New Roman" w:eastAsia="Times New Roman" w:hint="default"/>
        </w:rPr>
        <w:t>3</w:t>
      </w:r>
      <w:r>
        <w:rPr/>
        <w:t>万个供货商。</w:t>
      </w:r>
    </w:p>
    <w:p>
      <w:pPr>
        <w:spacing w:line="290" w:lineRule="auto" w:before="36"/>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、支付与税控系统业务</w:t>
      </w:r>
      <w:r>
        <w:rPr>
          <w:rFonts w:ascii="宋体" w:hAnsi="宋体" w:cs="宋体" w:eastAsia="宋体" w:hint="default"/>
          <w:b/>
          <w:bCs/>
          <w:w w:val="100"/>
          <w:sz w:val="21"/>
          <w:szCs w:val="21"/>
        </w:rPr>
        <w:t> </w:t>
      </w:r>
      <w:r>
        <w:rPr>
          <w:rFonts w:ascii="宋体" w:hAnsi="宋体" w:cs="宋体" w:eastAsia="宋体" w:hint="default"/>
          <w:spacing w:val="-2"/>
          <w:sz w:val="21"/>
          <w:szCs w:val="21"/>
        </w:rPr>
        <w:t>南京银石专门从事支付领域的软件产品开发和技术服务工作，目前支付产品和解决方案适用范围涵盖</w:t>
      </w:r>
    </w:p>
    <w:p>
      <w:pPr>
        <w:pStyle w:val="BodyText"/>
        <w:spacing w:line="273" w:lineRule="auto"/>
        <w:ind w:right="1105"/>
        <w:jc w:val="both"/>
      </w:pPr>
      <w:r>
        <w:rPr>
          <w:spacing w:val="-2"/>
        </w:rPr>
        <w:t>了酒店、餐饮、百货零售、旅游景区等行业。银石产品还包括预付卡后台主机系统以及支付转接平台和增</w:t>
      </w:r>
      <w:r>
        <w:rPr>
          <w:spacing w:val="-43"/>
        </w:rPr>
        <w:t> </w:t>
      </w:r>
      <w:r>
        <w:rPr>
          <w:spacing w:val="-43"/>
        </w:rPr>
      </w:r>
      <w:r>
        <w:rPr>
          <w:spacing w:val="-2"/>
        </w:rPr>
        <w:t>值业务系统，目前都得到广泛的应用。南京银石也开发了石基支付平台，为商户提供集银行卡、预付卡、</w:t>
      </w:r>
      <w:r>
        <w:rPr>
          <w:spacing w:val="-21"/>
        </w:rPr>
        <w:t> </w:t>
      </w:r>
      <w:r>
        <w:rPr>
          <w:spacing w:val="-21"/>
        </w:rPr>
      </w:r>
      <w:r>
        <w:rPr>
          <w:spacing w:val="-2"/>
        </w:rPr>
        <w:t>支付宝、微信等支付方式于一体的全方位、一体化的支付解决方案，满足商户更安全、更方便，更准确的</w:t>
      </w:r>
      <w:r>
        <w:rPr>
          <w:spacing w:val="-43"/>
        </w:rPr>
        <w:t> </w:t>
      </w:r>
      <w:r>
        <w:rPr>
          <w:spacing w:val="-43"/>
        </w:rPr>
      </w:r>
      <w:r>
        <w:rPr/>
        <w:t>支付受理需求。</w:t>
      </w:r>
    </w:p>
    <w:p>
      <w:pPr>
        <w:pStyle w:val="BodyText"/>
        <w:spacing w:line="261" w:lineRule="auto" w:before="48"/>
        <w:ind w:right="1126" w:firstLine="420"/>
        <w:jc w:val="both"/>
      </w:pPr>
      <w:r>
        <w:rPr>
          <w:spacing w:val="-2"/>
        </w:rPr>
        <w:t>目前，公司技术的发展方向已经基本完成了从传统定制化开发到标准化产品的转变，正在平衡售卖型</w:t>
      </w:r>
      <w:r>
        <w:rPr>
          <w:w w:val="100"/>
        </w:rPr>
        <w:t> </w:t>
      </w:r>
      <w:r>
        <w:rPr/>
        <w:t>产品与平台技术服务的比重，虽然售卖型产品的研发投入占比约</w:t>
      </w:r>
      <w:r>
        <w:rPr>
          <w:rFonts w:ascii="Times New Roman" w:hAnsi="Times New Roman" w:cs="Times New Roman" w:eastAsia="Times New Roman" w:hint="default"/>
        </w:rPr>
        <w:t>70%</w:t>
      </w:r>
      <w:r>
        <w:rPr/>
        <w:t>，平台研发投入仅占约</w:t>
      </w:r>
      <w:r>
        <w:rPr>
          <w:rFonts w:ascii="Times New Roman" w:hAnsi="Times New Roman" w:cs="Times New Roman" w:eastAsia="Times New Roman" w:hint="default"/>
        </w:rPr>
        <w:t>30%</w:t>
      </w:r>
      <w:r>
        <w:rPr/>
        <w:t>，但平台</w:t>
      </w:r>
      <w:r>
        <w:rPr>
          <w:spacing w:val="-52"/>
        </w:rPr>
        <w:t> </w:t>
      </w:r>
      <w:r>
        <w:rPr>
          <w:spacing w:val="-1"/>
        </w:rPr>
        <w:t>投入的趋势在逐渐增加，报告期末南京银石支付平台服务的商户门店数达</w:t>
      </w:r>
      <w:r>
        <w:rPr>
          <w:rFonts w:ascii="Times New Roman" w:hAnsi="Times New Roman" w:cs="Times New Roman" w:eastAsia="Times New Roman" w:hint="default"/>
          <w:spacing w:val="-1"/>
        </w:rPr>
        <w:t>43,751</w:t>
      </w:r>
      <w:r>
        <w:rPr>
          <w:spacing w:val="-1"/>
        </w:rPr>
        <w:t>家。技术研发方面，在巩</w:t>
      </w:r>
      <w:r>
        <w:rPr>
          <w:spacing w:val="-29"/>
        </w:rPr>
        <w:t> </w:t>
      </w:r>
      <w:r>
        <w:rPr>
          <w:spacing w:val="-29"/>
        </w:rPr>
      </w:r>
      <w:r>
        <w:rPr>
          <w:spacing w:val="-3"/>
        </w:rPr>
        <w:t>固线下支付平台的同时，研发的方向也在往线上转移，支付宝、微信等渠道的</w:t>
      </w:r>
      <w:r>
        <w:rPr>
          <w:rFonts w:ascii="Times New Roman" w:hAnsi="Times New Roman" w:cs="Times New Roman" w:eastAsia="Times New Roman" w:hint="default"/>
          <w:spacing w:val="-3"/>
        </w:rPr>
        <w:t>H5</w:t>
      </w:r>
      <w:r>
        <w:rPr>
          <w:spacing w:val="-3"/>
        </w:rPr>
        <w:t>支付、</w:t>
      </w:r>
      <w:r>
        <w:rPr>
          <w:rFonts w:ascii="Times New Roman" w:hAnsi="Times New Roman" w:cs="Times New Roman" w:eastAsia="Times New Roman" w:hint="default"/>
          <w:spacing w:val="-3"/>
        </w:rPr>
        <w:t>APP</w:t>
      </w:r>
      <w:r>
        <w:rPr>
          <w:spacing w:val="-3"/>
        </w:rPr>
        <w:t>支付的聚合产</w:t>
      </w:r>
      <w:r>
        <w:rPr>
          <w:spacing w:val="-4"/>
        </w:rPr>
        <w:t> </w:t>
      </w:r>
      <w:r>
        <w:rPr>
          <w:spacing w:val="-4"/>
        </w:rPr>
      </w:r>
      <w:r>
        <w:rPr/>
        <w:t>品已经开发完成。</w:t>
      </w:r>
    </w:p>
    <w:p>
      <w:pPr>
        <w:pStyle w:val="BodyText"/>
        <w:spacing w:line="256" w:lineRule="auto" w:before="56"/>
        <w:ind w:right="1126" w:firstLine="420"/>
        <w:jc w:val="both"/>
      </w:pPr>
      <w:r>
        <w:rPr/>
        <w:t>报告期内，南京银石共新签</w:t>
      </w:r>
      <w:r>
        <w:rPr>
          <w:rFonts w:ascii="Times New Roman" w:hAnsi="Times New Roman" w:cs="Times New Roman" w:eastAsia="Times New Roman" w:hint="default"/>
        </w:rPr>
        <w:t>730</w:t>
      </w:r>
      <w:r>
        <w:rPr/>
        <w:t>个项目，其中新立项软件产品类项目</w:t>
      </w:r>
      <w:r>
        <w:rPr>
          <w:rFonts w:ascii="Times New Roman" w:hAnsi="Times New Roman" w:cs="Times New Roman" w:eastAsia="Times New Roman" w:hint="default"/>
        </w:rPr>
        <w:t>322</w:t>
      </w:r>
      <w:r>
        <w:rPr/>
        <w:t>个，系统维护升级类项目</w:t>
      </w:r>
      <w:r>
        <w:rPr>
          <w:rFonts w:ascii="Times New Roman" w:hAnsi="Times New Roman" w:cs="Times New Roman" w:eastAsia="Times New Roman" w:hint="default"/>
        </w:rPr>
        <w:t>408</w:t>
      </w:r>
      <w:r>
        <w:rPr>
          <w:rFonts w:ascii="Times New Roman" w:hAnsi="Times New Roman" w:cs="Times New Roman" w:eastAsia="Times New Roman" w:hint="default"/>
          <w:w w:val="100"/>
        </w:rPr>
        <w:t> </w:t>
      </w:r>
      <w:r>
        <w:rPr/>
        <w:t>个。</w:t>
      </w:r>
    </w:p>
    <w:p>
      <w:pPr>
        <w:pStyle w:val="BodyText"/>
        <w:spacing w:line="240" w:lineRule="auto" w:before="63"/>
        <w:ind w:left="573" w:right="1133"/>
        <w:jc w:val="left"/>
        <w:rPr>
          <w:rFonts w:ascii="Times New Roman" w:hAnsi="Times New Roman" w:cs="Times New Roman" w:eastAsia="Times New Roman" w:hint="default"/>
        </w:rPr>
      </w:pPr>
      <w:r>
        <w:rPr>
          <w:spacing w:val="-8"/>
        </w:rPr>
        <w:t>报告期内，南京银石酒店银行卡收单一体化（</w:t>
      </w:r>
      <w:r>
        <w:rPr>
          <w:rFonts w:ascii="Times New Roman" w:hAnsi="Times New Roman" w:cs="Times New Roman" w:eastAsia="Times New Roman" w:hint="default"/>
          <w:spacing w:val="-8"/>
        </w:rPr>
        <w:t>PGS</w:t>
      </w:r>
      <w:r>
        <w:rPr>
          <w:spacing w:val="-8"/>
        </w:rPr>
        <w:t>）业务新开通酒店</w:t>
      </w:r>
      <w:r>
        <w:rPr>
          <w:rFonts w:ascii="Times New Roman" w:hAnsi="Times New Roman" w:cs="Times New Roman" w:eastAsia="Times New Roman" w:hint="default"/>
          <w:spacing w:val="-8"/>
        </w:rPr>
        <w:t>121</w:t>
      </w:r>
      <w:r>
        <w:rPr>
          <w:spacing w:val="-8"/>
        </w:rPr>
        <w:t>家，报告期末酒店用户合计</w:t>
      </w:r>
      <w:r>
        <w:rPr>
          <w:rFonts w:ascii="Times New Roman" w:hAnsi="Times New Roman" w:cs="Times New Roman" w:eastAsia="Times New Roman" w:hint="default"/>
          <w:spacing w:val="-8"/>
        </w:rPr>
        <w:t>1333</w:t>
      </w:r>
    </w:p>
    <w:p>
      <w:pPr>
        <w:spacing w:after="0" w:line="240" w:lineRule="auto"/>
        <w:jc w:val="left"/>
        <w:rPr>
          <w:rFonts w:ascii="Times New Roman" w:hAnsi="Times New Roman" w:cs="Times New Roman" w:eastAsia="Times New Roman" w:hint="default"/>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BodyText"/>
        <w:spacing w:line="292" w:lineRule="auto" w:before="36"/>
        <w:ind w:left="573" w:right="1133" w:hanging="421"/>
        <w:jc w:val="left"/>
      </w:pPr>
      <w:r>
        <w:rPr/>
        <w:t>家，其中开通</w:t>
      </w:r>
      <w:r>
        <w:rPr>
          <w:rFonts w:ascii="Times New Roman" w:hAnsi="Times New Roman" w:cs="Times New Roman" w:eastAsia="Times New Roman" w:hint="default"/>
        </w:rPr>
        <w:t>DCC</w:t>
      </w:r>
      <w:r>
        <w:rPr/>
        <w:t>交易的酒店商户</w:t>
      </w:r>
      <w:r>
        <w:rPr>
          <w:rFonts w:ascii="Times New Roman" w:hAnsi="Times New Roman" w:cs="Times New Roman" w:eastAsia="Times New Roman" w:hint="default"/>
        </w:rPr>
        <w:t>709</w:t>
      </w:r>
      <w:r>
        <w:rPr/>
        <w:t>家。</w:t>
      </w:r>
      <w:r>
        <w:rPr>
          <w:spacing w:val="-3"/>
          <w:w w:val="100"/>
        </w:rPr>
        <w:t> </w:t>
      </w:r>
      <w:r>
        <w:rPr/>
        <w:t>百望金税是由石基信息与百望股份有限公司共同出资于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月成立的合资公司，公司持有百望金</w:t>
      </w:r>
    </w:p>
    <w:p>
      <w:pPr>
        <w:pStyle w:val="BodyText"/>
        <w:spacing w:line="261" w:lineRule="exact"/>
        <w:ind w:right="0"/>
        <w:jc w:val="left"/>
      </w:pPr>
      <w:r>
        <w:rPr/>
        <w:t>税</w:t>
      </w:r>
      <w:r>
        <w:rPr>
          <w:rFonts w:ascii="Times New Roman" w:hAnsi="Times New Roman" w:cs="Times New Roman" w:eastAsia="Times New Roman" w:hint="default"/>
        </w:rPr>
        <w:t>60%</w:t>
      </w:r>
      <w:r>
        <w:rPr/>
        <w:t>股份。百望金税致力于为酒店、餐饮、零售等生活服务领域客户，提供增值税税控软硬件一体化解</w:t>
      </w:r>
    </w:p>
    <w:p>
      <w:pPr>
        <w:pStyle w:val="BodyText"/>
        <w:spacing w:line="266" w:lineRule="auto" w:before="21"/>
        <w:ind w:right="0"/>
        <w:jc w:val="left"/>
      </w:pPr>
      <w:r>
        <w:rPr>
          <w:spacing w:val="-2"/>
        </w:rPr>
        <w:t>决方案及电子发票服务，打造完美的涉税体验，加速国家营改增政策在大消费领域的实施落地，其产品有</w:t>
      </w:r>
      <w:r>
        <w:rPr>
          <w:spacing w:val="-43"/>
        </w:rPr>
        <w:t> </w:t>
      </w:r>
      <w:r>
        <w:rPr>
          <w:spacing w:val="-43"/>
        </w:rPr>
      </w:r>
      <w:r>
        <w:rPr>
          <w:spacing w:val="-2"/>
        </w:rPr>
        <w:t>税控系统专用设备、易开票系统、进项发票管理系统、销项发票管理系统及百望云电子发票平台等。报告</w:t>
      </w:r>
      <w:r>
        <w:rPr>
          <w:spacing w:val="-50"/>
        </w:rPr>
        <w:t> </w:t>
      </w:r>
      <w:r>
        <w:rPr>
          <w:spacing w:val="-50"/>
        </w:rPr>
      </w:r>
      <w:r>
        <w:rPr>
          <w:spacing w:val="-2"/>
        </w:rPr>
        <w:t>期内，百望金税新增税控系统及电子发票客户</w:t>
      </w:r>
      <w:r>
        <w:rPr>
          <w:rFonts w:ascii="Times New Roman" w:hAnsi="Times New Roman" w:cs="Times New Roman" w:eastAsia="Times New Roman" w:hint="default"/>
          <w:spacing w:val="-2"/>
        </w:rPr>
        <w:t>114</w:t>
      </w:r>
      <w:r>
        <w:rPr>
          <w:spacing w:val="-2"/>
        </w:rPr>
        <w:t>家，客户包括酒店、零售及社会餐饮连锁等。报告期末，</w:t>
      </w:r>
      <w:r>
        <w:rPr>
          <w:spacing w:val="-45"/>
        </w:rPr>
        <w:t> </w:t>
      </w:r>
      <w:r>
        <w:rPr>
          <w:spacing w:val="-45"/>
        </w:rPr>
      </w:r>
      <w:r>
        <w:rPr/>
        <w:t>百望金税共有税控系统及电子发票客户</w:t>
      </w:r>
      <w:r>
        <w:rPr>
          <w:rFonts w:ascii="Times New Roman" w:hAnsi="Times New Roman" w:cs="Times New Roman" w:eastAsia="Times New Roman" w:hint="default"/>
        </w:rPr>
        <w:t>680</w:t>
      </w:r>
      <w:r>
        <w:rPr/>
        <w:t>余家，其中酒店客户发展平稳，零售业客户发展较快。</w:t>
      </w:r>
    </w:p>
    <w:p>
      <w:pPr>
        <w:spacing w:line="290" w:lineRule="auto" w:before="34"/>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、第三方硬件配套业务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公司全资子公司中电器件的主营业务为石基信息软件业务所配套的第三方硬件业务。</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年，中电器</w:t>
      </w:r>
    </w:p>
    <w:p>
      <w:pPr>
        <w:pStyle w:val="BodyText"/>
        <w:spacing w:line="247" w:lineRule="exact"/>
        <w:ind w:right="0"/>
        <w:jc w:val="left"/>
      </w:pPr>
      <w:r>
        <w:rPr/>
        <w:t>件在传统业务上坚持创新经营，同时积极靠拢石基集团在酒店、餐饮、零售、旅游等领域的战略布局，坚</w:t>
      </w:r>
    </w:p>
    <w:p>
      <w:pPr>
        <w:pStyle w:val="BodyText"/>
        <w:spacing w:line="273" w:lineRule="auto" w:before="37"/>
        <w:ind w:right="0"/>
        <w:jc w:val="left"/>
      </w:pPr>
      <w:r>
        <w:rPr>
          <w:spacing w:val="-5"/>
        </w:rPr>
        <w:t>持与经销商进行多品牌、多产品线合作，充分整合内部资源，企业产品线布局及销售模式更加合理、全面，</w:t>
      </w:r>
      <w:r>
        <w:rPr>
          <w:spacing w:val="-12"/>
        </w:rPr>
        <w:t> </w:t>
      </w:r>
      <w:r>
        <w:rPr>
          <w:spacing w:val="-12"/>
        </w:rPr>
      </w:r>
      <w:r>
        <w:rPr>
          <w:spacing w:val="-2"/>
        </w:rPr>
        <w:t>渠道销售稳中有进，新客户不断增长，行业销售实现多品牌复合化，但由于局部调整了与集团总体发展战</w:t>
      </w:r>
      <w:r>
        <w:rPr>
          <w:spacing w:val="-43"/>
        </w:rPr>
        <w:t> </w:t>
      </w:r>
      <w:r>
        <w:rPr>
          <w:spacing w:val="-43"/>
        </w:rPr>
      </w:r>
      <w:r>
        <w:rPr/>
        <w:t>略无关的业务导致报告期内业务收入较上年同期有所下降。</w:t>
      </w:r>
    </w:p>
    <w:p>
      <w:pPr>
        <w:pStyle w:val="Heading7"/>
        <w:spacing w:line="240" w:lineRule="auto" w:before="49"/>
        <w:ind w:left="575" w:right="1133"/>
        <w:jc w:val="left"/>
        <w:rPr>
          <w:b w:val="0"/>
          <w:bCs w:val="0"/>
        </w:rPr>
      </w:pPr>
      <w:r>
        <w:rPr>
          <w:rFonts w:ascii="Times New Roman" w:hAnsi="Times New Roman" w:cs="Times New Roman" w:eastAsia="Times New Roman" w:hint="default"/>
        </w:rPr>
        <w:t>6</w:t>
      </w:r>
      <w:r>
        <w:rPr/>
        <w:t>、旅游休闲信息系统业务</w:t>
      </w:r>
      <w:r>
        <w:rPr>
          <w:b w:val="0"/>
          <w:bCs w:val="0"/>
        </w:rPr>
      </w:r>
    </w:p>
    <w:p>
      <w:pPr>
        <w:pStyle w:val="BodyText"/>
        <w:spacing w:line="259" w:lineRule="auto" w:before="59"/>
        <w:ind w:right="1126"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月，公司通过继续投资此前参股</w:t>
      </w:r>
      <w:r>
        <w:rPr>
          <w:rFonts w:ascii="Times New Roman" w:hAnsi="Times New Roman" w:cs="Times New Roman" w:eastAsia="Times New Roman" w:hint="default"/>
        </w:rPr>
        <w:t>20%</w:t>
      </w:r>
      <w:r>
        <w:rPr/>
        <w:t>的</w:t>
      </w:r>
      <w:r>
        <w:rPr>
          <w:rFonts w:ascii="Times New Roman" w:hAnsi="Times New Roman" w:cs="Times New Roman" w:eastAsia="Times New Roman" w:hint="default"/>
        </w:rPr>
        <w:t>Galasys</w:t>
      </w:r>
      <w:r>
        <w:rPr>
          <w:rFonts w:ascii="Times New Roman" w:hAnsi="Times New Roman" w:cs="Times New Roman" w:eastAsia="Times New Roman" w:hint="default"/>
          <w:spacing w:val="23"/>
        </w:rPr>
        <w:t> </w:t>
      </w:r>
      <w:r>
        <w:rPr>
          <w:rFonts w:ascii="Times New Roman" w:hAnsi="Times New Roman" w:cs="Times New Roman" w:eastAsia="Times New Roman" w:hint="default"/>
        </w:rPr>
        <w:t>PLC</w:t>
      </w:r>
      <w:r>
        <w:rPr/>
        <w:t>公司（以下简称</w:t>
      </w:r>
      <w:r>
        <w:rPr>
          <w:rFonts w:ascii="Times New Roman" w:hAnsi="Times New Roman" w:cs="Times New Roman" w:eastAsia="Times New Roman" w:hint="default"/>
        </w:rPr>
        <w:t>“</w:t>
      </w:r>
      <w:r>
        <w:rPr/>
        <w:t>银科环企</w:t>
      </w:r>
      <w:r>
        <w:rPr>
          <w:rFonts w:ascii="Times New Roman" w:hAnsi="Times New Roman" w:cs="Times New Roman" w:eastAsia="Times New Roman" w:hint="default"/>
        </w:rPr>
        <w:t>”</w:t>
      </w:r>
      <w:r>
        <w:rPr/>
        <w:t>），实现控股</w:t>
      </w:r>
      <w:r>
        <w:rPr>
          <w:w w:val="100"/>
        </w:rPr>
        <w:t> </w:t>
      </w:r>
      <w:r>
        <w:rPr>
          <w:spacing w:val="-3"/>
        </w:rPr>
        <w:t>银科环企</w:t>
      </w:r>
      <w:r>
        <w:rPr>
          <w:rFonts w:ascii="Times New Roman" w:hAnsi="Times New Roman" w:cs="Times New Roman" w:eastAsia="Times New Roman" w:hint="default"/>
          <w:spacing w:val="-3"/>
        </w:rPr>
        <w:t>84.83%</w:t>
      </w:r>
      <w:r>
        <w:rPr>
          <w:spacing w:val="-3"/>
        </w:rPr>
        <w:t>股权。该公司一直专注于为综合性多业态主题公园、景区景点等旅游目的地提供信息化管</w:t>
      </w:r>
      <w:r>
        <w:rPr>
          <w:spacing w:val="-6"/>
        </w:rPr>
        <w:t> </w:t>
      </w:r>
      <w:r>
        <w:rPr>
          <w:spacing w:val="-6"/>
        </w:rPr>
      </w:r>
      <w:r>
        <w:rPr>
          <w:spacing w:val="-2"/>
        </w:rPr>
        <w:t>理服务，主要市场集中在中国及东南亚等亚洲区域，拥有逾两百人的专业团队，主要产品有：智慧旅游目</w:t>
      </w:r>
      <w:r>
        <w:rPr>
          <w:spacing w:val="-47"/>
        </w:rPr>
        <w:t> </w:t>
      </w:r>
      <w:r>
        <w:rPr>
          <w:spacing w:val="-47"/>
        </w:rPr>
      </w:r>
      <w:r>
        <w:rPr>
          <w:spacing w:val="-4"/>
        </w:rPr>
        <w:t>的地业务管理平台、智慧旅游目的地运营管控平台、智慧旅游目的地</w:t>
      </w:r>
      <w:r>
        <w:rPr>
          <w:rFonts w:ascii="Times New Roman" w:hAnsi="Times New Roman" w:cs="Times New Roman" w:eastAsia="Times New Roman" w:hint="default"/>
          <w:spacing w:val="-4"/>
        </w:rPr>
        <w:t>CLOTA</w:t>
      </w:r>
      <w:r>
        <w:rPr>
          <w:spacing w:val="-4"/>
        </w:rPr>
        <w:t>营销管理平台、智慧旅游目的</w:t>
      </w:r>
      <w:r>
        <w:rPr>
          <w:spacing w:val="-14"/>
        </w:rPr>
        <w:t> </w:t>
      </w:r>
      <w:r>
        <w:rPr>
          <w:spacing w:val="-14"/>
        </w:rPr>
      </w:r>
      <w:r>
        <w:rPr>
          <w:spacing w:val="-2"/>
        </w:rPr>
        <w:t>地聚合支付管理平台以及智慧旅游目的地服务体系系列产品。报告期内，银科环企新签项目</w:t>
      </w:r>
      <w:r>
        <w:rPr>
          <w:rFonts w:ascii="Times New Roman" w:hAnsi="Times New Roman" w:cs="Times New Roman" w:eastAsia="Times New Roman" w:hint="default"/>
          <w:spacing w:val="-2"/>
        </w:rPr>
        <w:t>47</w:t>
      </w:r>
      <w:r>
        <w:rPr>
          <w:spacing w:val="-2"/>
        </w:rPr>
        <w:t>个，客户大</w:t>
      </w:r>
      <w:r>
        <w:rPr>
          <w:spacing w:val="-41"/>
        </w:rPr>
        <w:t> </w:t>
      </w:r>
      <w:r>
        <w:rPr>
          <w:spacing w:val="-41"/>
        </w:rPr>
      </w:r>
      <w:r>
        <w:rPr/>
        <w:t>部分是集团化商业地产公司转型文旅类项目，新增客户</w:t>
      </w:r>
      <w:r>
        <w:rPr>
          <w:rFonts w:ascii="Times New Roman" w:hAnsi="Times New Roman" w:cs="Times New Roman" w:eastAsia="Times New Roman" w:hint="default"/>
        </w:rPr>
        <w:t>34</w:t>
      </w:r>
      <w:r>
        <w:rPr/>
        <w:t>个，报告期末累计客户数量</w:t>
      </w:r>
      <w:r>
        <w:rPr>
          <w:rFonts w:ascii="Times New Roman" w:hAnsi="Times New Roman" w:cs="Times New Roman" w:eastAsia="Times New Roman" w:hint="default"/>
        </w:rPr>
        <w:t>346</w:t>
      </w:r>
      <w:r>
        <w:rPr/>
        <w:t>个，在主题公园</w:t>
      </w:r>
      <w:r>
        <w:rPr>
          <w:spacing w:val="-24"/>
        </w:rPr>
        <w:t> </w:t>
      </w:r>
      <w:r>
        <w:rPr>
          <w:spacing w:val="-24"/>
        </w:rPr>
      </w:r>
      <w:r>
        <w:rPr/>
        <w:t>项目市场占有率超过</w:t>
      </w:r>
      <w:r>
        <w:rPr>
          <w:rFonts w:ascii="Times New Roman" w:hAnsi="Times New Roman" w:cs="Times New Roman" w:eastAsia="Times New Roman" w:hint="default"/>
        </w:rPr>
        <w:t>50%</w:t>
      </w:r>
      <w:r>
        <w:rPr/>
        <w:t>，集团化大型项目的市场占有率约</w:t>
      </w:r>
      <w:r>
        <w:rPr>
          <w:rFonts w:ascii="Times New Roman" w:hAnsi="Times New Roman" w:cs="Times New Roman" w:eastAsia="Times New Roman" w:hint="default"/>
        </w:rPr>
        <w:t>80%</w:t>
      </w:r>
      <w:r>
        <w:rPr/>
        <w:t>；技术研发方面，完成了新</w:t>
      </w:r>
      <w:r>
        <w:rPr>
          <w:rFonts w:ascii="Times New Roman" w:hAnsi="Times New Roman" w:cs="Times New Roman" w:eastAsia="Times New Roman" w:hint="default"/>
        </w:rPr>
        <w:t>SaaS</w:t>
      </w:r>
      <w:r>
        <w:rPr/>
        <w:t>模式旅游</w:t>
      </w:r>
      <w:r>
        <w:rPr>
          <w:spacing w:val="-56"/>
        </w:rPr>
        <w:t> </w:t>
      </w:r>
      <w:r>
        <w:rPr>
          <w:spacing w:val="-56"/>
        </w:rPr>
      </w:r>
      <w:r>
        <w:rPr/>
        <w:t>目的地营销平台一期、新会员系统一期和安全管控平台的研发工作。</w:t>
      </w:r>
    </w:p>
    <w:p>
      <w:pPr>
        <w:pStyle w:val="BodyText"/>
        <w:spacing w:line="261" w:lineRule="auto" w:before="61"/>
        <w:ind w:right="1068"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日，公司全资子公司北海石基完成收购北京宝库在线网络技术有限公司</w:t>
      </w:r>
      <w:r>
        <w:rPr>
          <w:rFonts w:ascii="Times New Roman" w:hAnsi="Times New Roman" w:cs="Times New Roman" w:eastAsia="Times New Roman" w:hint="default"/>
        </w:rPr>
        <w:t>85%</w:t>
      </w:r>
      <w:r>
        <w:rPr/>
        <w:t>股权。宝库在</w:t>
      </w:r>
      <w:r>
        <w:rPr>
          <w:w w:val="100"/>
        </w:rPr>
        <w:t> </w:t>
      </w:r>
      <w:r>
        <w:rPr>
          <w:spacing w:val="-2"/>
        </w:rPr>
        <w:t>线是基于云端的企业差旅费控及差旅供应链管理平台，向企业采购方和差旅供应商提供交易管理服务，同</w:t>
      </w:r>
      <w:r>
        <w:rPr>
          <w:spacing w:val="-44"/>
        </w:rPr>
        <w:t> </w:t>
      </w:r>
      <w:r>
        <w:rPr>
          <w:spacing w:val="-44"/>
        </w:rPr>
      </w:r>
      <w:r>
        <w:rPr>
          <w:spacing w:val="-2"/>
        </w:rPr>
        <w:t>时也向航空公司提供大客户直销系统及技术服务，向商旅管理公司（</w:t>
      </w:r>
      <w:r>
        <w:rPr>
          <w:rFonts w:ascii="Times New Roman" w:hAnsi="Times New Roman" w:cs="Times New Roman" w:eastAsia="Times New Roman" w:hint="default"/>
          <w:spacing w:val="-2"/>
        </w:rPr>
        <w:t>TMC</w:t>
      </w:r>
      <w:r>
        <w:rPr>
          <w:spacing w:val="-2"/>
        </w:rPr>
        <w:t>）提供企业客户销售管理系统。</w:t>
      </w:r>
      <w:r>
        <w:rPr>
          <w:spacing w:val="-18"/>
        </w:rPr>
        <w:t> </w:t>
      </w:r>
      <w:r>
        <w:rPr>
          <w:spacing w:val="-18"/>
        </w:rPr>
      </w:r>
      <w:r>
        <w:rPr/>
        <w:t>报告期末，宝库在线累计客户</w:t>
      </w:r>
      <w:r>
        <w:rPr>
          <w:rFonts w:ascii="Times New Roman" w:hAnsi="Times New Roman" w:cs="Times New Roman" w:eastAsia="Times New Roman" w:hint="default"/>
        </w:rPr>
        <w:t>310</w:t>
      </w:r>
      <w:r>
        <w:rPr/>
        <w:t>家；技术研发方面，与石基畅联的直销酒店数据对接，并全新推出企业</w:t>
      </w:r>
      <w:r>
        <w:rPr>
          <w:spacing w:val="-26"/>
        </w:rPr>
        <w:t> </w:t>
      </w:r>
      <w:r>
        <w:rPr>
          <w:spacing w:val="-26"/>
        </w:rPr>
      </w:r>
      <w:r>
        <w:rPr/>
        <w:t>差旅酒店交易管理平台。</w:t>
      </w:r>
    </w:p>
    <w:p>
      <w:pPr>
        <w:spacing w:line="240" w:lineRule="auto" w:before="5"/>
        <w:rPr>
          <w:rFonts w:ascii="宋体" w:hAnsi="宋体" w:cs="宋体" w:eastAsia="宋体" w:hint="default"/>
          <w:sz w:val="22"/>
          <w:szCs w:val="22"/>
        </w:rPr>
      </w:pPr>
    </w:p>
    <w:p>
      <w:pPr>
        <w:pStyle w:val="Heading3"/>
        <w:spacing w:line="240" w:lineRule="auto"/>
        <w:ind w:right="113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7"/>
        <w:spacing w:line="240" w:lineRule="auto" w:before="28"/>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84"/>
        <w:gridCol w:w="1429"/>
        <w:gridCol w:w="1548"/>
        <w:gridCol w:w="1428"/>
        <w:gridCol w:w="1396"/>
        <w:gridCol w:w="1072"/>
      </w:tblGrid>
      <w:tr>
        <w:trPr>
          <w:trHeight w:val="206" w:hRule="exact"/>
        </w:trPr>
        <w:tc>
          <w:tcPr>
            <w:tcW w:w="2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29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7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684" w:type="dxa"/>
            <w:vMerge w:val="restart"/>
            <w:tcBorders>
              <w:top w:val="nil" w:sz="6" w:space="0" w:color="auto"/>
              <w:left w:val="single" w:sz="4" w:space="0" w:color="000000"/>
              <w:right w:val="single" w:sz="4" w:space="0" w:color="000000"/>
            </w:tcBorders>
            <w:shd w:val="clear" w:color="auto" w:fill="D2D2D2"/>
          </w:tcPr>
          <w:p>
            <w:pPr/>
          </w:p>
        </w:tc>
        <w:tc>
          <w:tcPr>
            <w:tcW w:w="2977" w:type="dxa"/>
            <w:gridSpan w:val="2"/>
            <w:vMerge/>
            <w:tcBorders>
              <w:left w:val="single" w:sz="4" w:space="0" w:color="000000"/>
              <w:bottom w:val="single" w:sz="4" w:space="0" w:color="000000"/>
              <w:right w:val="single" w:sz="4" w:space="0" w:color="000000"/>
            </w:tcBorders>
            <w:shd w:val="clear" w:color="auto" w:fill="D2D2D2"/>
          </w:tcPr>
          <w:p>
            <w:pPr/>
          </w:p>
        </w:tc>
        <w:tc>
          <w:tcPr>
            <w:tcW w:w="2824" w:type="dxa"/>
            <w:gridSpan w:val="2"/>
            <w:vMerge/>
            <w:tcBorders>
              <w:left w:val="single" w:sz="4" w:space="0" w:color="000000"/>
              <w:bottom w:val="single" w:sz="4" w:space="0" w:color="000000"/>
              <w:right w:val="single" w:sz="4" w:space="0" w:color="000000"/>
            </w:tcBorders>
            <w:shd w:val="clear" w:color="auto" w:fill="D2D2D2"/>
          </w:tcPr>
          <w:p>
            <w:pPr/>
          </w:p>
        </w:tc>
        <w:tc>
          <w:tcPr>
            <w:tcW w:w="10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2684"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15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4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07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9" w:type="dxa"/>
            <w:vMerge/>
            <w:tcBorders>
              <w:left w:val="single" w:sz="4" w:space="0" w:color="000000"/>
              <w:bottom w:val="single" w:sz="4" w:space="0" w:color="000000"/>
              <w:right w:val="single" w:sz="4" w:space="0" w:color="000000"/>
            </w:tcBorders>
            <w:shd w:val="clear" w:color="auto" w:fill="D2D2D2"/>
          </w:tcPr>
          <w:p>
            <w:pPr/>
          </w:p>
        </w:tc>
        <w:tc>
          <w:tcPr>
            <w:tcW w:w="1548" w:type="dxa"/>
            <w:vMerge/>
            <w:tcBorders>
              <w:left w:val="single" w:sz="4" w:space="0" w:color="000000"/>
              <w:bottom w:val="single" w:sz="4" w:space="0" w:color="000000"/>
              <w:right w:val="single" w:sz="4" w:space="0" w:color="000000"/>
            </w:tcBorders>
            <w:shd w:val="clear" w:color="auto" w:fill="D2D2D2"/>
          </w:tcPr>
          <w:p>
            <w:pPr/>
          </w:p>
        </w:tc>
        <w:tc>
          <w:tcPr>
            <w:tcW w:w="1428" w:type="dxa"/>
            <w:vMerge/>
            <w:tcBorders>
              <w:left w:val="single" w:sz="4" w:space="0" w:color="000000"/>
              <w:bottom w:val="single" w:sz="4" w:space="0" w:color="000000"/>
              <w:right w:val="single" w:sz="4" w:space="0" w:color="000000"/>
            </w:tcBorders>
            <w:shd w:val="clear" w:color="auto" w:fill="D2D2D2"/>
          </w:tcPr>
          <w:p>
            <w:pPr/>
          </w:p>
        </w:tc>
        <w:tc>
          <w:tcPr>
            <w:tcW w:w="1396" w:type="dxa"/>
            <w:vMerge/>
            <w:tcBorders>
              <w:left w:val="single" w:sz="4" w:space="0" w:color="000000"/>
              <w:bottom w:val="single" w:sz="4" w:space="0" w:color="000000"/>
              <w:right w:val="single" w:sz="4" w:space="0" w:color="000000"/>
            </w:tcBorders>
            <w:shd w:val="clear" w:color="auto" w:fill="D2D2D2"/>
          </w:tcPr>
          <w:p>
            <w:pPr/>
          </w:p>
        </w:tc>
        <w:tc>
          <w:tcPr>
            <w:tcW w:w="107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42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3,097,519,391.45</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4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2,961,186,590.64</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100%</w:t>
            </w:r>
          </w:p>
        </w:tc>
        <w:tc>
          <w:tcPr>
            <w:tcW w:w="10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63" w:right="0"/>
              <w:jc w:val="left"/>
              <w:rPr>
                <w:rFonts w:ascii="Times New Roman" w:hAnsi="Times New Roman" w:cs="Times New Roman" w:eastAsia="Times New Roman" w:hint="default"/>
                <w:sz w:val="18"/>
                <w:szCs w:val="18"/>
              </w:rPr>
            </w:pPr>
            <w:r>
              <w:rPr>
                <w:rFonts w:ascii="Times New Roman"/>
                <w:sz w:val="18"/>
              </w:rPr>
              <w:t>4.60%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96"/>
        <w:gridCol w:w="1417"/>
        <w:gridCol w:w="1560"/>
        <w:gridCol w:w="1416"/>
        <w:gridCol w:w="1419"/>
        <w:gridCol w:w="1061"/>
      </w:tblGrid>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1,978,205,379.45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63.86%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1,719,039,394.64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58.05%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15.08%</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1,119,314,012.00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1,242,147,196.00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酒店信息管理系统业务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1,061,917,440.04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910,777,007.73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16.59%</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社会餐饮信息管理系统业务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90,611,386.98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123,870,732.83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4.18%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-26.85%</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支付系统业务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111,893,409.44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118,275,450.95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商业流通管理系统业务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631,838,168.73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541,343,885.41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18.28%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16.72%</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旅游休闲系统业务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39,770,212.98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22,402,788.00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0.76%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7"/>
              <w:jc w:val="right"/>
              <w:rPr>
                <w:rFonts w:ascii="宋体" w:hAnsi="宋体" w:cs="宋体" w:eastAsia="宋体" w:hint="default"/>
                <w:sz w:val="9"/>
                <w:szCs w:val="9"/>
              </w:rPr>
            </w:pPr>
            <w:r>
              <w:rPr>
                <w:rFonts w:ascii="Times New Roman" w:hAnsi="Times New Roman" w:cs="Times New Roman" w:eastAsia="Times New Roman" w:hint="default"/>
                <w:sz w:val="18"/>
                <w:szCs w:val="18"/>
              </w:rPr>
              <w:t>77.52%</w:t>
            </w:r>
            <w:r>
              <w:rPr>
                <w:rFonts w:ascii="Times New Roman" w:hAnsi="Times New Roman" w:cs="Times New Roman" w:eastAsia="Times New Roman" w:hint="default"/>
                <w:color w:val="FF0000"/>
                <w:position w:val="8"/>
                <w:sz w:val="12"/>
                <w:szCs w:val="12"/>
              </w:rPr>
              <w:t>1</w:t>
            </w:r>
            <w:r>
              <w:rPr>
                <w:rFonts w:ascii="宋体" w:hAnsi="宋体" w:cs="宋体" w:eastAsia="宋体" w:hint="default"/>
                <w:color w:val="FF0000"/>
                <w:position w:val="9"/>
                <w:sz w:val="9"/>
                <w:szCs w:val="9"/>
              </w:rPr>
              <w:t>。</w:t>
            </w:r>
            <w:r>
              <w:rPr>
                <w:rFonts w:ascii="宋体" w:hAnsi="宋体" w:cs="宋体" w:eastAsia="宋体" w:hint="default"/>
                <w:sz w:val="9"/>
                <w:szCs w:val="9"/>
              </w:rPr>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第三方硬件配套业务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1,150,239,810.90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1,234,129,178.48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41.68%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-6.80%</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11,248,962.38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10,387,547.24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0.35%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中国大陆地区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2,846,796,860.58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2,762,373,395.64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中国大陆地区以外的国家和地区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250,722,530.87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198,813,195.00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6.71%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26.11%</w:t>
            </w:r>
          </w:p>
        </w:tc>
      </w:tr>
    </w:tbl>
    <w:p>
      <w:pPr>
        <w:spacing w:line="300" w:lineRule="auto"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旅游休闲业务收入本期比上年同期增长 </w:t>
      </w:r>
      <w:r>
        <w:rPr>
          <w:rFonts w:ascii="Times New Roman" w:hAnsi="Times New Roman" w:cs="Times New Roman" w:eastAsia="Times New Roman" w:hint="default"/>
          <w:sz w:val="18"/>
          <w:szCs w:val="18"/>
        </w:rPr>
        <w:t>77.52%</w:t>
      </w:r>
      <w:r>
        <w:rPr>
          <w:rFonts w:ascii="宋体" w:hAnsi="宋体" w:cs="宋体" w:eastAsia="宋体" w:hint="default"/>
          <w:sz w:val="18"/>
          <w:szCs w:val="18"/>
        </w:rPr>
        <w:t>，主要系本期银科环企比上年同期增加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个月的订单合同量，导致收 入收入大幅增加所致。</w:t>
      </w:r>
    </w:p>
    <w:p>
      <w:pPr>
        <w:spacing w:before="7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上市公司从软件与信息技术服务业务》的披露要求</w:t>
      </w:r>
    </w:p>
    <w:p>
      <w:pPr>
        <w:spacing w:before="103"/>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71"/>
        <w:gridCol w:w="1002"/>
        <w:gridCol w:w="1136"/>
        <w:gridCol w:w="1133"/>
        <w:gridCol w:w="1135"/>
        <w:gridCol w:w="1133"/>
        <w:gridCol w:w="991"/>
        <w:gridCol w:w="994"/>
        <w:gridCol w:w="1066"/>
      </w:tblGrid>
      <w:tr>
        <w:trPr>
          <w:trHeight w:val="206" w:hRule="exact"/>
        </w:trPr>
        <w:tc>
          <w:tcPr>
            <w:tcW w:w="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4406"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18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0" w:hRule="exact"/>
        </w:trPr>
        <w:tc>
          <w:tcPr>
            <w:tcW w:w="971" w:type="dxa"/>
            <w:vMerge w:val="restart"/>
            <w:tcBorders>
              <w:top w:val="nil" w:sz="6" w:space="0" w:color="auto"/>
              <w:left w:val="single" w:sz="4" w:space="0" w:color="000000"/>
              <w:right w:val="single" w:sz="4" w:space="0" w:color="000000"/>
            </w:tcBorders>
            <w:shd w:val="clear" w:color="auto" w:fill="D2D2D2"/>
          </w:tcPr>
          <w:p>
            <w:pPr/>
          </w:p>
        </w:tc>
        <w:tc>
          <w:tcPr>
            <w:tcW w:w="4406" w:type="dxa"/>
            <w:gridSpan w:val="4"/>
            <w:vMerge/>
            <w:tcBorders>
              <w:left w:val="single" w:sz="4" w:space="0" w:color="000000"/>
              <w:bottom w:val="single" w:sz="4" w:space="0" w:color="000000"/>
              <w:right w:val="single" w:sz="4" w:space="0" w:color="000000"/>
            </w:tcBorders>
            <w:shd w:val="clear" w:color="auto" w:fill="D2D2D2"/>
          </w:tcPr>
          <w:p>
            <w:pPr/>
          </w:p>
        </w:tc>
        <w:tc>
          <w:tcPr>
            <w:tcW w:w="4184"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971" w:type="dxa"/>
            <w:vMerge/>
            <w:tcBorders>
              <w:left w:val="single" w:sz="4" w:space="0" w:color="000000"/>
              <w:bottom w:val="nil" w:sz="6" w:space="0" w:color="auto"/>
              <w:right w:val="single" w:sz="4" w:space="0" w:color="000000"/>
            </w:tcBorders>
            <w:shd w:val="clear" w:color="auto" w:fill="D2D2D2"/>
          </w:tcPr>
          <w:p>
            <w:pP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2"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1"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20"/>
                <w:sz w:val="18"/>
              </w:rPr>
              <w:t>531,076,014.16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724,636,554.96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20"/>
                <w:sz w:val="18"/>
              </w:rPr>
              <w:t>734,788,118.19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1,107,018,704.14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20"/>
                <w:sz w:val="18"/>
              </w:rPr>
              <w:t>548,509,862.13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20"/>
                <w:sz w:val="18"/>
              </w:rPr>
              <w:t>671,665,773.50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744,588,959.99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996,421,995.02</w:t>
            </w:r>
          </w:p>
        </w:tc>
      </w:tr>
      <w:tr>
        <w:trPr>
          <w:trHeight w:val="1027"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7"/>
              <w:jc w:val="both"/>
              <w:rPr>
                <w:rFonts w:ascii="宋体" w:hAnsi="宋体" w:cs="宋体" w:eastAsia="宋体" w:hint="default"/>
                <w:sz w:val="18"/>
                <w:szCs w:val="18"/>
              </w:rPr>
            </w:pPr>
            <w:r>
              <w:rPr>
                <w:rFonts w:ascii="宋体" w:hAnsi="宋体" w:cs="宋体" w:eastAsia="宋体" w:hint="default"/>
                <w:sz w:val="18"/>
                <w:szCs w:val="18"/>
              </w:rPr>
              <w:t>归属于上市 公司股东的 净利润</w:t>
            </w:r>
          </w:p>
        </w:tc>
        <w:tc>
          <w:tcPr>
            <w:tcW w:w="10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66,923,674.97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137,141,427.52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111,904,813.33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147,512,543.87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62,791,446.70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119,702,832.04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95,967,501.66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140,566,917.22</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w:t>
      </w:r>
    </w:p>
    <w:p>
      <w:pPr>
        <w:pStyle w:val="BodyText"/>
        <w:spacing w:line="273" w:lineRule="auto" w:before="94"/>
        <w:ind w:right="1126" w:firstLine="420"/>
        <w:jc w:val="both"/>
      </w:pPr>
      <w:r>
        <w:rPr>
          <w:spacing w:val="-2"/>
        </w:rPr>
        <w:t>一、从合同签订角度：上半年签订较少，原因是客户的新一年需求和新系统的选择上半年都在选择阶</w:t>
      </w:r>
      <w:r>
        <w:rPr>
          <w:w w:val="100"/>
        </w:rPr>
        <w:t> </w:t>
      </w:r>
      <w:r>
        <w:rPr/>
        <w:t>段，就会存在合同落地较晚，预计</w:t>
      </w:r>
      <w:r>
        <w:rPr>
          <w:rFonts w:ascii="Times New Roman" w:hAnsi="Times New Roman" w:cs="Times New Roman" w:eastAsia="Times New Roman" w:hint="default"/>
        </w:rPr>
        <w:t>6</w:t>
      </w:r>
      <w:r>
        <w:rPr/>
        <w:t>月左右签约量才会逐渐上来。</w:t>
      </w:r>
    </w:p>
    <w:p>
      <w:pPr>
        <w:pStyle w:val="BodyText"/>
        <w:spacing w:line="273" w:lineRule="auto"/>
        <w:ind w:right="1105" w:firstLine="420"/>
        <w:jc w:val="both"/>
      </w:pPr>
      <w:r>
        <w:rPr>
          <w:spacing w:val="-2"/>
        </w:rPr>
        <w:t>二、从收入角度：先有合同签订，经过几个月的实施，方可最终交付。加之从客户角度，一般要求年</w:t>
      </w:r>
      <w:r>
        <w:rPr>
          <w:w w:val="100"/>
        </w:rPr>
        <w:t> </w:t>
      </w:r>
      <w:r>
        <w:rPr>
          <w:spacing w:val="-2"/>
        </w:rPr>
        <w:t>度终了有个结项；除此外，客户开业一般也会选在几个大节日之前开业，比如中秋节、国庆节、圣诞节、</w:t>
      </w:r>
      <w:r>
        <w:rPr>
          <w:spacing w:val="-21"/>
        </w:rPr>
        <w:t> </w:t>
      </w:r>
      <w:r>
        <w:rPr>
          <w:spacing w:val="-21"/>
        </w:rPr>
      </w:r>
      <w:r>
        <w:rPr>
          <w:spacing w:val="-2"/>
        </w:rPr>
        <w:t>元旦，而支付业务客户为各大银行，其对支付业务的项目也主要集中在第四季度。所以收入就会集中到第</w:t>
      </w:r>
      <w:r>
        <w:rPr>
          <w:spacing w:val="-45"/>
        </w:rPr>
        <w:t> </w:t>
      </w:r>
      <w:r>
        <w:rPr>
          <w:spacing w:val="-45"/>
        </w:rPr>
      </w:r>
      <w:r>
        <w:rPr/>
        <w:t>四季度，第四季度的收入一直占比较大。</w:t>
      </w:r>
    </w:p>
    <w:p>
      <w:pPr>
        <w:pStyle w:val="BodyText"/>
        <w:spacing w:line="273" w:lineRule="auto" w:before="8"/>
        <w:ind w:right="1126" w:firstLine="420"/>
        <w:jc w:val="both"/>
      </w:pPr>
      <w:r>
        <w:rPr>
          <w:spacing w:val="-2"/>
        </w:rPr>
        <w:t>三、从利润角度：收入季节性，而固定费用是均匀发生，人工成本也会均匀投入，所以利润就会出现</w:t>
      </w:r>
      <w:r>
        <w:rPr>
          <w:w w:val="100"/>
        </w:rPr>
        <w:t> </w:t>
      </w:r>
      <w:r>
        <w:rPr/>
        <w:t>前期较少，到了第二季度和第三季度才有所上升，第四季度因收入大幅增加，最终盈利较多。</w:t>
      </w:r>
    </w:p>
    <w:p>
      <w:pPr>
        <w:pStyle w:val="BodyText"/>
        <w:spacing w:line="240" w:lineRule="auto" w:before="7"/>
        <w:ind w:left="573" w:right="1133"/>
        <w:jc w:val="left"/>
      </w:pPr>
      <w:r>
        <w:rPr/>
        <w:t>本公司上述季节性经营特征具有持续性，无较大波动风险。</w:t>
      </w:r>
    </w:p>
    <w:p>
      <w:pPr>
        <w:spacing w:line="240" w:lineRule="auto" w:before="10"/>
        <w:rPr>
          <w:rFonts w:ascii="宋体" w:hAnsi="宋体" w:cs="宋体" w:eastAsia="宋体" w:hint="default"/>
          <w:sz w:val="3"/>
          <w:szCs w:val="3"/>
        </w:rPr>
      </w:pPr>
    </w:p>
    <w:tbl>
      <w:tblPr>
        <w:tblW w:w="0" w:type="auto"/>
        <w:jc w:val="left"/>
        <w:tblInd w:w="150" w:type="dxa"/>
        <w:tblLayout w:type="fixed"/>
        <w:tblCellMar>
          <w:top w:w="0" w:type="dxa"/>
          <w:left w:w="0" w:type="dxa"/>
          <w:bottom w:w="0" w:type="dxa"/>
          <w:right w:w="0" w:type="dxa"/>
        </w:tblCellMar>
        <w:tblLook w:val="01E0"/>
      </w:tblPr>
      <w:tblGrid>
        <w:gridCol w:w="1697"/>
        <w:gridCol w:w="994"/>
        <w:gridCol w:w="992"/>
        <w:gridCol w:w="991"/>
        <w:gridCol w:w="994"/>
        <w:gridCol w:w="1133"/>
        <w:gridCol w:w="994"/>
        <w:gridCol w:w="992"/>
        <w:gridCol w:w="991"/>
      </w:tblGrid>
      <w:tr>
        <w:trPr>
          <w:trHeight w:val="348" w:hRule="exact"/>
        </w:trPr>
        <w:tc>
          <w:tcPr>
            <w:tcW w:w="1697" w:type="dxa"/>
            <w:vMerge w:val="restart"/>
            <w:tcBorders>
              <w:top w:val="single" w:sz="6" w:space="0" w:color="000000"/>
              <w:left w:val="single" w:sz="6" w:space="0" w:color="000000"/>
              <w:right w:val="single" w:sz="6" w:space="0" w:color="000000"/>
            </w:tcBorders>
            <w:shd w:val="clear" w:color="auto" w:fill="D9D9D9"/>
          </w:tcPr>
          <w:p>
            <w:pPr/>
          </w:p>
        </w:tc>
        <w:tc>
          <w:tcPr>
            <w:tcW w:w="3971"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c>
          <w:tcPr>
            <w:tcW w:w="4109"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r>
      <w:tr>
        <w:trPr>
          <w:trHeight w:val="346" w:hRule="exact"/>
        </w:trPr>
        <w:tc>
          <w:tcPr>
            <w:tcW w:w="1697" w:type="dxa"/>
            <w:vMerge/>
            <w:tcBorders>
              <w:left w:val="single" w:sz="6" w:space="0" w:color="000000"/>
              <w:bottom w:val="single" w:sz="6" w:space="0" w:color="000000"/>
              <w:right w:val="single" w:sz="6" w:space="0" w:color="000000"/>
            </w:tcBorders>
            <w:shd w:val="clear" w:color="auto" w:fill="D9D9D9"/>
          </w:tcPr>
          <w:p>
            <w:pP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9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第四季度</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9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第四季度</w:t>
            </w:r>
          </w:p>
        </w:tc>
      </w:tr>
      <w:tr>
        <w:trPr>
          <w:trHeight w:val="348"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营业收入全年占比</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17.15%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23.39%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23.72%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35.74%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18.52%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22.68%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25.14%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33.65%</w:t>
            </w:r>
          </w:p>
        </w:tc>
      </w:tr>
      <w:tr>
        <w:trPr>
          <w:trHeight w:val="348"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7"/>
              <w:jc w:val="left"/>
              <w:rPr>
                <w:rFonts w:ascii="宋体" w:hAnsi="宋体" w:cs="宋体" w:eastAsia="宋体" w:hint="default"/>
                <w:sz w:val="18"/>
                <w:szCs w:val="18"/>
              </w:rPr>
            </w:pPr>
            <w:r>
              <w:rPr>
                <w:rFonts w:ascii="宋体" w:hAnsi="宋体" w:cs="宋体" w:eastAsia="宋体" w:hint="default"/>
                <w:spacing w:val="7"/>
                <w:sz w:val="18"/>
                <w:szCs w:val="18"/>
              </w:rPr>
              <w:t>归属于上市公司股东</w:t>
            </w:r>
            <w:r>
              <w:rPr>
                <w:rFonts w:ascii="宋体" w:hAnsi="宋体" w:cs="宋体" w:eastAsia="宋体"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14.44%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29.59%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24.14%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31.83%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14.98%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28.57%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22.90%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33.55%</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50" w:type="dxa"/>
        <w:tblLayout w:type="fixed"/>
        <w:tblCellMar>
          <w:top w:w="0" w:type="dxa"/>
          <w:left w:w="0" w:type="dxa"/>
          <w:bottom w:w="0" w:type="dxa"/>
          <w:right w:w="0" w:type="dxa"/>
        </w:tblCellMar>
        <w:tblLook w:val="01E0"/>
      </w:tblPr>
      <w:tblGrid>
        <w:gridCol w:w="1697"/>
        <w:gridCol w:w="994"/>
        <w:gridCol w:w="992"/>
        <w:gridCol w:w="991"/>
        <w:gridCol w:w="994"/>
        <w:gridCol w:w="1133"/>
        <w:gridCol w:w="994"/>
        <w:gridCol w:w="992"/>
        <w:gridCol w:w="991"/>
      </w:tblGrid>
      <w:tr>
        <w:trPr>
          <w:trHeight w:val="348"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的净利润全年占比</w:t>
            </w:r>
          </w:p>
        </w:tc>
        <w:tc>
          <w:tcPr>
            <w:tcW w:w="994"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50" w:lineRule="auto" w:before="44"/>
        <w:ind w:left="152" w:right="58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公司是否需要遵守特殊行业的披露要求 是</w:t>
      </w:r>
    </w:p>
    <w:p>
      <w:pPr>
        <w:spacing w:before="32"/>
        <w:ind w:left="152" w:right="5833"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7"/>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7"/>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419"/>
        <w:gridCol w:w="1560"/>
        <w:gridCol w:w="992"/>
        <w:gridCol w:w="1277"/>
        <w:gridCol w:w="1275"/>
        <w:gridCol w:w="1066"/>
      </w:tblGrid>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2" w:right="91"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2" w:right="89"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9" w:right="74"/>
              <w:jc w:val="left"/>
              <w:rPr>
                <w:rFonts w:ascii="宋体" w:hAnsi="宋体" w:cs="宋体" w:eastAsia="宋体" w:hint="default"/>
                <w:sz w:val="18"/>
                <w:szCs w:val="18"/>
              </w:rPr>
            </w:pPr>
            <w:r>
              <w:rPr>
                <w:rFonts w:ascii="宋体" w:hAnsi="宋体" w:cs="宋体" w:eastAsia="宋体" w:hint="default"/>
                <w:sz w:val="18"/>
                <w:szCs w:val="18"/>
              </w:rPr>
              <w:t>毛利率比上 年同期增减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1,978,205,379.45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685,785,694.83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65.33%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15.08%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8"/>
              <w:jc w:val="right"/>
              <w:rPr>
                <w:rFonts w:ascii="Times New Roman" w:hAnsi="Times New Roman" w:cs="Times New Roman" w:eastAsia="Times New Roman" w:hint="default"/>
                <w:sz w:val="12"/>
                <w:szCs w:val="12"/>
              </w:rPr>
            </w:pPr>
            <w:r>
              <w:rPr>
                <w:rFonts w:ascii="Times New Roman"/>
                <w:sz w:val="18"/>
              </w:rPr>
              <w:t>48.05%</w:t>
            </w:r>
            <w:r>
              <w:rPr>
                <w:rFonts w:ascii="Times New Roman"/>
                <w:color w:val="FF0000"/>
                <w:position w:val="8"/>
                <w:sz w:val="12"/>
              </w:rPr>
              <w:t>1.</w:t>
            </w:r>
            <w:r>
              <w:rPr>
                <w:rFonts w:ascii="Times New Roman"/>
                <w:sz w:val="12"/>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-7.72%</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1,119,314,012.00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1,020,751,134.32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-13.22%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酒店信息管理系统业务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1,061,917,440.04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347,968,859.72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16.59%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Times New Roman" w:hAnsi="Times New Roman" w:cs="Times New Roman" w:eastAsia="Times New Roman" w:hint="default"/>
                <w:sz w:val="12"/>
                <w:szCs w:val="12"/>
              </w:rPr>
            </w:pPr>
            <w:r>
              <w:rPr>
                <w:rFonts w:ascii="Times New Roman"/>
                <w:sz w:val="18"/>
              </w:rPr>
              <w:t>41.49%</w:t>
            </w:r>
            <w:r>
              <w:rPr>
                <w:rFonts w:ascii="Times New Roman"/>
                <w:color w:val="FF0000"/>
                <w:position w:val="8"/>
                <w:sz w:val="12"/>
              </w:rPr>
              <w:t>2.</w:t>
            </w:r>
            <w:r>
              <w:rPr>
                <w:rFonts w:ascii="Times New Roman"/>
                <w:sz w:val="12"/>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社会餐饮信息管理系统 业务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90,611,386.98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28,310,610.29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68.76%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-26.85%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14.62%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-11.30%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支付系统业务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111,893,409.44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18,285,070.55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商业流通管理系统业务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631,838,168.73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196,766,701.52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68.86%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16.72%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0.36%</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旅游休闲系统业务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39,770,212.98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12,620,079.90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2"/>
                <w:szCs w:val="12"/>
              </w:rPr>
            </w:pPr>
            <w:r>
              <w:rPr>
                <w:rFonts w:ascii="Times New Roman"/>
                <w:sz w:val="18"/>
              </w:rPr>
              <w:t>77.52%</w:t>
            </w:r>
            <w:r>
              <w:rPr>
                <w:rFonts w:ascii="Times New Roman"/>
                <w:color w:val="FF0000"/>
                <w:position w:val="8"/>
                <w:sz w:val="12"/>
              </w:rPr>
              <w:t>3.</w:t>
            </w:r>
            <w:r>
              <w:rPr>
                <w:rFonts w:ascii="Times New Roman"/>
                <w:sz w:val="12"/>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Times New Roman" w:hAnsi="Times New Roman" w:cs="Times New Roman" w:eastAsia="Times New Roman" w:hint="default"/>
                <w:sz w:val="12"/>
                <w:szCs w:val="12"/>
              </w:rPr>
            </w:pPr>
            <w:r>
              <w:rPr>
                <w:rFonts w:ascii="Times New Roman"/>
                <w:spacing w:val="-1"/>
                <w:sz w:val="18"/>
              </w:rPr>
              <w:t>213.42%</w:t>
            </w:r>
            <w:r>
              <w:rPr>
                <w:rFonts w:ascii="Times New Roman"/>
                <w:color w:val="FF0000"/>
                <w:spacing w:val="-1"/>
                <w:position w:val="8"/>
                <w:sz w:val="12"/>
              </w:rPr>
              <w:t>3.</w:t>
            </w:r>
            <w:r>
              <w:rPr>
                <w:rFonts w:ascii="Times New Roman"/>
                <w:spacing w:val="-1"/>
                <w:sz w:val="12"/>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-13.76%</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第三方硬件配套业务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1,150,239,810.90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1,097,899,398.50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-6.80%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11,248,962.38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4,686,108.67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28.74%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-6.62%</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中国大陆地区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2,846,796,860.58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1,618,920,003.81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中国大陆地区以外的国 家和地区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250,722,530.87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87,616,825.34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26.11%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2"/>
                <w:szCs w:val="12"/>
              </w:rPr>
            </w:pPr>
            <w:r>
              <w:rPr>
                <w:rFonts w:ascii="Times New Roman"/>
                <w:spacing w:val="-1"/>
                <w:sz w:val="18"/>
              </w:rPr>
              <w:t>124.40%</w:t>
            </w:r>
            <w:r>
              <w:rPr>
                <w:rFonts w:ascii="Times New Roman"/>
                <w:color w:val="FF0000"/>
                <w:spacing w:val="-1"/>
                <w:position w:val="8"/>
                <w:sz w:val="12"/>
              </w:rPr>
              <w:t>4.</w:t>
            </w:r>
            <w:r>
              <w:rPr>
                <w:rFonts w:ascii="Times New Roman"/>
                <w:spacing w:val="-1"/>
                <w:sz w:val="12"/>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-15.31%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注：</w:t>
      </w:r>
    </w:p>
    <w:p>
      <w:pPr>
        <w:spacing w:line="300" w:lineRule="auto" w:before="115"/>
        <w:ind w:left="152" w:right="112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计算机应用及服务行业营业成本比上年同期增长</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48.05%</w:t>
      </w:r>
      <w:r>
        <w:rPr>
          <w:rFonts w:ascii="宋体" w:hAnsi="宋体" w:cs="宋体" w:eastAsia="宋体" w:hint="default"/>
          <w:sz w:val="18"/>
          <w:szCs w:val="18"/>
        </w:rPr>
        <w:t>，主要系本年公司境外子公司业务进展较快，酒店系统业务项目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增加较多及星巴克系统切换等，导致计算机应用及服务的成本增加较大所致。</w:t>
      </w:r>
    </w:p>
    <w:p>
      <w:pPr>
        <w:spacing w:line="300" w:lineRule="auto" w:before="7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酒店信息管理系统业务营业成本比上年同期增长</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41.49%</w:t>
      </w:r>
      <w:r>
        <w:rPr>
          <w:rFonts w:ascii="宋体" w:hAnsi="宋体" w:cs="宋体" w:eastAsia="宋体" w:hint="default"/>
          <w:sz w:val="18"/>
          <w:szCs w:val="18"/>
        </w:rPr>
        <w:t>，主要系本年公司境外子公司业务进展较快，境内酒店业务也有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一定幅度的增长，共同导致酒店信息管理系统业务成本增加较大所致。</w:t>
      </w:r>
    </w:p>
    <w:p>
      <w:pPr>
        <w:spacing w:line="300" w:lineRule="auto" w:before="72"/>
        <w:ind w:left="152"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旅游休闲系统业务营业收入、营业成本分别比上年同期增长</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77.52%</w:t>
      </w:r>
      <w:r>
        <w:rPr>
          <w:rFonts w:ascii="宋体" w:hAnsi="宋体" w:cs="宋体" w:eastAsia="宋体" w:hint="default"/>
          <w:sz w:val="18"/>
          <w:szCs w:val="18"/>
        </w:rPr>
        <w:t>、</w:t>
      </w:r>
      <w:r>
        <w:rPr>
          <w:rFonts w:ascii="Times New Roman" w:hAnsi="Times New Roman" w:cs="Times New Roman" w:eastAsia="Times New Roman" w:hint="default"/>
          <w:sz w:val="18"/>
          <w:szCs w:val="18"/>
        </w:rPr>
        <w:t>213.42%</w:t>
      </w:r>
      <w:r>
        <w:rPr>
          <w:rFonts w:ascii="宋体" w:hAnsi="宋体" w:cs="宋体" w:eastAsia="宋体" w:hint="default"/>
          <w:sz w:val="18"/>
          <w:szCs w:val="18"/>
        </w:rPr>
        <w:t>，主要系本期银科环企比上年同期增加</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 月的订单合同量，导致收入成本大幅增加所致。</w:t>
      </w:r>
    </w:p>
    <w:p>
      <w:pPr>
        <w:spacing w:line="300" w:lineRule="auto" w:before="7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中国大陆地区以外的国家和地区营业成本比上年同期增长</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124.40%</w:t>
      </w:r>
      <w:r>
        <w:rPr>
          <w:rFonts w:ascii="宋体" w:hAnsi="宋体" w:cs="宋体" w:eastAsia="宋体" w:hint="default"/>
          <w:sz w:val="18"/>
          <w:szCs w:val="18"/>
        </w:rPr>
        <w:t>，主要系本年境外子公司取得较快发展，成本项目增加 较多所致。</w:t>
      </w:r>
    </w:p>
    <w:p>
      <w:pPr>
        <w:spacing w:after="0" w:line="30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tabs>
          <w:tab w:pos="8559" w:val="left" w:leader="none"/>
        </w:tabs>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tab/>
        <w:t>单位：元</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36"/>
        <w:gridCol w:w="2398"/>
        <w:gridCol w:w="1594"/>
        <w:gridCol w:w="1594"/>
        <w:gridCol w:w="1594"/>
      </w:tblGrid>
      <w:tr>
        <w:trPr>
          <w:trHeight w:val="402"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0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71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r>
      <w:tr>
        <w:trPr>
          <w:trHeight w:val="401" w:hRule="exact"/>
        </w:trPr>
        <w:tc>
          <w:tcPr>
            <w:tcW w:w="2036" w:type="dxa"/>
            <w:vMerge/>
            <w:tcBorders>
              <w:left w:val="single" w:sz="4" w:space="0" w:color="000000"/>
              <w:right w:val="single" w:sz="9" w:space="0" w:color="D2D2D2"/>
            </w:tcBorders>
          </w:tcPr>
          <w:p>
            <w:pP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维护、安装、服务收入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411,235,067.99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444,653,713.76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w:t>
            </w:r>
          </w:p>
        </w:tc>
      </w:tr>
      <w:tr>
        <w:trPr>
          <w:trHeight w:val="403" w:hRule="exact"/>
        </w:trPr>
        <w:tc>
          <w:tcPr>
            <w:tcW w:w="2036" w:type="dxa"/>
            <w:vMerge/>
            <w:tcBorders>
              <w:left w:val="single" w:sz="4" w:space="0" w:color="000000"/>
              <w:right w:val="single" w:sz="9" w:space="0" w:color="D2D2D2"/>
            </w:tcBorders>
          </w:tcPr>
          <w:p>
            <w:pP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3,251,948.92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3,601,427.18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-9.70%</w:t>
            </w:r>
          </w:p>
        </w:tc>
      </w:tr>
      <w:tr>
        <w:trPr>
          <w:trHeight w:val="402" w:hRule="exact"/>
        </w:trPr>
        <w:tc>
          <w:tcPr>
            <w:tcW w:w="2036" w:type="dxa"/>
            <w:vMerge/>
            <w:tcBorders>
              <w:left w:val="single" w:sz="4" w:space="0" w:color="000000"/>
              <w:bottom w:val="single" w:sz="4" w:space="0" w:color="000000"/>
              <w:right w:val="single" w:sz="9" w:space="0" w:color="D2D2D2"/>
            </w:tcBorders>
          </w:tcPr>
          <w:p>
            <w:pP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软件、硬件、技术开发收入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1,563,718,362.54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1,270,784,253.7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23.05%</w:t>
            </w:r>
          </w:p>
        </w:tc>
      </w:tr>
      <w:tr>
        <w:trPr>
          <w:trHeight w:val="403" w:hRule="exact"/>
        </w:trPr>
        <w:tc>
          <w:tcPr>
            <w:tcW w:w="20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71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r>
      <w:tr>
        <w:trPr>
          <w:trHeight w:val="401" w:hRule="exact"/>
        </w:trPr>
        <w:tc>
          <w:tcPr>
            <w:tcW w:w="2036" w:type="dxa"/>
            <w:vMerge/>
            <w:tcBorders>
              <w:left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商品批发收入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1,111,316,998.54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1,235,361,075.94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-10.04%</w:t>
            </w:r>
          </w:p>
        </w:tc>
      </w:tr>
      <w:tr>
        <w:trPr>
          <w:trHeight w:val="403" w:hRule="exact"/>
        </w:trPr>
        <w:tc>
          <w:tcPr>
            <w:tcW w:w="2036" w:type="dxa"/>
            <w:vMerge/>
            <w:tcBorders>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7,997,013.46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6,786,120.06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17.84%</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1"/>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line="34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公司是否需要遵守特殊行业的披露要求 是</w:t>
      </w:r>
    </w:p>
    <w:p>
      <w:pPr>
        <w:spacing w:before="36"/>
        <w:ind w:left="152" w:right="1133"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338" w:lineRule="auto" w:before="117"/>
        <w:ind w:left="152" w:right="1832"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单一销售合同金额占公司最近一个会计年度经审计营业收入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以上且金额超过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万元的正在履行的合同情况</w:t>
      </w:r>
    </w:p>
    <w:p>
      <w:pPr>
        <w:spacing w:line="676" w:lineRule="auto" w:before="22"/>
        <w:ind w:left="152" w:right="8594" w:firstLine="0"/>
        <w:jc w:val="left"/>
        <w:rPr>
          <w:rFonts w:ascii="宋体" w:hAnsi="宋体" w:cs="宋体" w:eastAsia="宋体" w:hint="default"/>
          <w:sz w:val="18"/>
          <w:szCs w:val="18"/>
        </w:rPr>
      </w:pPr>
      <w:r>
        <w:rPr/>
        <w:pict>
          <v:shape style="position:absolute;margin-left:55.68pt;margin-top:53.491741pt;width:476.5pt;height:188.1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92"/>
                    <w:gridCol w:w="1558"/>
                    <w:gridCol w:w="994"/>
                    <w:gridCol w:w="991"/>
                    <w:gridCol w:w="1136"/>
                    <w:gridCol w:w="991"/>
                    <w:gridCol w:w="1702"/>
                    <w:gridCol w:w="852"/>
                  </w:tblGrid>
                  <w:tr>
                    <w:trPr>
                      <w:trHeight w:val="1025" w:hRule="exact"/>
                    </w:trPr>
                    <w:tc>
                      <w:tcPr>
                        <w:tcW w:w="12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70"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199" w:right="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194" w:right="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12" w:right="111"/>
                          <w:jc w:val="both"/>
                          <w:rPr>
                            <w:rFonts w:ascii="宋体" w:hAnsi="宋体" w:cs="宋体" w:eastAsia="宋体" w:hint="default"/>
                            <w:sz w:val="18"/>
                            <w:szCs w:val="18"/>
                          </w:rPr>
                        </w:pPr>
                        <w:r>
                          <w:rPr>
                            <w:rFonts w:ascii="宋体" w:hAnsi="宋体" w:cs="宋体" w:eastAsia="宋体" w:hint="default"/>
                            <w:sz w:val="18"/>
                            <w:szCs w:val="18"/>
                          </w:rPr>
                          <w:t>本年比上年 订单增减幅 度（</w:t>
                        </w:r>
                        <w:r>
                          <w:rPr>
                            <w:rFonts w:ascii="Calibri" w:hAnsi="Calibri" w:cs="Calibri" w:eastAsia="Calibri" w:hint="default"/>
                            <w:sz w:val="18"/>
                            <w:szCs w:val="18"/>
                          </w:rPr>
                          <w:t>%</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29" w:right="131"/>
                          <w:jc w:val="center"/>
                          <w:rPr>
                            <w:rFonts w:ascii="宋体" w:hAnsi="宋体" w:cs="宋体" w:eastAsia="宋体" w:hint="default"/>
                            <w:sz w:val="18"/>
                            <w:szCs w:val="18"/>
                          </w:rPr>
                        </w:pPr>
                        <w:r>
                          <w:rPr>
                            <w:rFonts w:ascii="宋体" w:hAnsi="宋体" w:cs="宋体" w:eastAsia="宋体" w:hint="default"/>
                            <w:sz w:val="18"/>
                            <w:szCs w:val="18"/>
                          </w:rPr>
                          <w:t>本期订单 完成比例</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Calibri" w:hAnsi="Calibri" w:cs="Calibri" w:eastAsia="Calibri" w:hint="default"/>
                            <w:sz w:val="18"/>
                            <w:szCs w:val="18"/>
                          </w:rPr>
                        </w:pPr>
                        <w:r>
                          <w:rPr>
                            <w:rFonts w:ascii="宋体" w:hAnsi="宋体" w:cs="宋体" w:eastAsia="宋体" w:hint="default"/>
                            <w:sz w:val="18"/>
                            <w:szCs w:val="18"/>
                          </w:rPr>
                          <w:t>增减幅度超过</w:t>
                        </w:r>
                        <w:r>
                          <w:rPr>
                            <w:rFonts w:ascii="宋体" w:hAnsi="宋体" w:cs="宋体" w:eastAsia="宋体" w:hint="default"/>
                            <w:spacing w:val="-48"/>
                            <w:sz w:val="18"/>
                            <w:szCs w:val="18"/>
                          </w:rPr>
                          <w:t> </w:t>
                        </w:r>
                        <w:r>
                          <w:rPr>
                            <w:rFonts w:ascii="Calibri" w:hAnsi="Calibri" w:cs="Calibri" w:eastAsia="Calibri" w:hint="default"/>
                            <w:sz w:val="18"/>
                            <w:szCs w:val="18"/>
                          </w:rPr>
                          <w:t>30%</w:t>
                        </w:r>
                      </w:p>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的原因</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1" w:right="149"/>
                          <w:jc w:val="left"/>
                          <w:rPr>
                            <w:rFonts w:ascii="宋体" w:hAnsi="宋体" w:cs="宋体" w:eastAsia="宋体" w:hint="default"/>
                            <w:sz w:val="18"/>
                            <w:szCs w:val="18"/>
                          </w:rPr>
                        </w:pPr>
                        <w:r>
                          <w:rPr>
                            <w:rFonts w:ascii="宋体" w:hAnsi="宋体" w:cs="宋体" w:eastAsia="宋体" w:hint="default"/>
                            <w:sz w:val="18"/>
                            <w:szCs w:val="18"/>
                          </w:rPr>
                          <w:t>跨期执 行情况</w:t>
                        </w:r>
                      </w:p>
                    </w:tc>
                  </w:tr>
                  <w:tr>
                    <w:trPr>
                      <w:trHeight w:val="403" w:hRule="exact"/>
                    </w:trPr>
                    <w:tc>
                      <w:tcPr>
                        <w:tcW w:w="1292" w:type="dxa"/>
                        <w:vMerge w:val="restart"/>
                        <w:tcBorders>
                          <w:top w:val="single" w:sz="4" w:space="0" w:color="000000"/>
                          <w:left w:val="single" w:sz="4" w:space="0" w:color="000000"/>
                          <w:right w:val="single" w:sz="4" w:space="0" w:color="000000"/>
                        </w:tcBorders>
                      </w:tcPr>
                      <w:p>
                        <w:pPr>
                          <w:pStyle w:val="TableParagraph"/>
                          <w:spacing w:line="316" w:lineRule="auto" w:before="94"/>
                          <w:ind w:left="103" w:right="60"/>
                          <w:jc w:val="left"/>
                          <w:rPr>
                            <w:rFonts w:ascii="宋体" w:hAnsi="宋体" w:cs="宋体" w:eastAsia="宋体" w:hint="default"/>
                            <w:sz w:val="18"/>
                            <w:szCs w:val="18"/>
                          </w:rPr>
                        </w:pPr>
                        <w:r>
                          <w:rPr>
                            <w:rFonts w:ascii="宋体" w:hAnsi="宋体" w:cs="宋体" w:eastAsia="宋体" w:hint="default"/>
                            <w:spacing w:val="34"/>
                            <w:sz w:val="18"/>
                            <w:szCs w:val="18"/>
                          </w:rPr>
                          <w:t>酒店信息系</w:t>
                        </w:r>
                        <w:r>
                          <w:rPr>
                            <w:rFonts w:ascii="宋体" w:hAnsi="宋体" w:cs="宋体" w:eastAsia="宋体" w:hint="default"/>
                            <w:spacing w:val="-47"/>
                            <w:sz w:val="18"/>
                            <w:szCs w:val="18"/>
                          </w:rPr>
                          <w:t> </w:t>
                        </w:r>
                        <w:r>
                          <w:rPr>
                            <w:rFonts w:ascii="宋体" w:hAnsi="宋体" w:cs="宋体" w:eastAsia="宋体" w:hint="default"/>
                            <w:sz w:val="18"/>
                            <w:szCs w:val="18"/>
                          </w:rPr>
                          <w:t>统业务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新签合同及订单</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left"/>
                          <w:rPr>
                            <w:rFonts w:ascii="Times New Roman" w:hAnsi="Times New Roman" w:cs="Times New Roman" w:eastAsia="Times New Roman" w:hint="default"/>
                            <w:sz w:val="18"/>
                            <w:szCs w:val="18"/>
                          </w:rPr>
                        </w:pPr>
                        <w:r>
                          <w:rPr>
                            <w:rFonts w:ascii="Times New Roman"/>
                            <w:sz w:val="18"/>
                          </w:rPr>
                          <w:t>3,370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2,675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25.98%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85.55%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487</w:t>
                        </w:r>
                      </w:p>
                    </w:tc>
                  </w:tr>
                  <w:tr>
                    <w:trPr>
                      <w:trHeight w:val="401" w:hRule="exact"/>
                    </w:trPr>
                    <w:tc>
                      <w:tcPr>
                        <w:tcW w:w="1292"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维护合同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4,521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5,150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-12.21%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70.45%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1,336</w:t>
                        </w:r>
                      </w:p>
                    </w:tc>
                  </w:tr>
                  <w:tr>
                    <w:trPr>
                      <w:trHeight w:val="403" w:hRule="exact"/>
                    </w:trPr>
                    <w:tc>
                      <w:tcPr>
                        <w:tcW w:w="1292" w:type="dxa"/>
                        <w:vMerge w:val="restart"/>
                        <w:tcBorders>
                          <w:top w:val="single" w:sz="4" w:space="0" w:color="000000"/>
                          <w:left w:val="single" w:sz="4" w:space="0" w:color="000000"/>
                          <w:right w:val="single" w:sz="4" w:space="0" w:color="000000"/>
                        </w:tcBorders>
                      </w:tcPr>
                      <w:p>
                        <w:pPr>
                          <w:pStyle w:val="TableParagraph"/>
                          <w:spacing w:line="316" w:lineRule="auto" w:before="94"/>
                          <w:ind w:left="103" w:right="60"/>
                          <w:jc w:val="left"/>
                          <w:rPr>
                            <w:rFonts w:ascii="宋体" w:hAnsi="宋体" w:cs="宋体" w:eastAsia="宋体" w:hint="default"/>
                            <w:sz w:val="18"/>
                            <w:szCs w:val="18"/>
                          </w:rPr>
                        </w:pPr>
                        <w:r>
                          <w:rPr>
                            <w:rFonts w:ascii="宋体" w:hAnsi="宋体" w:cs="宋体" w:eastAsia="宋体" w:hint="default"/>
                            <w:spacing w:val="21"/>
                            <w:sz w:val="18"/>
                            <w:szCs w:val="18"/>
                          </w:rPr>
                          <w:t>社会</w:t>
                        </w:r>
                        <w:r>
                          <w:rPr>
                            <w:rFonts w:ascii="宋体" w:hAnsi="宋体" w:cs="宋体" w:eastAsia="宋体" w:hint="default"/>
                            <w:spacing w:val="-46"/>
                            <w:sz w:val="18"/>
                            <w:szCs w:val="18"/>
                          </w:rPr>
                          <w:t> </w:t>
                        </w:r>
                        <w:r>
                          <w:rPr>
                            <w:rFonts w:ascii="宋体" w:hAnsi="宋体" w:cs="宋体" w:eastAsia="宋体" w:hint="default"/>
                            <w:spacing w:val="28"/>
                            <w:sz w:val="18"/>
                            <w:szCs w:val="18"/>
                          </w:rPr>
                          <w:t>餐饮信</w:t>
                        </w:r>
                        <w:r>
                          <w:rPr>
                            <w:rFonts w:ascii="宋体" w:hAnsi="宋体" w:cs="宋体" w:eastAsia="宋体" w:hint="default"/>
                            <w:spacing w:val="-47"/>
                            <w:sz w:val="18"/>
                            <w:szCs w:val="18"/>
                          </w:rPr>
                          <w:t> </w:t>
                        </w:r>
                        <w:r>
                          <w:rPr>
                            <w:rFonts w:ascii="宋体" w:hAnsi="宋体" w:cs="宋体" w:eastAsia="宋体" w:hint="default"/>
                            <w:sz w:val="18"/>
                            <w:szCs w:val="18"/>
                          </w:rPr>
                          <w:t>息系统业务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新签合同及订单</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left"/>
                          <w:rPr>
                            <w:rFonts w:ascii="Times New Roman" w:hAnsi="Times New Roman" w:cs="Times New Roman" w:eastAsia="Times New Roman" w:hint="default"/>
                            <w:sz w:val="18"/>
                            <w:szCs w:val="18"/>
                          </w:rPr>
                        </w:pPr>
                        <w:r>
                          <w:rPr>
                            <w:rFonts w:ascii="Times New Roman"/>
                            <w:sz w:val="18"/>
                          </w:rPr>
                          <w:t>3,412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3,437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-0.73%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89.62%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354</w:t>
                        </w:r>
                      </w:p>
                    </w:tc>
                  </w:tr>
                  <w:tr>
                    <w:trPr>
                      <w:trHeight w:val="401" w:hRule="exact"/>
                    </w:trPr>
                    <w:tc>
                      <w:tcPr>
                        <w:tcW w:w="1292"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维护合同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967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986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85.94%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136</w:t>
                        </w:r>
                      </w:p>
                    </w:tc>
                  </w:tr>
                  <w:tr>
                    <w:trPr>
                      <w:trHeight w:val="715" w:hRule="exact"/>
                    </w:trPr>
                    <w:tc>
                      <w:tcPr>
                        <w:tcW w:w="129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60"/>
                          <w:jc w:val="left"/>
                          <w:rPr>
                            <w:rFonts w:ascii="宋体" w:hAnsi="宋体" w:cs="宋体" w:eastAsia="宋体" w:hint="default"/>
                            <w:sz w:val="18"/>
                            <w:szCs w:val="18"/>
                          </w:rPr>
                        </w:pPr>
                        <w:r>
                          <w:rPr>
                            <w:rFonts w:ascii="宋体" w:hAnsi="宋体" w:cs="宋体" w:eastAsia="宋体" w:hint="default"/>
                            <w:spacing w:val="34"/>
                            <w:sz w:val="18"/>
                            <w:szCs w:val="18"/>
                          </w:rPr>
                          <w:t>支付系统业</w:t>
                        </w:r>
                        <w:r>
                          <w:rPr>
                            <w:rFonts w:ascii="宋体" w:hAnsi="宋体" w:cs="宋体" w:eastAsia="宋体" w:hint="default"/>
                            <w:spacing w:val="-47"/>
                            <w:sz w:val="18"/>
                            <w:szCs w:val="18"/>
                          </w:rPr>
                          <w:t> </w:t>
                        </w:r>
                        <w:r>
                          <w:rPr>
                            <w:rFonts w:ascii="宋体" w:hAnsi="宋体" w:cs="宋体" w:eastAsia="宋体" w:hint="default"/>
                            <w:sz w:val="18"/>
                            <w:szCs w:val="18"/>
                          </w:rPr>
                          <w:t>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47"/>
                          <w:jc w:val="left"/>
                          <w:rPr>
                            <w:rFonts w:ascii="宋体" w:hAnsi="宋体" w:cs="宋体" w:eastAsia="宋体" w:hint="default"/>
                            <w:sz w:val="18"/>
                            <w:szCs w:val="18"/>
                          </w:rPr>
                        </w:pPr>
                        <w:r>
                          <w:rPr>
                            <w:rFonts w:ascii="宋体" w:hAnsi="宋体" w:cs="宋体" w:eastAsia="宋体" w:hint="default"/>
                            <w:spacing w:val="43"/>
                            <w:sz w:val="18"/>
                            <w:szCs w:val="18"/>
                          </w:rPr>
                          <w:t>新签合同及订</w:t>
                        </w:r>
                        <w:r>
                          <w:rPr>
                            <w:rFonts w:ascii="宋体" w:hAnsi="宋体" w:cs="宋体" w:eastAsia="宋体" w:hint="default"/>
                            <w:spacing w:val="-38"/>
                            <w:sz w:val="18"/>
                            <w:szCs w:val="18"/>
                          </w:rPr>
                          <w:t> </w:t>
                        </w:r>
                        <w:r>
                          <w:rPr>
                            <w:rFonts w:ascii="宋体" w:hAnsi="宋体" w:cs="宋体" w:eastAsia="宋体" w:hint="default"/>
                            <w:sz w:val="18"/>
                            <w:szCs w:val="18"/>
                          </w:rPr>
                          <w:t>单、分店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322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279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15.41%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84.47%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1292"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维护合同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409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351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16.52%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83.86%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66</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合同及订单签署与执行情况</w:t>
      </w:r>
    </w:p>
    <w:p>
      <w:pPr>
        <w:spacing w:after="0" w:line="67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2"/>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1292"/>
        <w:gridCol w:w="1558"/>
        <w:gridCol w:w="994"/>
        <w:gridCol w:w="991"/>
        <w:gridCol w:w="1136"/>
        <w:gridCol w:w="991"/>
        <w:gridCol w:w="1702"/>
        <w:gridCol w:w="852"/>
      </w:tblGrid>
      <w:tr>
        <w:trPr>
          <w:trHeight w:val="708" w:hRule="exact"/>
        </w:trPr>
        <w:tc>
          <w:tcPr>
            <w:tcW w:w="1292" w:type="dxa"/>
            <w:vMerge w:val="restart"/>
            <w:tcBorders>
              <w:top w:val="nil" w:sz="6" w:space="0" w:color="auto"/>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03" w:right="60"/>
              <w:jc w:val="left"/>
              <w:rPr>
                <w:rFonts w:ascii="宋体" w:hAnsi="宋体" w:cs="宋体" w:eastAsia="宋体" w:hint="default"/>
                <w:sz w:val="18"/>
                <w:szCs w:val="18"/>
              </w:rPr>
            </w:pPr>
            <w:r>
              <w:rPr>
                <w:rFonts w:ascii="宋体" w:hAnsi="宋体" w:cs="宋体" w:eastAsia="宋体" w:hint="default"/>
                <w:spacing w:val="34"/>
                <w:sz w:val="18"/>
                <w:szCs w:val="18"/>
              </w:rPr>
              <w:t>商业流通管</w:t>
            </w:r>
            <w:r>
              <w:rPr>
                <w:rFonts w:ascii="宋体" w:hAnsi="宋体" w:cs="宋体" w:eastAsia="宋体" w:hint="default"/>
                <w:spacing w:val="-47"/>
                <w:sz w:val="18"/>
                <w:szCs w:val="18"/>
              </w:rPr>
              <w:t> </w:t>
            </w:r>
            <w:r>
              <w:rPr>
                <w:rFonts w:ascii="宋体" w:hAnsi="宋体" w:cs="宋体" w:eastAsia="宋体" w:hint="default"/>
                <w:sz w:val="18"/>
                <w:szCs w:val="18"/>
              </w:rPr>
              <w:t>理系统业务</w:t>
            </w:r>
          </w:p>
        </w:tc>
        <w:tc>
          <w:tcPr>
            <w:tcW w:w="1558" w:type="dxa"/>
            <w:tcBorders>
              <w:top w:val="nil" w:sz="6" w:space="0" w:color="auto"/>
              <w:left w:val="single" w:sz="4" w:space="0" w:color="000000"/>
              <w:bottom w:val="single" w:sz="4" w:space="0" w:color="000000"/>
              <w:right w:val="single" w:sz="4" w:space="0" w:color="000000"/>
            </w:tcBorders>
          </w:tcPr>
          <w:p>
            <w:pPr>
              <w:pStyle w:val="TableParagraph"/>
              <w:spacing w:line="319" w:lineRule="auto" w:before="49"/>
              <w:ind w:left="103" w:right="47"/>
              <w:jc w:val="left"/>
              <w:rPr>
                <w:rFonts w:ascii="宋体" w:hAnsi="宋体" w:cs="宋体" w:eastAsia="宋体" w:hint="default"/>
                <w:sz w:val="18"/>
                <w:szCs w:val="18"/>
              </w:rPr>
            </w:pPr>
            <w:r>
              <w:rPr>
                <w:rFonts w:ascii="宋体" w:hAnsi="宋体" w:cs="宋体" w:eastAsia="宋体" w:hint="default"/>
                <w:spacing w:val="43"/>
                <w:sz w:val="18"/>
                <w:szCs w:val="18"/>
              </w:rPr>
              <w:t>新签合同及订</w:t>
            </w:r>
            <w:r>
              <w:rPr>
                <w:rFonts w:ascii="宋体" w:hAnsi="宋体" w:cs="宋体" w:eastAsia="宋体" w:hint="default"/>
                <w:spacing w:val="-38"/>
                <w:sz w:val="18"/>
                <w:szCs w:val="18"/>
              </w:rPr>
              <w:t> </w:t>
            </w:r>
            <w:r>
              <w:rPr>
                <w:rFonts w:ascii="宋体" w:hAnsi="宋体" w:cs="宋体" w:eastAsia="宋体" w:hint="default"/>
                <w:sz w:val="18"/>
                <w:szCs w:val="18"/>
              </w:rPr>
              <w:t>单、分店</w:t>
            </w: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7,647</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7,101</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7.69%</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92.43%</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579</w:t>
            </w:r>
          </w:p>
        </w:tc>
      </w:tr>
      <w:tr>
        <w:trPr>
          <w:trHeight w:val="403" w:hRule="exact"/>
        </w:trPr>
        <w:tc>
          <w:tcPr>
            <w:tcW w:w="1292"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维护合同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728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627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16.11%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58.52%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302</w:t>
            </w:r>
          </w:p>
        </w:tc>
      </w:tr>
      <w:tr>
        <w:trPr>
          <w:trHeight w:val="1961" w:hRule="exact"/>
        </w:trPr>
        <w:tc>
          <w:tcPr>
            <w:tcW w:w="1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4" w:lineRule="auto"/>
              <w:ind w:left="103" w:right="60"/>
              <w:jc w:val="left"/>
              <w:rPr>
                <w:rFonts w:ascii="宋体" w:hAnsi="宋体" w:cs="宋体" w:eastAsia="宋体" w:hint="default"/>
                <w:sz w:val="18"/>
                <w:szCs w:val="18"/>
              </w:rPr>
            </w:pPr>
            <w:r>
              <w:rPr>
                <w:rFonts w:ascii="宋体" w:hAnsi="宋体" w:cs="宋体" w:eastAsia="宋体" w:hint="default"/>
                <w:spacing w:val="34"/>
                <w:sz w:val="18"/>
                <w:szCs w:val="18"/>
              </w:rPr>
              <w:t>旅游休闲系</w:t>
            </w:r>
            <w:r>
              <w:rPr>
                <w:rFonts w:ascii="宋体" w:hAnsi="宋体" w:cs="宋体" w:eastAsia="宋体" w:hint="default"/>
                <w:spacing w:val="-47"/>
                <w:sz w:val="18"/>
                <w:szCs w:val="18"/>
              </w:rPr>
              <w:t> </w:t>
            </w:r>
            <w:r>
              <w:rPr>
                <w:rFonts w:ascii="宋体" w:hAnsi="宋体" w:cs="宋体" w:eastAsia="宋体" w:hint="default"/>
                <w:sz w:val="18"/>
                <w:szCs w:val="18"/>
              </w:rPr>
              <w:t>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3" w:right="47"/>
              <w:jc w:val="left"/>
              <w:rPr>
                <w:rFonts w:ascii="宋体" w:hAnsi="宋体" w:cs="宋体" w:eastAsia="宋体" w:hint="default"/>
                <w:sz w:val="18"/>
                <w:szCs w:val="18"/>
              </w:rPr>
            </w:pPr>
            <w:r>
              <w:rPr>
                <w:rFonts w:ascii="宋体" w:hAnsi="宋体" w:cs="宋体" w:eastAsia="宋体" w:hint="default"/>
                <w:spacing w:val="43"/>
                <w:sz w:val="18"/>
                <w:szCs w:val="18"/>
              </w:rPr>
              <w:t>新签合同及订</w:t>
            </w:r>
            <w:r>
              <w:rPr>
                <w:rFonts w:ascii="宋体" w:hAnsi="宋体" w:cs="宋体" w:eastAsia="宋体" w:hint="default"/>
                <w:spacing w:val="-38"/>
                <w:sz w:val="18"/>
                <w:szCs w:val="18"/>
              </w:rPr>
              <w:t> </w:t>
            </w:r>
            <w:r>
              <w:rPr>
                <w:rFonts w:ascii="宋体" w:hAnsi="宋体" w:cs="宋体" w:eastAsia="宋体" w:hint="default"/>
                <w:sz w:val="18"/>
                <w:szCs w:val="18"/>
              </w:rPr>
              <w:t>单、分店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211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137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54.01%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81.04%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98"/>
              <w:jc w:val="both"/>
              <w:rPr>
                <w:rFonts w:ascii="宋体" w:hAnsi="宋体" w:cs="宋体" w:eastAsia="宋体" w:hint="default"/>
                <w:sz w:val="18"/>
                <w:szCs w:val="18"/>
              </w:rPr>
            </w:pPr>
            <w:r>
              <w:rPr>
                <w:rFonts w:ascii="宋体" w:hAnsi="宋体" w:cs="宋体" w:eastAsia="宋体" w:hint="default"/>
                <w:spacing w:val="5"/>
                <w:sz w:val="18"/>
                <w:szCs w:val="18"/>
              </w:rPr>
              <w:t>主要系本年新收购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宝库在线公司增加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合同订单量及银科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环企比上年同期增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加 </w:t>
            </w:r>
            <w:r>
              <w:rPr>
                <w:rFonts w:ascii="Times New Roman" w:hAnsi="Times New Roman" w:cs="Times New Roman" w:eastAsia="Times New Roman" w:hint="default"/>
                <w:sz w:val="18"/>
                <w:szCs w:val="18"/>
              </w:rPr>
              <w:t>9 </w:t>
            </w:r>
            <w:r>
              <w:rPr>
                <w:rFonts w:ascii="宋体" w:hAnsi="宋体" w:cs="宋体" w:eastAsia="宋体" w:hint="default"/>
                <w:sz w:val="18"/>
                <w:szCs w:val="18"/>
              </w:rPr>
              <w:t>个月的订单合 同量共同所致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40</w:t>
            </w:r>
          </w:p>
        </w:tc>
      </w:tr>
      <w:tr>
        <w:trPr>
          <w:trHeight w:val="403" w:hRule="exact"/>
        </w:trPr>
        <w:tc>
          <w:tcPr>
            <w:tcW w:w="1292"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维护合同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63.64%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w:t>
            </w:r>
          </w:p>
        </w:tc>
      </w:tr>
      <w:tr>
        <w:trPr>
          <w:trHeight w:val="401" w:hRule="exact"/>
        </w:trPr>
        <w:tc>
          <w:tcPr>
            <w:tcW w:w="1292" w:type="dxa"/>
            <w:vMerge w:val="restart"/>
            <w:tcBorders>
              <w:top w:val="single" w:sz="4" w:space="0" w:color="000000"/>
              <w:left w:val="single" w:sz="4" w:space="0" w:color="000000"/>
              <w:right w:val="single" w:sz="4" w:space="0" w:color="000000"/>
            </w:tcBorders>
          </w:tcPr>
          <w:p>
            <w:pPr>
              <w:pStyle w:val="TableParagraph"/>
              <w:spacing w:line="314" w:lineRule="auto" w:before="94"/>
              <w:ind w:left="103" w:right="60"/>
              <w:jc w:val="left"/>
              <w:rPr>
                <w:rFonts w:ascii="宋体" w:hAnsi="宋体" w:cs="宋体" w:eastAsia="宋体" w:hint="default"/>
                <w:sz w:val="18"/>
                <w:szCs w:val="18"/>
              </w:rPr>
            </w:pPr>
            <w:r>
              <w:rPr>
                <w:rFonts w:ascii="宋体" w:hAnsi="宋体" w:cs="宋体" w:eastAsia="宋体" w:hint="default"/>
                <w:spacing w:val="34"/>
                <w:sz w:val="18"/>
                <w:szCs w:val="18"/>
              </w:rPr>
              <w:t>第三方硬件</w:t>
            </w:r>
            <w:r>
              <w:rPr>
                <w:rFonts w:ascii="宋体" w:hAnsi="宋体" w:cs="宋体" w:eastAsia="宋体" w:hint="default"/>
                <w:spacing w:val="-47"/>
                <w:sz w:val="18"/>
                <w:szCs w:val="18"/>
              </w:rPr>
              <w:t> </w:t>
            </w:r>
            <w:r>
              <w:rPr>
                <w:rFonts w:ascii="宋体" w:hAnsi="宋体" w:cs="宋体" w:eastAsia="宋体" w:hint="default"/>
                <w:sz w:val="18"/>
                <w:szCs w:val="18"/>
              </w:rPr>
              <w:t>配套业务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新签合同及订单</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5,181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6,710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-22.79%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292"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维护合同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48,896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51,204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29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新签合同及订单</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20,143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20,339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-0.96%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92.50%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1,510</w:t>
            </w:r>
          </w:p>
        </w:tc>
      </w:tr>
      <w:tr>
        <w:trPr>
          <w:trHeight w:val="403" w:hRule="exact"/>
        </w:trPr>
        <w:tc>
          <w:tcPr>
            <w:tcW w:w="1292"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维护合同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55,554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58,333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96.67%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1,852</w:t>
            </w:r>
          </w:p>
        </w:tc>
      </w:tr>
    </w:tbl>
    <w:p>
      <w:pPr>
        <w:pStyle w:val="BodyText"/>
        <w:spacing w:line="240" w:lineRule="auto" w:before="28"/>
        <w:ind w:right="0"/>
        <w:jc w:val="both"/>
      </w:pPr>
      <w:r>
        <w:rPr/>
        <w:t>注：</w:t>
      </w:r>
    </w:p>
    <w:p>
      <w:pPr>
        <w:pStyle w:val="BodyText"/>
        <w:spacing w:line="256" w:lineRule="auto" w:before="75"/>
        <w:ind w:right="1126"/>
        <w:jc w:val="both"/>
      </w:pPr>
      <w:r>
        <w:rPr/>
        <w:t>（</w:t>
      </w:r>
      <w:r>
        <w:rPr>
          <w:rFonts w:ascii="Times New Roman" w:hAnsi="Times New Roman" w:cs="Times New Roman" w:eastAsia="Times New Roman" w:hint="default"/>
        </w:rPr>
        <w:t>1</w:t>
      </w:r>
      <w:r>
        <w:rPr/>
        <w:t>）酒店信息系统：本年度新签的合同及订单（本处是指新签署的而非确认收入的）包括北京总公司酒</w:t>
      </w:r>
      <w:r>
        <w:rPr>
          <w:spacing w:val="-25"/>
        </w:rPr>
        <w:t> </w:t>
      </w:r>
      <w:r>
        <w:rPr>
          <w:spacing w:val="-25"/>
        </w:rPr>
      </w:r>
      <w:r>
        <w:rPr>
          <w:spacing w:val="-3"/>
        </w:rPr>
        <w:t>店系统集成合同及订单（不包括星巴克、</w:t>
      </w:r>
      <w:r>
        <w:rPr>
          <w:rFonts w:ascii="Times New Roman" w:hAnsi="Times New Roman" w:cs="Times New Roman" w:eastAsia="Times New Roman" w:hint="default"/>
          <w:spacing w:val="-3"/>
        </w:rPr>
        <w:t>COSTA</w:t>
      </w:r>
      <w:r>
        <w:rPr>
          <w:spacing w:val="-3"/>
        </w:rPr>
        <w:t>、汉堡王和所有社会餐饮客户合同，社会餐饮客户是指该</w:t>
      </w:r>
      <w:r>
        <w:rPr>
          <w:spacing w:val="-50"/>
        </w:rPr>
        <w:t> </w:t>
      </w:r>
      <w:r>
        <w:rPr>
          <w:spacing w:val="-50"/>
        </w:rPr>
      </w:r>
      <w:r>
        <w:rPr/>
        <w:t>客户没有提供客房住宿服务或没有与酒店管理系统接口的独立餐厅）</w:t>
      </w:r>
      <w:r>
        <w:rPr>
          <w:rFonts w:ascii="Times New Roman" w:hAnsi="Times New Roman" w:cs="Times New Roman" w:eastAsia="Times New Roman" w:hint="default"/>
        </w:rPr>
        <w:t>+</w:t>
      </w:r>
      <w:r>
        <w:rPr/>
        <w:t>软件子公司酒店系统集成合同及订</w:t>
      </w:r>
      <w:r>
        <w:rPr>
          <w:spacing w:val="-35"/>
        </w:rPr>
        <w:t> </w:t>
      </w:r>
      <w:r>
        <w:rPr>
          <w:spacing w:val="-35"/>
        </w:rPr>
      </w:r>
      <w:r>
        <w:rPr/>
        <w:t>单</w:t>
      </w:r>
      <w:r>
        <w:rPr>
          <w:rFonts w:ascii="Times New Roman" w:hAnsi="Times New Roman" w:cs="Times New Roman" w:eastAsia="Times New Roman" w:hint="default"/>
        </w:rPr>
        <w:t>+</w:t>
      </w:r>
      <w:r>
        <w:rPr/>
        <w:t>西软酒店系统集成合同及订单</w:t>
      </w:r>
      <w:r>
        <w:rPr>
          <w:rFonts w:ascii="Times New Roman" w:hAnsi="Times New Roman" w:cs="Times New Roman" w:eastAsia="Times New Roman" w:hint="default"/>
        </w:rPr>
        <w:t>+</w:t>
      </w:r>
      <w:r>
        <w:rPr/>
        <w:t>北海维护与酒店系统集成合同及订单</w:t>
      </w:r>
      <w:r>
        <w:rPr>
          <w:rFonts w:ascii="Times New Roman" w:hAnsi="Times New Roman" w:cs="Times New Roman" w:eastAsia="Times New Roman" w:hint="default"/>
        </w:rPr>
        <w:t>+</w:t>
      </w:r>
      <w:r>
        <w:rPr/>
        <w:t>石基昆仑的全部业务</w:t>
      </w:r>
      <w:r>
        <w:rPr>
          <w:rFonts w:ascii="Times New Roman" w:hAnsi="Times New Roman" w:cs="Times New Roman" w:eastAsia="Times New Roman" w:hint="default"/>
        </w:rPr>
        <w:t>+</w:t>
      </w:r>
      <w:r>
        <w:rPr/>
        <w:t>航信华谊</w:t>
      </w:r>
      <w:r>
        <w:rPr>
          <w:spacing w:val="28"/>
        </w:rPr>
        <w:t> </w:t>
      </w:r>
      <w:r>
        <w:rPr>
          <w:spacing w:val="28"/>
        </w:rPr>
      </w:r>
      <w:r>
        <w:rPr/>
        <w:t>公司的酒店系统合同。</w:t>
      </w:r>
    </w:p>
    <w:p>
      <w:pPr>
        <w:pStyle w:val="BodyText"/>
        <w:spacing w:line="256" w:lineRule="auto" w:before="63"/>
        <w:ind w:right="1128"/>
        <w:jc w:val="both"/>
      </w:pPr>
      <w:r>
        <w:rPr/>
        <w:t>（</w:t>
      </w:r>
      <w:r>
        <w:rPr>
          <w:rFonts w:ascii="Times New Roman" w:hAnsi="Times New Roman" w:cs="Times New Roman" w:eastAsia="Times New Roman" w:hint="default"/>
        </w:rPr>
        <w:t>2</w:t>
      </w:r>
      <w:r>
        <w:rPr/>
        <w:t>）餐饮信息系统：本年度新签署的合同及订单（本处是指新签署的而非确认收入的）包括</w:t>
      </w:r>
      <w:r>
        <w:rPr>
          <w:spacing w:val="-50"/>
        </w:rPr>
        <w:t> </w:t>
      </w:r>
      <w:r>
        <w:rPr>
          <w:rFonts w:ascii="Times New Roman" w:hAnsi="Times New Roman" w:cs="Times New Roman" w:eastAsia="Times New Roman" w:hint="default"/>
        </w:rPr>
        <w:t>MICROS </w:t>
      </w:r>
      <w:r>
        <w:rPr/>
        <w:t>社</w:t>
      </w:r>
      <w:r>
        <w:rPr>
          <w:w w:val="100"/>
        </w:rPr>
        <w:t> </w:t>
      </w:r>
      <w:r>
        <w:rPr>
          <w:spacing w:val="-6"/>
          <w:w w:val="100"/>
        </w:rPr>
        <w:t>会餐饮客户合同及订单</w:t>
      </w:r>
      <w:r>
        <w:rPr>
          <w:rFonts w:ascii="Times New Roman" w:hAnsi="Times New Roman" w:cs="Times New Roman" w:eastAsia="Times New Roman" w:hint="default"/>
          <w:spacing w:val="-6"/>
          <w:w w:val="100"/>
        </w:rPr>
        <w:t>+</w:t>
      </w:r>
      <w:r>
        <w:rPr>
          <w:spacing w:val="-6"/>
          <w:w w:val="100"/>
        </w:rPr>
        <w:t>北京现化的社会餐饮合同及订单（不包括软子代签的合同）</w:t>
      </w:r>
      <w:r>
        <w:rPr>
          <w:rFonts w:ascii="Times New Roman" w:hAnsi="Times New Roman" w:cs="Times New Roman" w:eastAsia="Times New Roman" w:hint="default"/>
          <w:spacing w:val="-6"/>
          <w:w w:val="100"/>
        </w:rPr>
        <w:t>+Infrasys</w:t>
      </w:r>
      <w:r>
        <w:rPr>
          <w:rFonts w:ascii="Times New Roman" w:hAnsi="Times New Roman" w:cs="Times New Roman" w:eastAsia="Times New Roman" w:hint="default"/>
          <w:spacing w:val="-5"/>
          <w:w w:val="100"/>
        </w:rPr>
        <w:t> </w:t>
      </w:r>
      <w:r>
        <w:rPr>
          <w:spacing w:val="-1"/>
          <w:w w:val="100"/>
        </w:rPr>
        <w:t>境外的业务</w:t>
      </w:r>
      <w:r>
        <w:rPr>
          <w:rFonts w:ascii="Times New Roman" w:hAnsi="Times New Roman" w:cs="Times New Roman" w:eastAsia="Times New Roman" w:hint="default"/>
          <w:spacing w:val="-1"/>
          <w:w w:val="100"/>
        </w:rPr>
        <w:t>(</w:t>
      </w:r>
      <w:r>
        <w:rPr>
          <w:spacing w:val="-1"/>
          <w:w w:val="100"/>
        </w:rPr>
        <w:t>海</w:t>
      </w:r>
      <w:r>
        <w:rPr>
          <w:w w:val="100"/>
        </w:rPr>
        <w:t> </w:t>
      </w:r>
      <w:r>
        <w:rPr/>
        <w:t>外业务最好也分成酒店业和社会餐饮业</w:t>
      </w:r>
      <w:r>
        <w:rPr>
          <w:rFonts w:ascii="Times New Roman" w:hAnsi="Times New Roman" w:cs="Times New Roman" w:eastAsia="Times New Roman" w:hint="default"/>
        </w:rPr>
        <w:t>)+</w:t>
      </w:r>
      <w:r>
        <w:rPr/>
        <w:t>上海正品的餐饮合同及订单；</w:t>
      </w:r>
    </w:p>
    <w:p>
      <w:pPr>
        <w:pStyle w:val="BodyText"/>
        <w:spacing w:line="256" w:lineRule="auto" w:before="46"/>
        <w:ind w:right="1133"/>
        <w:jc w:val="both"/>
      </w:pPr>
      <w:r>
        <w:rPr/>
        <w:t>（</w:t>
      </w:r>
      <w:r>
        <w:rPr>
          <w:rFonts w:ascii="Times New Roman" w:hAnsi="Times New Roman" w:cs="Times New Roman" w:eastAsia="Times New Roman" w:hint="default"/>
        </w:rPr>
        <w:t>3</w:t>
      </w:r>
      <w:r>
        <w:rPr/>
        <w:t>）支付系统业务：本年度新签署的合同及订单（本处是指新签署的而非确认收入的）包括南京银石合</w:t>
      </w:r>
      <w:r>
        <w:rPr>
          <w:spacing w:val="-25"/>
        </w:rPr>
        <w:t> </w:t>
      </w:r>
      <w:r>
        <w:rPr>
          <w:spacing w:val="-25"/>
        </w:rPr>
      </w:r>
      <w:r>
        <w:rPr/>
        <w:t>同</w:t>
      </w:r>
      <w:r>
        <w:rPr>
          <w:rFonts w:ascii="Times New Roman" w:hAnsi="Times New Roman" w:cs="Times New Roman" w:eastAsia="Times New Roman" w:hint="default"/>
        </w:rPr>
        <w:t>+</w:t>
      </w:r>
      <w:r>
        <w:rPr/>
        <w:t>北海</w:t>
      </w:r>
      <w:r>
        <w:rPr>
          <w:spacing w:val="-54"/>
        </w:rPr>
        <w:t> </w:t>
      </w:r>
      <w:r>
        <w:rPr>
          <w:rFonts w:ascii="Times New Roman" w:hAnsi="Times New Roman" w:cs="Times New Roman" w:eastAsia="Times New Roman" w:hint="default"/>
        </w:rPr>
        <w:t>PGS</w:t>
      </w:r>
      <w:r>
        <w:rPr>
          <w:rFonts w:ascii="Times New Roman" w:hAnsi="Times New Roman" w:cs="Times New Roman" w:eastAsia="Times New Roman" w:hint="default"/>
          <w:spacing w:val="1"/>
        </w:rPr>
        <w:t> </w:t>
      </w:r>
      <w:r>
        <w:rPr/>
        <w:t>合同。</w:t>
      </w:r>
    </w:p>
    <w:p>
      <w:pPr>
        <w:pStyle w:val="BodyText"/>
        <w:spacing w:line="256" w:lineRule="auto" w:before="43"/>
        <w:ind w:right="1133"/>
        <w:jc w:val="both"/>
      </w:pPr>
      <w:r>
        <w:rPr/>
        <w:t>（</w:t>
      </w:r>
      <w:r>
        <w:rPr>
          <w:rFonts w:ascii="Times New Roman" w:hAnsi="Times New Roman" w:cs="Times New Roman" w:eastAsia="Times New Roman" w:hint="default"/>
        </w:rPr>
        <w:t>4</w:t>
      </w:r>
      <w:r>
        <w:rPr/>
        <w:t>）商业流通管理系统业务：本年度新签署的合同及订单（本处是指新签署的而非确认收入的）包括深</w:t>
      </w:r>
      <w:r>
        <w:rPr>
          <w:spacing w:val="-25"/>
        </w:rPr>
        <w:t> </w:t>
      </w:r>
      <w:r>
        <w:rPr>
          <w:spacing w:val="-25"/>
        </w:rPr>
      </w:r>
      <w:r>
        <w:rPr/>
        <w:t>圳万国思迅、长京益康、富基公司、上海时运等的合同。</w:t>
      </w:r>
    </w:p>
    <w:p>
      <w:pPr>
        <w:pStyle w:val="BodyText"/>
        <w:spacing w:line="240" w:lineRule="auto" w:before="63"/>
        <w:ind w:right="0"/>
        <w:jc w:val="both"/>
      </w:pPr>
      <w:r>
        <w:rPr/>
        <w:t>（</w:t>
      </w:r>
      <w:r>
        <w:rPr>
          <w:rFonts w:ascii="Times New Roman" w:hAnsi="Times New Roman" w:cs="Times New Roman" w:eastAsia="Times New Roman" w:hint="default"/>
        </w:rPr>
        <w:t>5</w:t>
      </w:r>
      <w:r>
        <w:rPr/>
        <w:t>）旅游休闲系统：本年度新签署的合同及订单（本处是指新签署的而非确认收入的）包括苏州环企。</w:t>
      </w:r>
    </w:p>
    <w:p>
      <w:pPr>
        <w:pStyle w:val="BodyText"/>
        <w:spacing w:line="256" w:lineRule="auto" w:before="62"/>
        <w:ind w:right="1133"/>
        <w:jc w:val="both"/>
      </w:pPr>
      <w:r>
        <w:rPr/>
        <w:t>（</w:t>
      </w:r>
      <w:r>
        <w:rPr>
          <w:rFonts w:ascii="Times New Roman" w:hAnsi="Times New Roman" w:cs="Times New Roman" w:eastAsia="Times New Roman" w:hint="default"/>
        </w:rPr>
        <w:t>6</w:t>
      </w:r>
      <w:r>
        <w:rPr/>
        <w:t>）第三方硬件配套业务：本年度新签署的合同及订单（本处是指新签署的而非确认收入的）包括中电</w:t>
      </w:r>
      <w:r>
        <w:rPr>
          <w:spacing w:val="-25"/>
        </w:rPr>
        <w:t> </w:t>
      </w:r>
      <w:r>
        <w:rPr>
          <w:spacing w:val="-25"/>
        </w:rPr>
      </w:r>
      <w:r>
        <w:rPr/>
        <w:t>器件公司的合同订单。</w:t>
      </w:r>
    </w:p>
    <w:p>
      <w:pPr>
        <w:spacing w:before="81"/>
        <w:ind w:left="152" w:right="0" w:firstLine="0"/>
        <w:jc w:val="both"/>
        <w:rPr>
          <w:rFonts w:ascii="宋体" w:hAnsi="宋体" w:cs="宋体" w:eastAsia="宋体" w:hint="default"/>
          <w:sz w:val="18"/>
          <w:szCs w:val="18"/>
        </w:rPr>
      </w:pPr>
      <w:r>
        <w:rPr>
          <w:rFonts w:ascii="宋体" w:hAnsi="宋体" w:cs="宋体" w:eastAsia="宋体" w:hint="default"/>
          <w:sz w:val="18"/>
          <w:szCs w:val="18"/>
        </w:rPr>
        <w:t>大额订单情况</w:t>
      </w:r>
    </w:p>
    <w:p>
      <w:pPr>
        <w:spacing w:line="240" w:lineRule="auto" w:before="4"/>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141"/>
        <w:gridCol w:w="1419"/>
        <w:gridCol w:w="1558"/>
        <w:gridCol w:w="1560"/>
        <w:gridCol w:w="1560"/>
        <w:gridCol w:w="1431"/>
      </w:tblGrid>
      <w:tr>
        <w:trPr>
          <w:trHeight w:val="790" w:hRule="exact"/>
        </w:trPr>
        <w:tc>
          <w:tcPr>
            <w:tcW w:w="21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7"/>
              <w:ind w:left="434" w:right="137" w:hanging="293"/>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年大额订 单数量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7"/>
              <w:ind w:left="595" w:right="115" w:hanging="473"/>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年大额订单 数量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7"/>
              <w:ind w:left="597" w:right="115" w:hanging="474"/>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年大额订单 总额</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7"/>
              <w:ind w:left="597" w:right="115" w:hanging="473"/>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年大额订单 总额</w:t>
            </w:r>
          </w:p>
        </w:tc>
        <w:tc>
          <w:tcPr>
            <w:tcW w:w="14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7"/>
              <w:ind w:left="103" w:right="86" w:firstLine="67"/>
              <w:jc w:val="left"/>
              <w:rPr>
                <w:rFonts w:ascii="宋体" w:hAnsi="宋体" w:cs="宋体" w:eastAsia="宋体" w:hint="default"/>
                <w:sz w:val="18"/>
                <w:szCs w:val="18"/>
              </w:rPr>
            </w:pPr>
            <w:r>
              <w:rPr>
                <w:rFonts w:ascii="宋体" w:hAnsi="宋体" w:cs="宋体" w:eastAsia="宋体" w:hint="default"/>
                <w:sz w:val="18"/>
                <w:szCs w:val="18"/>
              </w:rPr>
              <w:t>大额订单总额 增长比例（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酒店信息系统业务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336532987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345,736,134.83</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-2.66%</w:t>
            </w:r>
          </w:p>
        </w:tc>
      </w:tr>
      <w:tr>
        <w:trPr>
          <w:trHeight w:val="401"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社会餐饮信息系统业务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43761075.39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19,879,171.30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120.14%</w:t>
            </w:r>
          </w:p>
        </w:tc>
      </w:tr>
      <w:tr>
        <w:trPr>
          <w:trHeight w:val="40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支付系统业务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39618664.24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74,911,201.48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-47.11%</w:t>
            </w:r>
          </w:p>
        </w:tc>
      </w:tr>
      <w:tr>
        <w:trPr>
          <w:trHeight w:val="401"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商业流通管理系统业务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804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368824244.8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316,145,087.20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16.66%</w:t>
            </w:r>
          </w:p>
        </w:tc>
      </w:tr>
      <w:tr>
        <w:trPr>
          <w:trHeight w:val="40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旅游休闲系统业务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73598241.79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56,598,976.60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30.03%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
        <w:rPr>
          <w:rFonts w:ascii="宋体" w:hAnsi="宋体" w:cs="宋体" w:eastAsia="宋体" w:hint="default"/>
          <w:sz w:val="28"/>
          <w:szCs w:val="28"/>
        </w:rPr>
      </w:pPr>
    </w:p>
    <w:p>
      <w:pPr>
        <w:spacing w:line="410" w:lineRule="exact"/>
        <w:ind w:left="13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83.95pt;height:20.55pt;mso-position-horizontal-relative:char;mso-position-vertical-relative:line" coordorigin="0,0" coordsize="9679,411">
            <v:group style="position:absolute;left:5;top:5;width:2;height:401" coordorigin="5,5" coordsize="2,401">
              <v:shape style="position:absolute;left:5;top:5;width:2;height:401" coordorigin="5,5" coordsize="0,401" path="m5,5l5,406e" filled="false" stroked="true" strokeweight=".48pt" strokecolor="#000000">
                <v:path arrowok="t"/>
              </v:shape>
            </v:group>
            <v:group style="position:absolute;left:10;top:401;width:2132;height:2" coordorigin="10,401" coordsize="2132,2">
              <v:shape style="position:absolute;left:10;top:401;width:2132;height:2" coordorigin="10,401" coordsize="2132,0" path="m10,401l2141,401e" filled="false" stroked="true" strokeweight=".48pt" strokecolor="#000000">
                <v:path arrowok="t"/>
              </v:shape>
            </v:group>
            <v:group style="position:absolute;left:2146;top:5;width:2;height:401" coordorigin="2146,5" coordsize="2,401">
              <v:shape style="position:absolute;left:2146;top:5;width:2;height:401" coordorigin="2146,5" coordsize="0,401" path="m2146,5l2146,406e" filled="false" stroked="true" strokeweight=".48pt" strokecolor="#000000">
                <v:path arrowok="t"/>
              </v:shape>
            </v:group>
            <v:group style="position:absolute;left:2151;top:401;width:1410;height:2" coordorigin="2151,401" coordsize="1410,2">
              <v:shape style="position:absolute;left:2151;top:401;width:1410;height:2" coordorigin="2151,401" coordsize="1410,0" path="m2151,401l3560,401e" filled="false" stroked="true" strokeweight=".48pt" strokecolor="#000000">
                <v:path arrowok="t"/>
              </v:shape>
            </v:group>
            <v:group style="position:absolute;left:3565;top:5;width:2;height:401" coordorigin="3565,5" coordsize="2,401">
              <v:shape style="position:absolute;left:3565;top:5;width:2;height:401" coordorigin="3565,5" coordsize="0,401" path="m3565,5l3565,406e" filled="false" stroked="true" strokeweight=".48pt" strokecolor="#000000">
                <v:path arrowok="t"/>
              </v:shape>
            </v:group>
            <v:group style="position:absolute;left:3570;top:401;width:1548;height:2" coordorigin="3570,401" coordsize="1548,2">
              <v:shape style="position:absolute;left:3570;top:401;width:1548;height:2" coordorigin="3570,401" coordsize="1548,0" path="m3570,401l5118,401e" filled="false" stroked="true" strokeweight=".48pt" strokecolor="#000000">
                <v:path arrowok="t"/>
              </v:shape>
            </v:group>
            <v:group style="position:absolute;left:5123;top:5;width:2;height:401" coordorigin="5123,5" coordsize="2,401">
              <v:shape style="position:absolute;left:5123;top:5;width:2;height:401" coordorigin="5123,5" coordsize="0,401" path="m5123,5l5123,406e" filled="false" stroked="true" strokeweight=".48001pt" strokecolor="#000000">
                <v:path arrowok="t"/>
              </v:shape>
            </v:group>
            <v:group style="position:absolute;left:5127;top:401;width:1551;height:2" coordorigin="5127,401" coordsize="1551,2">
              <v:shape style="position:absolute;left:5127;top:401;width:1551;height:2" coordorigin="5127,401" coordsize="1551,0" path="m5127,401l6678,401e" filled="false" stroked="true" strokeweight=".48pt" strokecolor="#000000">
                <v:path arrowok="t"/>
              </v:shape>
            </v:group>
            <v:group style="position:absolute;left:6683;top:5;width:2;height:401" coordorigin="6683,5" coordsize="2,401">
              <v:shape style="position:absolute;left:6683;top:5;width:2;height:401" coordorigin="6683,5" coordsize="0,401" path="m6683,5l6683,406e" filled="false" stroked="true" strokeweight=".47998pt" strokecolor="#000000">
                <v:path arrowok="t"/>
              </v:shape>
            </v:group>
            <v:group style="position:absolute;left:6688;top:401;width:1551;height:2" coordorigin="6688,401" coordsize="1551,2">
              <v:shape style="position:absolute;left:6688;top:401;width:1551;height:2" coordorigin="6688,401" coordsize="1551,0" path="m6688,401l8238,401e" filled="false" stroked="true" strokeweight=".48pt" strokecolor="#000000">
                <v:path arrowok="t"/>
              </v:shape>
            </v:group>
            <v:group style="position:absolute;left:8243;top:5;width:2;height:401" coordorigin="8243,5" coordsize="2,401">
              <v:shape style="position:absolute;left:8243;top:5;width:2;height:401" coordorigin="8243,5" coordsize="0,401" path="m8243,5l8243,406e" filled="false" stroked="true" strokeweight=".504pt" strokecolor="#000000">
                <v:path arrowok="t"/>
              </v:shape>
            </v:group>
            <v:group style="position:absolute;left:8248;top:401;width:1421;height:2" coordorigin="8248,401" coordsize="1421,2">
              <v:shape style="position:absolute;left:8248;top:401;width:1421;height:2" coordorigin="8248,401" coordsize="1421,0" path="m8248,401l9669,401e" filled="false" stroked="true" strokeweight=".48pt" strokecolor="#000000">
                <v:path arrowok="t"/>
              </v:shape>
            </v:group>
            <v:group style="position:absolute;left:9674;top:5;width:2;height:401" coordorigin="9674,5" coordsize="2,401">
              <v:shape style="position:absolute;left:9674;top:5;width:2;height:401" coordorigin="9674,5" coordsize="0,401" path="m9674,5l9674,406e" filled="false" stroked="true" strokeweight=".48004pt" strokecolor="#000000">
                <v:path arrowok="t"/>
              </v:shape>
              <v:shape style="position:absolute;left:113;top:11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3097;top:119;width:36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1347</w:t>
                      </w:r>
                    </w:p>
                  </w:txbxContent>
                </v:textbox>
                <w10:wrap type="none"/>
              </v:shape>
              <v:shape style="position:absolute;left:4664;top:119;width:35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1135</w:t>
                      </w:r>
                    </w:p>
                  </w:txbxContent>
                </v:textbox>
                <w10:wrap type="none"/>
              </v:shape>
              <v:shape style="position:absolute;left:5632;top:119;width:9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862335213.2</w:t>
                      </w:r>
                    </w:p>
                  </w:txbxContent>
                </v:textbox>
                <w10:wrap type="none"/>
              </v:shape>
              <v:shape style="position:absolute;left:7192;top:119;width:9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813270571.4</w:t>
                      </w:r>
                    </w:p>
                  </w:txbxContent>
                </v:textbox>
                <w10:wrap type="none"/>
              </v:shape>
              <v:shape style="position:absolute;left:9100;top:119;width:46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6.03%</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7"/>
          <w:szCs w:val="27"/>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大额订单情况（大于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万元订单）</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26"/>
        <w:gridCol w:w="1419"/>
        <w:gridCol w:w="1558"/>
        <w:gridCol w:w="1560"/>
        <w:gridCol w:w="1560"/>
        <w:gridCol w:w="1524"/>
      </w:tblGrid>
      <w:tr>
        <w:trPr>
          <w:trHeight w:val="402" w:hRule="exact"/>
        </w:trPr>
        <w:tc>
          <w:tcPr>
            <w:tcW w:w="212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297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2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24"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93"/>
              <w:ind w:left="232" w:right="125" w:hanging="106"/>
              <w:jc w:val="left"/>
              <w:rPr>
                <w:rFonts w:ascii="宋体" w:hAnsi="宋体" w:cs="宋体" w:eastAsia="宋体" w:hint="default"/>
                <w:sz w:val="18"/>
                <w:szCs w:val="18"/>
              </w:rPr>
            </w:pPr>
            <w:r>
              <w:rPr>
                <w:rFonts w:ascii="宋体" w:hAnsi="宋体" w:cs="宋体" w:eastAsia="宋体" w:hint="default"/>
                <w:sz w:val="18"/>
                <w:szCs w:val="18"/>
              </w:rPr>
              <w:t>大额订单总额增 长比例（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126" w:type="dxa"/>
            <w:vMerge/>
            <w:tcBorders>
              <w:left w:val="single" w:sz="4" w:space="0" w:color="000000"/>
              <w:bottom w:val="single" w:sz="4" w:space="0" w:color="000000"/>
              <w:right w:val="single" w:sz="4" w:space="0" w:color="000000"/>
            </w:tcBorders>
            <w:shd w:val="clear" w:color="auto" w:fill="D9D9D9"/>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大额订单数量</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大额订单总额</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大额订单数量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大额订单总额</w:t>
            </w:r>
          </w:p>
        </w:tc>
        <w:tc>
          <w:tcPr>
            <w:tcW w:w="1524" w:type="dxa"/>
            <w:vMerge/>
            <w:tcBorders>
              <w:left w:val="single" w:sz="4" w:space="0" w:color="000000"/>
              <w:bottom w:val="single" w:sz="4" w:space="0" w:color="000000"/>
              <w:right w:val="single" w:sz="4" w:space="0" w:color="000000"/>
            </w:tcBorders>
            <w:shd w:val="clear" w:color="auto" w:fill="D9D9D9"/>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第三方硬件配套业务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2352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1" w:right="0"/>
              <w:jc w:val="left"/>
              <w:rPr>
                <w:rFonts w:ascii="Times New Roman" w:hAnsi="Times New Roman" w:cs="Times New Roman" w:eastAsia="Times New Roman" w:hint="default"/>
                <w:sz w:val="18"/>
                <w:szCs w:val="18"/>
              </w:rPr>
            </w:pPr>
            <w:r>
              <w:rPr>
                <w:rFonts w:ascii="Times New Roman"/>
                <w:sz w:val="18"/>
              </w:rPr>
              <w:t>691424473.6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2707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4" w:right="0"/>
              <w:jc w:val="left"/>
              <w:rPr>
                <w:rFonts w:ascii="Times New Roman" w:hAnsi="Times New Roman" w:cs="Times New Roman" w:eastAsia="Times New Roman" w:hint="default"/>
                <w:sz w:val="18"/>
                <w:szCs w:val="18"/>
              </w:rPr>
            </w:pPr>
            <w:r>
              <w:rPr>
                <w:rFonts w:ascii="Times New Roman"/>
                <w:sz w:val="18"/>
              </w:rPr>
              <w:t>799951447.7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6" w:right="0"/>
              <w:jc w:val="left"/>
              <w:rPr>
                <w:rFonts w:ascii="Times New Roman" w:hAnsi="Times New Roman" w:cs="Times New Roman" w:eastAsia="Times New Roman" w:hint="default"/>
                <w:sz w:val="18"/>
                <w:szCs w:val="18"/>
              </w:rPr>
            </w:pPr>
            <w:r>
              <w:rPr>
                <w:rFonts w:ascii="Times New Roman"/>
                <w:sz w:val="18"/>
              </w:rPr>
              <w:t>-13.57%</w:t>
            </w:r>
          </w:p>
        </w:tc>
      </w:tr>
    </w:tbl>
    <w:p>
      <w:pPr>
        <w:pStyle w:val="BodyText"/>
        <w:spacing w:line="240" w:lineRule="auto" w:before="28"/>
        <w:ind w:right="1133"/>
        <w:jc w:val="left"/>
      </w:pPr>
      <w:r>
        <w:rPr/>
        <w:t>注：</w:t>
      </w:r>
    </w:p>
    <w:p>
      <w:pPr>
        <w:pStyle w:val="BodyText"/>
        <w:spacing w:line="240" w:lineRule="auto" w:before="75"/>
        <w:ind w:right="1133"/>
        <w:jc w:val="left"/>
      </w:pPr>
      <w:r>
        <w:rPr/>
        <w:t>（</w:t>
      </w:r>
      <w:r>
        <w:rPr>
          <w:rFonts w:ascii="Times New Roman" w:hAnsi="Times New Roman" w:cs="Times New Roman" w:eastAsia="Times New Roman" w:hint="default"/>
        </w:rPr>
        <w:t>1</w:t>
      </w:r>
      <w:r>
        <w:rPr/>
        <w:t>）酒店信息系统业务的大额订单是指</w:t>
      </w:r>
      <w:r>
        <w:rPr>
          <w:spacing w:val="-56"/>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万元以上合同；</w:t>
      </w:r>
    </w:p>
    <w:p>
      <w:pPr>
        <w:pStyle w:val="BodyText"/>
        <w:spacing w:line="240" w:lineRule="auto" w:before="62"/>
        <w:ind w:right="1133"/>
        <w:jc w:val="left"/>
      </w:pPr>
      <w:r>
        <w:rPr/>
        <w:t>（</w:t>
      </w:r>
      <w:r>
        <w:rPr>
          <w:rFonts w:ascii="Times New Roman" w:hAnsi="Times New Roman" w:cs="Times New Roman" w:eastAsia="Times New Roman" w:hint="default"/>
        </w:rPr>
        <w:t>2</w:t>
      </w:r>
      <w:r>
        <w:rPr/>
        <w:t>）社会餐饮信息系统业务的大额订单是指</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万元以上合同；</w:t>
      </w:r>
    </w:p>
    <w:p>
      <w:pPr>
        <w:pStyle w:val="BodyText"/>
        <w:spacing w:line="240" w:lineRule="auto" w:before="62"/>
        <w:ind w:right="1133"/>
        <w:jc w:val="left"/>
      </w:pPr>
      <w:r>
        <w:rPr/>
        <w:t>（</w:t>
      </w:r>
      <w:r>
        <w:rPr>
          <w:rFonts w:ascii="Times New Roman" w:hAnsi="Times New Roman" w:cs="Times New Roman" w:eastAsia="Times New Roman" w:hint="default"/>
        </w:rPr>
        <w:t>3</w:t>
      </w:r>
      <w:r>
        <w:rPr/>
        <w:t>）支付系统业务的大额订单是指</w:t>
      </w:r>
      <w:r>
        <w:rPr>
          <w:spacing w:val="-55"/>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万元以上的合同；</w:t>
      </w:r>
    </w:p>
    <w:p>
      <w:pPr>
        <w:pStyle w:val="BodyText"/>
        <w:spacing w:line="240" w:lineRule="auto" w:before="59"/>
        <w:ind w:right="1133"/>
        <w:jc w:val="left"/>
      </w:pPr>
      <w:r>
        <w:rPr/>
        <w:t>（</w:t>
      </w:r>
      <w:r>
        <w:rPr>
          <w:rFonts w:ascii="Times New Roman" w:hAnsi="Times New Roman" w:cs="Times New Roman" w:eastAsia="Times New Roman" w:hint="default"/>
        </w:rPr>
        <w:t>4</w:t>
      </w:r>
      <w:r>
        <w:rPr/>
        <w:t>）商业流通管理系统业务的大额订单是指</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万元以上的合同；</w:t>
      </w:r>
    </w:p>
    <w:p>
      <w:pPr>
        <w:pStyle w:val="BodyText"/>
        <w:spacing w:line="240" w:lineRule="auto" w:before="62"/>
        <w:ind w:right="1133"/>
        <w:jc w:val="left"/>
      </w:pPr>
      <w:r>
        <w:rPr/>
        <w:t>（</w:t>
      </w:r>
      <w:r>
        <w:rPr>
          <w:rFonts w:ascii="Times New Roman" w:hAnsi="Times New Roman" w:cs="Times New Roman" w:eastAsia="Times New Roman" w:hint="default"/>
        </w:rPr>
        <w:t>5</w:t>
      </w:r>
      <w:r>
        <w:rPr/>
        <w:t>）旅游休闲系统业务的大额订单是指</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万元以上的合同；</w:t>
      </w:r>
    </w:p>
    <w:p>
      <w:pPr>
        <w:pStyle w:val="BodyText"/>
        <w:spacing w:line="290" w:lineRule="auto" w:before="62"/>
        <w:ind w:right="5091"/>
        <w:jc w:val="left"/>
      </w:pPr>
      <w:r>
        <w:rPr/>
        <w:t>（</w:t>
      </w:r>
      <w:r>
        <w:rPr>
          <w:rFonts w:ascii="Times New Roman" w:hAnsi="Times New Roman" w:cs="Times New Roman" w:eastAsia="Times New Roman" w:hint="default"/>
        </w:rPr>
        <w:t>6</w:t>
      </w:r>
      <w:r>
        <w:rPr/>
        <w:t>）第三方硬件配套业务的大额订单是</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万元以上的合同。</w:t>
      </w:r>
      <w:r>
        <w:rPr>
          <w:w w:val="100"/>
        </w:rPr>
        <w:t> </w:t>
      </w:r>
      <w:r>
        <w:rPr/>
        <w:t>说明：</w:t>
      </w:r>
    </w:p>
    <w:p>
      <w:pPr>
        <w:pStyle w:val="BodyText"/>
        <w:spacing w:line="264" w:lineRule="auto" w:before="34"/>
        <w:ind w:right="1126" w:firstLine="420"/>
        <w:jc w:val="both"/>
      </w:pPr>
      <w:r>
        <w:rPr>
          <w:rFonts w:ascii="Times New Roman" w:hAnsi="Times New Roman" w:cs="Times New Roman" w:eastAsia="Times New Roman" w:hint="default"/>
        </w:rPr>
        <w:t>1</w:t>
      </w:r>
      <w:r>
        <w:rPr/>
        <w:t>、支付业务系统大额订单总额下降</w:t>
      </w:r>
      <w:r>
        <w:rPr>
          <w:spacing w:val="-35"/>
        </w:rPr>
        <w:t> </w:t>
      </w:r>
      <w:r>
        <w:rPr>
          <w:rFonts w:ascii="Times New Roman" w:hAnsi="Times New Roman" w:cs="Times New Roman" w:eastAsia="Times New Roman" w:hint="default"/>
        </w:rPr>
        <w:t>47.11%,</w:t>
      </w:r>
      <w:r>
        <w:rPr/>
        <w:t>主要是</w:t>
      </w:r>
      <w:r>
        <w:rPr>
          <w:spacing w:val="-3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8"/>
        </w:rPr>
        <w:t> </w:t>
      </w:r>
      <w:r>
        <w:rPr/>
        <w:t>年支付系统业务南京银石减少了第三方硬件</w:t>
      </w:r>
      <w:r>
        <w:rPr>
          <w:w w:val="100"/>
        </w:rPr>
        <w:t> </w:t>
      </w:r>
      <w:r>
        <w:rPr>
          <w:spacing w:val="-2"/>
        </w:rPr>
        <w:t>订单的签订数量和金额，另外有两笔金额较大的软件及维护合同，由于银行方面签订流程原因，导致延迟</w:t>
      </w:r>
      <w:r>
        <w:rPr>
          <w:spacing w:val="-43"/>
        </w:rPr>
        <w:t> </w:t>
      </w:r>
      <w:r>
        <w:rPr>
          <w:spacing w:val="-43"/>
        </w:rPr>
      </w:r>
      <w:r>
        <w:rPr/>
        <w:t>到</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年完成签订，影响了大额订单的金额。</w:t>
      </w:r>
    </w:p>
    <w:p>
      <w:pPr>
        <w:pStyle w:val="BodyText"/>
        <w:spacing w:line="256" w:lineRule="auto" w:before="39"/>
        <w:ind w:right="1131" w:firstLine="420"/>
        <w:jc w:val="both"/>
      </w:pPr>
      <w:r>
        <w:rPr>
          <w:rFonts w:ascii="Times New Roman" w:hAnsi="Times New Roman" w:cs="Times New Roman" w:eastAsia="Times New Roman" w:hint="default"/>
        </w:rPr>
        <w:t>2</w:t>
      </w:r>
      <w:r>
        <w:rPr/>
        <w:t>、社会餐饮信息系统业务大额订单总额增长</w:t>
      </w:r>
      <w:r>
        <w:rPr>
          <w:spacing w:val="-52"/>
        </w:rPr>
        <w:t> </w:t>
      </w:r>
      <w:r>
        <w:rPr>
          <w:rFonts w:ascii="Times New Roman" w:hAnsi="Times New Roman" w:cs="Times New Roman" w:eastAsia="Times New Roman" w:hint="default"/>
        </w:rPr>
        <w:t>120.14%</w:t>
      </w:r>
      <w:r>
        <w:rPr/>
        <w:t>，主要是由于星巴克在</w:t>
      </w:r>
      <w:r>
        <w:rPr>
          <w:spacing w:val="-52"/>
        </w:rPr>
        <w:t> </w:t>
      </w:r>
      <w:r>
        <w:rPr>
          <w:rFonts w:ascii="Times New Roman" w:hAnsi="Times New Roman" w:cs="Times New Roman" w:eastAsia="Times New Roman" w:hint="default"/>
        </w:rPr>
        <w:t>2018 </w:t>
      </w:r>
      <w:r>
        <w:rPr/>
        <w:t>年集中更换了原统</w:t>
      </w:r>
      <w:r>
        <w:rPr>
          <w:w w:val="100"/>
        </w:rPr>
        <w:t> </w:t>
      </w:r>
      <w:r>
        <w:rPr/>
        <w:t>一星巴克的所有门店的系统，由公司提供产品和服务。</w:t>
      </w:r>
    </w:p>
    <w:p>
      <w:pPr>
        <w:pStyle w:val="BodyText"/>
        <w:spacing w:line="256" w:lineRule="auto" w:before="61"/>
        <w:ind w:right="1126" w:firstLine="420"/>
        <w:jc w:val="both"/>
      </w:pPr>
      <w:r>
        <w:rPr>
          <w:rFonts w:ascii="Times New Roman" w:hAnsi="Times New Roman" w:cs="Times New Roman" w:eastAsia="Times New Roman" w:hint="default"/>
        </w:rPr>
        <w:t>3</w:t>
      </w:r>
      <w:r>
        <w:rPr/>
        <w:t>、旅游休闲系统业务大额订单总额增长</w:t>
      </w:r>
      <w:r>
        <w:rPr>
          <w:spacing w:val="-52"/>
        </w:rPr>
        <w:t> </w:t>
      </w:r>
      <w:r>
        <w:rPr>
          <w:rFonts w:ascii="Times New Roman" w:hAnsi="Times New Roman" w:cs="Times New Roman" w:eastAsia="Times New Roman" w:hint="default"/>
        </w:rPr>
        <w:t>30.03%</w:t>
      </w:r>
      <w:r>
        <w:rPr/>
        <w:t>，主要是本年银科环企比上年同期增加</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个月的订单</w:t>
      </w:r>
      <w:r>
        <w:rPr>
          <w:w w:val="100"/>
        </w:rPr>
        <w:t> </w:t>
      </w:r>
      <w:r>
        <w:rPr/>
        <w:t>合同量所致</w:t>
      </w:r>
    </w:p>
    <w:p>
      <w:pPr>
        <w:spacing w:line="240" w:lineRule="auto" w:before="9"/>
        <w:rPr>
          <w:rFonts w:ascii="宋体" w:hAnsi="宋体" w:cs="宋体" w:eastAsia="宋体" w:hint="default"/>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40" w:lineRule="auto" w:before="44"/>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474,959,142.53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257,088,719.66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84.75%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209,703,965.52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205,513,086.00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商品批发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1,017,187,612.43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1,173,287,740.95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5"/>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277"/>
        <w:gridCol w:w="1274"/>
        <w:gridCol w:w="1419"/>
        <w:gridCol w:w="1277"/>
        <w:gridCol w:w="1417"/>
        <w:gridCol w:w="924"/>
      </w:tblGrid>
      <w:tr>
        <w:trPr>
          <w:trHeight w:val="401"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2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系统集成成本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474,959,142.53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257,088,719.66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15.68%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84.75%</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209,703,965.52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205,513,086.00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12.53%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5"/>
        <w:gridCol w:w="1277"/>
        <w:gridCol w:w="1274"/>
        <w:gridCol w:w="1419"/>
        <w:gridCol w:w="1277"/>
        <w:gridCol w:w="1417"/>
        <w:gridCol w:w="924"/>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1,122,586.78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609,522.34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84.17%</w:t>
            </w: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商品批发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1,017,187,612.4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1,173,287,740.9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71.56%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13.30%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3,563,521.89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3,030,450.51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17.59%</w:t>
            </w:r>
          </w:p>
        </w:tc>
      </w:tr>
    </w:tbl>
    <w:p>
      <w:pPr>
        <w:spacing w:before="49"/>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6"/>
        <w:gridCol w:w="1561"/>
        <w:gridCol w:w="1495"/>
        <w:gridCol w:w="1498"/>
        <w:gridCol w:w="1496"/>
        <w:gridCol w:w="1056"/>
      </w:tblGrid>
      <w:tr>
        <w:trPr>
          <w:trHeight w:val="402" w:hRule="exact"/>
        </w:trPr>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产品分类</w:t>
            </w:r>
          </w:p>
        </w:tc>
        <w:tc>
          <w:tcPr>
            <w:tcW w:w="30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6"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05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酒店信息管理系统业务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347,968,859.72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20.39%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245,924,443.87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41.49%</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社会餐饮信息管理系统业务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28,310,610.29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1.66%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24,699,138.60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14.62%</w:t>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支付系统业务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18,285,070.55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16,394,149.19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11.53%</w:t>
            </w: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商业流通系统业务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196,766,701.52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11.53%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170,515,261.95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10.40%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15.40%</w:t>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旅游休闲系统业务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12,620,079.90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4,026,521.45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213.42%</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第三方硬件配套业务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1,097,899,398.50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64.33%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1,174,330,031.55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71.63%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-6.51%</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4,686,108.67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3,639,972.85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28.74%</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说明</w:t>
      </w:r>
    </w:p>
    <w:p>
      <w:pPr>
        <w:pStyle w:val="BodyText"/>
        <w:spacing w:line="256" w:lineRule="auto" w:before="94"/>
        <w:ind w:left="513" w:right="1141" w:hanging="361"/>
        <w:jc w:val="left"/>
      </w:pPr>
      <w:r>
        <w:rPr>
          <w:rFonts w:ascii="宋体" w:hAnsi="宋体" w:cs="宋体" w:eastAsia="宋体" w:hint="default"/>
        </w:rPr>
        <w:t>1.</w:t>
      </w:r>
      <w:r>
        <w:rPr>
          <w:rFonts w:ascii="宋体" w:hAnsi="宋体" w:cs="宋体" w:eastAsia="宋体" w:hint="default"/>
          <w:spacing w:val="40"/>
        </w:rPr>
        <w:t> </w:t>
      </w:r>
      <w:r>
        <w:rPr/>
        <w:t>计算机应用及服务行业系统集成成本本年比上年同期增长</w:t>
      </w:r>
      <w:r>
        <w:rPr>
          <w:rFonts w:ascii="Times New Roman" w:hAnsi="Times New Roman" w:cs="Times New Roman" w:eastAsia="Times New Roman" w:hint="default"/>
        </w:rPr>
        <w:t>84.75%</w:t>
      </w:r>
      <w:r>
        <w:rPr/>
        <w:t>，主要系本年星巴克集中更换了所有</w:t>
      </w:r>
      <w:r>
        <w:rPr>
          <w:w w:val="100"/>
        </w:rPr>
        <w:t> </w:t>
      </w:r>
      <w:r>
        <w:rPr/>
        <w:t>门店系统，形成系统集成订单项目较多所致。</w:t>
      </w:r>
    </w:p>
    <w:p>
      <w:pPr>
        <w:pStyle w:val="BodyText"/>
        <w:spacing w:line="256" w:lineRule="auto" w:before="63"/>
        <w:ind w:left="513" w:right="1141" w:hanging="361"/>
        <w:jc w:val="left"/>
      </w:pPr>
      <w:r>
        <w:rPr>
          <w:rFonts w:ascii="宋体" w:hAnsi="宋体" w:cs="宋体" w:eastAsia="宋体" w:hint="default"/>
        </w:rPr>
        <w:t>2.</w:t>
      </w:r>
      <w:r>
        <w:rPr>
          <w:rFonts w:ascii="宋体" w:hAnsi="宋体" w:cs="宋体" w:eastAsia="宋体" w:hint="default"/>
          <w:spacing w:val="40"/>
        </w:rPr>
        <w:t> </w:t>
      </w:r>
      <w:r>
        <w:rPr/>
        <w:t>计算机应用及服务行业其他业务成本本年比上年同期增长</w:t>
      </w:r>
      <w:r>
        <w:rPr>
          <w:rFonts w:ascii="Times New Roman" w:hAnsi="Times New Roman" w:cs="Times New Roman" w:eastAsia="Times New Roman" w:hint="default"/>
        </w:rPr>
        <w:t>84.17%</w:t>
      </w:r>
      <w:r>
        <w:rPr/>
        <w:t>，主要系本年聘请房屋中介的服务费</w:t>
      </w:r>
      <w:r>
        <w:rPr>
          <w:w w:val="100"/>
        </w:rPr>
        <w:t> </w:t>
      </w:r>
      <w:r>
        <w:rPr/>
        <w:t>增加较大所致。</w:t>
      </w:r>
    </w:p>
    <w:p>
      <w:pPr>
        <w:pStyle w:val="BodyText"/>
        <w:spacing w:line="256" w:lineRule="auto" w:before="61"/>
        <w:ind w:left="513" w:right="1142" w:hanging="361"/>
        <w:jc w:val="left"/>
      </w:pPr>
      <w:r>
        <w:rPr>
          <w:rFonts w:ascii="宋体" w:hAnsi="宋体" w:cs="宋体" w:eastAsia="宋体" w:hint="default"/>
        </w:rPr>
        <w:t>3.</w:t>
      </w:r>
      <w:r>
        <w:rPr>
          <w:rFonts w:ascii="宋体" w:hAnsi="宋体" w:cs="宋体" w:eastAsia="宋体" w:hint="default"/>
          <w:spacing w:val="39"/>
        </w:rPr>
        <w:t> </w:t>
      </w:r>
      <w:r>
        <w:rPr/>
        <w:t>酒店信息管理系统业务营业成本本年比上年同期增长</w:t>
      </w:r>
      <w:r>
        <w:rPr>
          <w:rFonts w:ascii="Times New Roman" w:hAnsi="Times New Roman" w:cs="Times New Roman" w:eastAsia="Times New Roman" w:hint="default"/>
        </w:rPr>
        <w:t>41.49%</w:t>
      </w:r>
      <w:r>
        <w:rPr/>
        <w:t>，主要系本年公司境外子公司业务进展较</w:t>
      </w:r>
      <w:r>
        <w:rPr>
          <w:w w:val="100"/>
        </w:rPr>
        <w:t> </w:t>
      </w:r>
      <w:r>
        <w:rPr/>
        <w:t>快，境内酒店业务也有一定幅度的增长，共同导致酒店信息管理系统业务成本增加较大所致。</w:t>
      </w:r>
    </w:p>
    <w:p>
      <w:pPr>
        <w:spacing w:after="0" w:line="256" w:lineRule="auto"/>
        <w:jc w:val="left"/>
        <w:sectPr>
          <w:pgSz w:w="11910" w:h="16840"/>
          <w:pgMar w:header="745" w:footer="980" w:top="106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7"/>
        <w:spacing w:line="240" w:lineRule="auto"/>
        <w:ind w:left="140"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21"/>
          <w:szCs w:val="21"/>
        </w:rPr>
      </w:pPr>
    </w:p>
    <w:p>
      <w:pPr>
        <w:pStyle w:val="Heading6"/>
        <w:spacing w:line="240" w:lineRule="auto"/>
        <w:ind w:left="140" w:right="0" w:firstLine="0"/>
        <w:jc w:val="left"/>
      </w:pPr>
      <w:r>
        <w:rPr>
          <w:rFonts w:ascii="宋体" w:hAnsi="宋体" w:cs="宋体" w:eastAsia="宋体" w:hint="default"/>
        </w:rPr>
        <w:t>1.</w:t>
      </w:r>
      <w:r>
        <w:rPr>
          <w:rFonts w:ascii="宋体" w:hAnsi="宋体" w:cs="宋体" w:eastAsia="宋体" w:hint="default"/>
          <w:spacing w:val="31"/>
        </w:rPr>
        <w:t> </w:t>
      </w:r>
      <w:r>
        <w:rPr/>
        <w:t>非同一控制下企业合并</w:t>
      </w:r>
    </w:p>
    <w:p>
      <w:pPr>
        <w:spacing w:line="240" w:lineRule="auto" w:before="13"/>
        <w:rPr>
          <w:rFonts w:ascii="宋体" w:hAnsi="宋体" w:cs="宋体" w:eastAsia="宋体" w:hint="default"/>
          <w:sz w:val="19"/>
          <w:szCs w:val="19"/>
        </w:rPr>
      </w:pPr>
    </w:p>
    <w:p>
      <w:pPr>
        <w:pStyle w:val="Heading6"/>
        <w:spacing w:line="240" w:lineRule="auto"/>
        <w:ind w:left="140" w:right="0" w:firstLine="0"/>
        <w:jc w:val="left"/>
      </w:pPr>
      <w:r>
        <w:rPr/>
        <w:t>（</w:t>
      </w:r>
      <w:r>
        <w:rPr>
          <w:rFonts w:ascii="Times New Roman" w:hAnsi="Times New Roman" w:cs="Times New Roman" w:eastAsia="Times New Roman" w:hint="default"/>
        </w:rPr>
        <w:t>1</w:t>
      </w:r>
      <w:r>
        <w:rPr/>
        <w:t>）本年发生的非同一控制下企业合并</w:t>
      </w:r>
    </w:p>
    <w:p>
      <w:pPr>
        <w:spacing w:line="240" w:lineRule="auto" w:before="5"/>
        <w:rPr>
          <w:rFonts w:ascii="宋体" w:hAnsi="宋体" w:cs="宋体" w:eastAsia="宋体" w:hint="default"/>
          <w:sz w:val="16"/>
          <w:szCs w:val="16"/>
        </w:rPr>
      </w:pPr>
    </w:p>
    <w:p>
      <w:pPr>
        <w:pStyle w:val="Heading6"/>
        <w:spacing w:line="240" w:lineRule="auto" w:before="32"/>
        <w:ind w:left="0" w:right="333" w:firstLine="0"/>
        <w:jc w:val="right"/>
      </w:pPr>
      <w:r>
        <w:rPr/>
        <w:t>单位：元</w:t>
      </w:r>
    </w:p>
    <w:p>
      <w:pPr>
        <w:spacing w:line="240" w:lineRule="auto" w:before="9"/>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1985"/>
        <w:gridCol w:w="1418"/>
        <w:gridCol w:w="1700"/>
        <w:gridCol w:w="1135"/>
        <w:gridCol w:w="850"/>
        <w:gridCol w:w="1136"/>
        <w:gridCol w:w="2410"/>
        <w:gridCol w:w="1702"/>
        <w:gridCol w:w="1841"/>
      </w:tblGrid>
      <w:tr>
        <w:trPr>
          <w:trHeight w:val="661"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被购买方名称</w:t>
            </w:r>
            <w:r>
              <w:rPr>
                <w:rFonts w:ascii="宋体" w:hAnsi="宋体" w:cs="宋体" w:eastAsia="宋体" w:hint="default"/>
                <w:sz w:val="21"/>
                <w:szCs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股权取得时点</w:t>
            </w:r>
            <w:r>
              <w:rPr>
                <w:rFonts w:ascii="宋体" w:hAnsi="宋体" w:cs="宋体" w:eastAsia="宋体" w:hint="default"/>
                <w:sz w:val="21"/>
                <w:szCs w:val="21"/>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股权取得成本</w:t>
            </w:r>
            <w:r>
              <w:rPr>
                <w:rFonts w:ascii="宋体" w:hAnsi="宋体" w:cs="宋体" w:eastAsia="宋体" w:hint="default"/>
                <w:sz w:val="21"/>
                <w:szCs w:val="21"/>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0"/>
              <w:jc w:val="left"/>
              <w:rPr>
                <w:rFonts w:ascii="宋体" w:hAnsi="宋体" w:cs="宋体" w:eastAsia="宋体" w:hint="default"/>
                <w:sz w:val="21"/>
                <w:szCs w:val="21"/>
              </w:rPr>
            </w:pPr>
            <w:r>
              <w:rPr>
                <w:rFonts w:ascii="宋体" w:hAnsi="宋体" w:cs="宋体" w:eastAsia="宋体" w:hint="default"/>
                <w:b/>
                <w:bCs/>
                <w:spacing w:val="13"/>
                <w:sz w:val="21"/>
                <w:szCs w:val="21"/>
              </w:rPr>
              <w:t>股权取得比</w:t>
            </w:r>
            <w:r>
              <w:rPr>
                <w:rFonts w:ascii="宋体" w:hAnsi="宋体" w:cs="宋体" w:eastAsia="宋体" w:hint="default"/>
                <w:b/>
                <w:bCs/>
                <w:spacing w:val="-99"/>
                <w:sz w:val="21"/>
                <w:szCs w:val="21"/>
              </w:rPr>
              <w:t> </w:t>
            </w:r>
            <w:r>
              <w:rPr>
                <w:rFonts w:ascii="宋体" w:hAnsi="宋体" w:cs="宋体" w:eastAsia="宋体" w:hint="default"/>
                <w:b/>
                <w:bCs/>
                <w:sz w:val="21"/>
                <w:szCs w:val="21"/>
              </w:rPr>
              <w:t>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b/>
                <w:bCs/>
                <w:spacing w:val="48"/>
                <w:w w:val="100"/>
                <w:sz w:val="21"/>
                <w:szCs w:val="21"/>
              </w:rPr>
              <w:t>股权</w:t>
            </w:r>
            <w:r>
              <w:rPr>
                <w:rFonts w:ascii="宋体" w:hAnsi="宋体" w:cs="宋体" w:eastAsia="宋体" w:hint="default"/>
                <w:b/>
                <w:bCs/>
                <w:spacing w:val="-7"/>
                <w:w w:val="100"/>
                <w:sz w:val="21"/>
                <w:szCs w:val="21"/>
              </w:rPr>
              <w:t> </w:t>
            </w:r>
            <w:r>
              <w:rPr>
                <w:rFonts w:ascii="宋体" w:hAnsi="宋体" w:cs="宋体" w:eastAsia="宋体" w:hint="default"/>
                <w:b/>
                <w:bCs/>
                <w:w w:val="100"/>
                <w:sz w:val="21"/>
                <w:szCs w:val="21"/>
              </w:rPr>
              <w:t>取</w:t>
            </w:r>
            <w:r>
              <w:rPr>
                <w:rFonts w:ascii="宋体" w:hAnsi="宋体" w:cs="宋体" w:eastAsia="宋体" w:hint="default"/>
                <w:b/>
                <w:bCs/>
                <w:w w:val="100"/>
                <w:sz w:val="21"/>
                <w:szCs w:val="21"/>
              </w:rPr>
              <w:t> </w:t>
            </w:r>
            <w:r>
              <w:rPr>
                <w:rFonts w:ascii="宋体" w:hAnsi="宋体" w:cs="宋体" w:eastAsia="宋体" w:hint="default"/>
                <w:b/>
                <w:bCs/>
                <w:sz w:val="21"/>
                <w:szCs w:val="21"/>
              </w:rPr>
              <w:t>得方式</w:t>
            </w:r>
            <w:r>
              <w:rPr>
                <w:rFonts w:ascii="宋体" w:hAnsi="宋体" w:cs="宋体" w:eastAsia="宋体" w:hint="default"/>
                <w:sz w:val="21"/>
                <w:szCs w:val="21"/>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购买日的确定依据</w:t>
            </w:r>
            <w:r>
              <w:rPr>
                <w:rFonts w:ascii="宋体" w:hAnsi="宋体" w:cs="宋体" w:eastAsia="宋体" w:hint="default"/>
                <w:sz w:val="21"/>
                <w:szCs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b/>
                <w:bCs/>
                <w:sz w:val="21"/>
                <w:szCs w:val="21"/>
              </w:rPr>
              <w:t>购</w:t>
            </w:r>
            <w:r>
              <w:rPr>
                <w:rFonts w:ascii="宋体" w:hAnsi="宋体" w:cs="宋体" w:eastAsia="宋体" w:hint="default"/>
                <w:b/>
                <w:bCs/>
                <w:spacing w:val="-73"/>
                <w:sz w:val="21"/>
                <w:szCs w:val="21"/>
              </w:rPr>
              <w:t> </w:t>
            </w:r>
            <w:r>
              <w:rPr>
                <w:rFonts w:ascii="宋体" w:hAnsi="宋体" w:cs="宋体" w:eastAsia="宋体" w:hint="default"/>
                <w:b/>
                <w:bCs/>
                <w:sz w:val="21"/>
                <w:szCs w:val="21"/>
              </w:rPr>
              <w:t>买</w:t>
            </w:r>
            <w:r>
              <w:rPr>
                <w:rFonts w:ascii="宋体" w:hAnsi="宋体" w:cs="宋体" w:eastAsia="宋体" w:hint="default"/>
                <w:b/>
                <w:bCs/>
                <w:spacing w:val="-73"/>
                <w:sz w:val="21"/>
                <w:szCs w:val="21"/>
              </w:rPr>
              <w:t> </w:t>
            </w:r>
            <w:r>
              <w:rPr>
                <w:rFonts w:ascii="宋体" w:hAnsi="宋体" w:cs="宋体" w:eastAsia="宋体" w:hint="default"/>
                <w:b/>
                <w:bCs/>
                <w:sz w:val="21"/>
                <w:szCs w:val="21"/>
              </w:rPr>
              <w:t>日</w:t>
            </w:r>
            <w:r>
              <w:rPr>
                <w:rFonts w:ascii="宋体" w:hAnsi="宋体" w:cs="宋体" w:eastAsia="宋体" w:hint="default"/>
                <w:b/>
                <w:bCs/>
                <w:spacing w:val="-73"/>
                <w:sz w:val="21"/>
                <w:szCs w:val="21"/>
              </w:rPr>
              <w:t> </w:t>
            </w:r>
            <w:r>
              <w:rPr>
                <w:rFonts w:ascii="宋体" w:hAnsi="宋体" w:cs="宋体" w:eastAsia="宋体" w:hint="default"/>
                <w:b/>
                <w:bCs/>
                <w:sz w:val="21"/>
                <w:szCs w:val="21"/>
              </w:rPr>
              <w:t>至</w:t>
            </w:r>
            <w:r>
              <w:rPr>
                <w:rFonts w:ascii="宋体" w:hAnsi="宋体" w:cs="宋体" w:eastAsia="宋体" w:hint="default"/>
                <w:b/>
                <w:bCs/>
                <w:spacing w:val="-71"/>
                <w:sz w:val="21"/>
                <w:szCs w:val="21"/>
              </w:rPr>
              <w:t> </w:t>
            </w:r>
            <w:r>
              <w:rPr>
                <w:rFonts w:ascii="宋体" w:hAnsi="宋体" w:cs="宋体" w:eastAsia="宋体" w:hint="default"/>
                <w:b/>
                <w:bCs/>
                <w:sz w:val="21"/>
                <w:szCs w:val="21"/>
              </w:rPr>
              <w:t>年</w:t>
            </w:r>
            <w:r>
              <w:rPr>
                <w:rFonts w:ascii="宋体" w:hAnsi="宋体" w:cs="宋体" w:eastAsia="宋体" w:hint="default"/>
                <w:b/>
                <w:bCs/>
                <w:spacing w:val="-73"/>
                <w:sz w:val="21"/>
                <w:szCs w:val="21"/>
              </w:rPr>
              <w:t> </w:t>
            </w:r>
            <w:r>
              <w:rPr>
                <w:rFonts w:ascii="宋体" w:hAnsi="宋体" w:cs="宋体" w:eastAsia="宋体" w:hint="default"/>
                <w:b/>
                <w:bCs/>
                <w:sz w:val="21"/>
                <w:szCs w:val="21"/>
              </w:rPr>
              <w:t>末</w:t>
            </w:r>
            <w:r>
              <w:rPr>
                <w:rFonts w:ascii="宋体" w:hAnsi="宋体" w:cs="宋体" w:eastAsia="宋体" w:hint="default"/>
                <w:b/>
                <w:bCs/>
                <w:spacing w:val="-73"/>
                <w:sz w:val="21"/>
                <w:szCs w:val="21"/>
              </w:rPr>
              <w:t> </w:t>
            </w:r>
            <w:r>
              <w:rPr>
                <w:rFonts w:ascii="宋体" w:hAnsi="宋体" w:cs="宋体" w:eastAsia="宋体" w:hint="default"/>
                <w:b/>
                <w:bCs/>
                <w:sz w:val="21"/>
                <w:szCs w:val="21"/>
              </w:rPr>
              <w:t>被</w:t>
            </w:r>
            <w:r>
              <w:rPr>
                <w:rFonts w:ascii="宋体" w:hAnsi="宋体" w:cs="宋体" w:eastAsia="宋体" w:hint="default"/>
                <w:b/>
                <w:bCs/>
                <w:w w:val="100"/>
                <w:sz w:val="21"/>
                <w:szCs w:val="21"/>
              </w:rPr>
              <w:t> </w:t>
            </w:r>
            <w:r>
              <w:rPr>
                <w:rFonts w:ascii="宋体" w:hAnsi="宋体" w:cs="宋体" w:eastAsia="宋体" w:hint="default"/>
                <w:b/>
                <w:bCs/>
                <w:sz w:val="21"/>
                <w:szCs w:val="21"/>
              </w:rPr>
              <w:t>购买方的收入</w:t>
            </w:r>
            <w:r>
              <w:rPr>
                <w:rFonts w:ascii="宋体" w:hAnsi="宋体" w:cs="宋体" w:eastAsia="宋体" w:hint="default"/>
                <w:sz w:val="21"/>
                <w:szCs w:val="21"/>
              </w:rPr>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0"/>
              <w:jc w:val="left"/>
              <w:rPr>
                <w:rFonts w:ascii="宋体" w:hAnsi="宋体" w:cs="宋体" w:eastAsia="宋体" w:hint="default"/>
                <w:sz w:val="21"/>
                <w:szCs w:val="21"/>
              </w:rPr>
            </w:pPr>
            <w:r>
              <w:rPr>
                <w:rFonts w:ascii="宋体" w:hAnsi="宋体" w:cs="宋体" w:eastAsia="宋体" w:hint="default"/>
                <w:b/>
                <w:bCs/>
                <w:spacing w:val="15"/>
                <w:sz w:val="21"/>
                <w:szCs w:val="21"/>
              </w:rPr>
              <w:t>购买日至年末被购</w:t>
            </w:r>
            <w:r>
              <w:rPr>
                <w:rFonts w:ascii="宋体" w:hAnsi="宋体" w:cs="宋体" w:eastAsia="宋体" w:hint="default"/>
                <w:b/>
                <w:bCs/>
                <w:spacing w:val="-90"/>
                <w:sz w:val="21"/>
                <w:szCs w:val="21"/>
              </w:rPr>
              <w:t> </w:t>
            </w:r>
            <w:r>
              <w:rPr>
                <w:rFonts w:ascii="宋体" w:hAnsi="宋体" w:cs="宋体" w:eastAsia="宋体" w:hint="default"/>
                <w:b/>
                <w:bCs/>
                <w:sz w:val="21"/>
                <w:szCs w:val="21"/>
              </w:rPr>
              <w:t>买方的净利润</w:t>
            </w:r>
            <w:r>
              <w:rPr>
                <w:rFonts w:ascii="宋体" w:hAnsi="宋体" w:cs="宋体" w:eastAsia="宋体" w:hint="default"/>
                <w:sz w:val="21"/>
                <w:szCs w:val="21"/>
              </w:rPr>
            </w:r>
          </w:p>
        </w:tc>
      </w:tr>
      <w:tr>
        <w:trPr>
          <w:trHeight w:val="346"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Stayntouch</w:t>
            </w:r>
            <w:r>
              <w:rPr>
                <w:rFonts w:ascii="Times New Roman"/>
                <w:spacing w:val="-4"/>
                <w:sz w:val="21"/>
              </w:rPr>
              <w:t> </w:t>
            </w:r>
            <w:r>
              <w:rPr>
                <w:rFonts w:ascii="Times New Roman"/>
                <w:sz w:val="21"/>
              </w:rPr>
              <w:t>Inc</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2018.9.13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241,239,612.43</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收购</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2018.9.13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合约</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11,665,761.61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-11,327,890.06</w:t>
            </w:r>
          </w:p>
        </w:tc>
      </w:tr>
      <w:tr>
        <w:trPr>
          <w:trHeight w:val="97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tabs>
                <w:tab w:pos="1687" w:val="left" w:leader="none"/>
              </w:tabs>
              <w:spacing w:line="309" w:lineRule="auto" w:before="46"/>
              <w:ind w:left="2" w:right="0"/>
              <w:jc w:val="left"/>
              <w:rPr>
                <w:rFonts w:ascii="Times New Roman" w:hAnsi="Times New Roman" w:cs="Times New Roman" w:eastAsia="Times New Roman" w:hint="default"/>
                <w:sz w:val="21"/>
                <w:szCs w:val="21"/>
              </w:rPr>
            </w:pPr>
            <w:r>
              <w:rPr>
                <w:rFonts w:ascii="Times New Roman" w:hAnsi="Times New Roman"/>
                <w:sz w:val="21"/>
              </w:rPr>
              <w:t>CONCEPTEK-</w:t>
            </w:r>
            <w:r>
              <w:rPr>
                <w:rFonts w:ascii="Times New Roman" w:hAnsi="Times New Roman"/>
                <w:w w:val="100"/>
                <w:sz w:val="21"/>
              </w:rPr>
              <w:t> </w:t>
            </w:r>
            <w:r>
              <w:rPr>
                <w:rFonts w:ascii="Times New Roman" w:hAnsi="Times New Roman"/>
                <w:spacing w:val="-1"/>
                <w:sz w:val="21"/>
              </w:rPr>
              <w:t>SISTEMAS</w:t>
              <w:tab/>
            </w:r>
            <w:r>
              <w:rPr>
                <w:rFonts w:ascii="Times New Roman" w:hAnsi="Times New Roman"/>
                <w:sz w:val="21"/>
              </w:rPr>
              <w:t>DE</w:t>
            </w:r>
            <w:r>
              <w:rPr>
                <w:rFonts w:ascii="Times New Roman" w:hAnsi="Times New Roman"/>
                <w:w w:val="100"/>
                <w:sz w:val="21"/>
              </w:rPr>
              <w:t> </w:t>
            </w:r>
            <w:r>
              <w:rPr>
                <w:rFonts w:ascii="Times New Roman" w:hAnsi="Times New Roman"/>
                <w:sz w:val="21"/>
              </w:rPr>
              <w:t>INFORMAÇÃO</w:t>
            </w:r>
            <w:r>
              <w:rPr>
                <w:rFonts w:ascii="Times New Roman" w:hAnsi="Times New Roman"/>
                <w:spacing w:val="-5"/>
                <w:sz w:val="21"/>
              </w:rPr>
              <w:t> </w:t>
            </w:r>
            <w:r>
              <w:rPr>
                <w:rFonts w:ascii="Times New Roman" w:hAnsi="Times New Roman"/>
                <w:sz w:val="21"/>
              </w:rPr>
              <w:t>S.A.</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2018.8.30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 w:right="0"/>
              <w:jc w:val="left"/>
              <w:rPr>
                <w:rFonts w:ascii="Times New Roman" w:hAnsi="Times New Roman" w:cs="Times New Roman" w:eastAsia="Times New Roman" w:hint="default"/>
                <w:sz w:val="22"/>
                <w:szCs w:val="22"/>
              </w:rPr>
            </w:pPr>
            <w:r>
              <w:rPr>
                <w:rFonts w:ascii="Times New Roman"/>
                <w:sz w:val="22"/>
              </w:rPr>
              <w:t>37,752,058.48</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收购</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2018.8.30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合约</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2,731,171.37</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-361,652.71</w:t>
            </w:r>
          </w:p>
        </w:tc>
      </w:tr>
      <w:tr>
        <w:trPr>
          <w:trHeight w:val="65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5"/>
                <w:sz w:val="21"/>
                <w:szCs w:val="21"/>
              </w:rPr>
              <w:t>广州合光信息技术有</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2018.5.9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19,160,000.00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2018.5.9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8"/>
              <w:jc w:val="left"/>
              <w:rPr>
                <w:rFonts w:ascii="宋体" w:hAnsi="宋体" w:cs="宋体" w:eastAsia="宋体" w:hint="default"/>
                <w:sz w:val="21"/>
                <w:szCs w:val="21"/>
              </w:rPr>
            </w:pPr>
            <w:r>
              <w:rPr>
                <w:rFonts w:ascii="宋体" w:hAnsi="宋体" w:cs="宋体" w:eastAsia="宋体" w:hint="default"/>
                <w:spacing w:val="5"/>
                <w:sz w:val="21"/>
                <w:szCs w:val="21"/>
              </w:rPr>
              <w:t>股权实际交割、并且已办</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理完成工商变更登记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4,438,444.43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238,247.45</w:t>
            </w:r>
          </w:p>
        </w:tc>
      </w:tr>
      <w:tr>
        <w:trPr>
          <w:trHeight w:val="66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5"/>
                <w:sz w:val="21"/>
                <w:szCs w:val="21"/>
              </w:rPr>
              <w:t>南京客至软件有限公</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1"/>
                <w:szCs w:val="21"/>
              </w:rPr>
            </w:pPr>
            <w:r>
              <w:rPr>
                <w:rFonts w:ascii="Times New Roman"/>
                <w:sz w:val="21"/>
              </w:rPr>
              <w:t>2018.7.31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1"/>
                <w:szCs w:val="21"/>
              </w:rPr>
            </w:pPr>
            <w:r>
              <w:rPr>
                <w:rFonts w:ascii="Times New Roman"/>
                <w:sz w:val="21"/>
              </w:rPr>
              <w:t>12,400,000.00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1"/>
                <w:szCs w:val="21"/>
              </w:rPr>
            </w:pPr>
            <w:r>
              <w:rPr>
                <w:rFonts w:ascii="Times New Roman"/>
                <w:sz w:val="21"/>
              </w:rPr>
              <w:t>55.00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1"/>
                <w:szCs w:val="21"/>
              </w:rPr>
            </w:pPr>
            <w:r>
              <w:rPr>
                <w:rFonts w:ascii="Times New Roman"/>
                <w:sz w:val="21"/>
              </w:rPr>
              <w:t>2018.7.31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8"/>
              <w:jc w:val="left"/>
              <w:rPr>
                <w:rFonts w:ascii="宋体" w:hAnsi="宋体" w:cs="宋体" w:eastAsia="宋体" w:hint="default"/>
                <w:sz w:val="21"/>
                <w:szCs w:val="21"/>
              </w:rPr>
            </w:pPr>
            <w:r>
              <w:rPr>
                <w:rFonts w:ascii="宋体" w:hAnsi="宋体" w:cs="宋体" w:eastAsia="宋体" w:hint="default"/>
                <w:spacing w:val="5"/>
                <w:sz w:val="21"/>
                <w:szCs w:val="21"/>
              </w:rPr>
              <w:t>股权实际交割、并且已办</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理完成工商变更登记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1"/>
                <w:szCs w:val="21"/>
              </w:rPr>
            </w:pPr>
            <w:r>
              <w:rPr>
                <w:rFonts w:ascii="Times New Roman"/>
                <w:sz w:val="21"/>
              </w:rPr>
              <w:t>3,571,644.58</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1"/>
                <w:szCs w:val="21"/>
              </w:rPr>
            </w:pPr>
            <w:r>
              <w:rPr>
                <w:rFonts w:ascii="Times New Roman"/>
                <w:sz w:val="21"/>
              </w:rPr>
              <w:t>-1,568,892.29</w:t>
            </w:r>
          </w:p>
        </w:tc>
      </w:tr>
      <w:tr>
        <w:trPr>
          <w:trHeight w:val="66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5"/>
                <w:sz w:val="21"/>
                <w:szCs w:val="21"/>
              </w:rPr>
              <w:t>北京宝库在线网络技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术有限公司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2018.6.6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60,000,000.00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85.00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2018.6.6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8"/>
              <w:jc w:val="left"/>
              <w:rPr>
                <w:rFonts w:ascii="宋体" w:hAnsi="宋体" w:cs="宋体" w:eastAsia="宋体" w:hint="default"/>
                <w:sz w:val="21"/>
                <w:szCs w:val="21"/>
              </w:rPr>
            </w:pPr>
            <w:r>
              <w:rPr>
                <w:rFonts w:ascii="宋体" w:hAnsi="宋体" w:cs="宋体" w:eastAsia="宋体" w:hint="default"/>
                <w:spacing w:val="5"/>
                <w:sz w:val="21"/>
                <w:szCs w:val="21"/>
              </w:rPr>
              <w:t>股权实际交割、并且已办</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理完成工商变更登记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6,233,227.85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-4,264,532.04</w:t>
            </w:r>
          </w:p>
        </w:tc>
      </w:tr>
    </w:tbl>
    <w:p>
      <w:pPr>
        <w:spacing w:line="240" w:lineRule="auto" w:before="2"/>
        <w:rPr>
          <w:rFonts w:ascii="宋体" w:hAnsi="宋体" w:cs="宋体" w:eastAsia="宋体" w:hint="default"/>
          <w:sz w:val="14"/>
          <w:szCs w:val="14"/>
        </w:rPr>
      </w:pPr>
    </w:p>
    <w:p>
      <w:pPr>
        <w:pStyle w:val="Heading6"/>
        <w:spacing w:line="240" w:lineRule="auto" w:before="32"/>
        <w:ind w:left="140" w:right="0" w:firstLine="0"/>
        <w:jc w:val="left"/>
      </w:pPr>
      <w:r>
        <w:rPr/>
        <w:t>（</w:t>
      </w:r>
      <w:r>
        <w:rPr>
          <w:rFonts w:ascii="Times New Roman" w:hAnsi="Times New Roman" w:cs="Times New Roman" w:eastAsia="Times New Roman" w:hint="default"/>
        </w:rPr>
        <w:t>2</w:t>
      </w:r>
      <w:r>
        <w:rPr/>
        <w:t>）合并成本及商誉</w:t>
      </w:r>
    </w:p>
    <w:p>
      <w:pPr>
        <w:spacing w:line="240" w:lineRule="auto" w:before="5"/>
        <w:rPr>
          <w:rFonts w:ascii="宋体" w:hAnsi="宋体" w:cs="宋体" w:eastAsia="宋体" w:hint="default"/>
          <w:sz w:val="16"/>
          <w:szCs w:val="16"/>
        </w:rPr>
      </w:pPr>
    </w:p>
    <w:p>
      <w:pPr>
        <w:pStyle w:val="Heading6"/>
        <w:spacing w:line="240" w:lineRule="auto" w:before="32"/>
        <w:ind w:left="0" w:right="333" w:firstLine="0"/>
        <w:jc w:val="right"/>
      </w:pPr>
      <w:r>
        <w:rPr/>
        <w:t>单位：元</w:t>
      </w:r>
    </w:p>
    <w:p>
      <w:pPr>
        <w:spacing w:line="240" w:lineRule="auto" w:before="9"/>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3262"/>
        <w:gridCol w:w="1841"/>
        <w:gridCol w:w="2979"/>
        <w:gridCol w:w="1985"/>
        <w:gridCol w:w="1983"/>
        <w:gridCol w:w="2126"/>
      </w:tblGrid>
      <w:tr>
        <w:trPr>
          <w:trHeight w:val="65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32" w:right="0"/>
              <w:jc w:val="left"/>
              <w:rPr>
                <w:rFonts w:ascii="Times New Roman" w:hAnsi="Times New Roman" w:cs="Times New Roman" w:eastAsia="Times New Roman" w:hint="default"/>
                <w:sz w:val="21"/>
                <w:szCs w:val="21"/>
              </w:rPr>
            </w:pPr>
            <w:r>
              <w:rPr>
                <w:rFonts w:ascii="Times New Roman"/>
                <w:b/>
                <w:sz w:val="21"/>
              </w:rPr>
              <w:t>Stayntouch</w:t>
            </w:r>
            <w:r>
              <w:rPr>
                <w:rFonts w:ascii="Times New Roman"/>
                <w:b/>
                <w:spacing w:val="-1"/>
                <w:sz w:val="21"/>
              </w:rPr>
              <w:t> </w:t>
            </w:r>
            <w:r>
              <w:rPr>
                <w:rFonts w:ascii="Times New Roman"/>
                <w:b/>
                <w:sz w:val="21"/>
              </w:rPr>
              <w:t>Inc</w:t>
            </w:r>
            <w:r>
              <w:rPr>
                <w:rFonts w:ascii="Times New Roman"/>
                <w:sz w:val="21"/>
              </w:rPr>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6"/>
              <w:ind w:left="520" w:right="51" w:hanging="471"/>
              <w:jc w:val="left"/>
              <w:rPr>
                <w:rFonts w:ascii="Times New Roman" w:hAnsi="Times New Roman" w:cs="Times New Roman" w:eastAsia="Times New Roman" w:hint="default"/>
                <w:sz w:val="21"/>
                <w:szCs w:val="21"/>
              </w:rPr>
            </w:pPr>
            <w:r>
              <w:rPr>
                <w:rFonts w:ascii="Times New Roman" w:hAnsi="Times New Roman"/>
                <w:b/>
                <w:sz w:val="21"/>
              </w:rPr>
              <w:t>CONCEPTEK- SISTEMAS</w:t>
            </w:r>
            <w:r>
              <w:rPr>
                <w:rFonts w:ascii="Times New Roman" w:hAnsi="Times New Roman"/>
                <w:b/>
                <w:spacing w:val="-7"/>
                <w:sz w:val="21"/>
              </w:rPr>
              <w:t> </w:t>
            </w:r>
            <w:r>
              <w:rPr>
                <w:rFonts w:ascii="Times New Roman" w:hAnsi="Times New Roman"/>
                <w:b/>
                <w:sz w:val="21"/>
              </w:rPr>
              <w:t>DE</w:t>
            </w:r>
            <w:r>
              <w:rPr>
                <w:rFonts w:ascii="Times New Roman" w:hAnsi="Times New Roman"/>
                <w:b/>
                <w:w w:val="100"/>
                <w:sz w:val="21"/>
              </w:rPr>
              <w:t> </w:t>
            </w:r>
            <w:r>
              <w:rPr>
                <w:rFonts w:ascii="Times New Roman" w:hAnsi="Times New Roman"/>
                <w:b/>
                <w:sz w:val="21"/>
              </w:rPr>
              <w:t>INFORMAÇÃO</w:t>
            </w:r>
            <w:r>
              <w:rPr>
                <w:rFonts w:ascii="Times New Roman" w:hAnsi="Times New Roman"/>
                <w:b/>
                <w:spacing w:val="-4"/>
                <w:sz w:val="21"/>
              </w:rPr>
              <w:t> </w:t>
            </w:r>
            <w:r>
              <w:rPr>
                <w:rFonts w:ascii="Times New Roman" w:hAnsi="Times New Roman"/>
                <w:b/>
                <w:sz w:val="21"/>
              </w:rPr>
              <w:t>S.A.</w:t>
            </w:r>
            <w:r>
              <w:rPr>
                <w:rFonts w:ascii="Times New Roman" w:hAnsi="Times New Roman"/>
                <w:sz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67" w:right="31" w:hanging="632"/>
              <w:jc w:val="left"/>
              <w:rPr>
                <w:rFonts w:ascii="宋体" w:hAnsi="宋体" w:cs="宋体" w:eastAsia="宋体" w:hint="default"/>
                <w:sz w:val="21"/>
                <w:szCs w:val="21"/>
              </w:rPr>
            </w:pPr>
            <w:r>
              <w:rPr>
                <w:rFonts w:ascii="宋体" w:hAnsi="宋体" w:cs="宋体" w:eastAsia="宋体" w:hint="default"/>
                <w:b/>
                <w:bCs/>
                <w:sz w:val="21"/>
                <w:szCs w:val="21"/>
              </w:rPr>
              <w:t>广州合光信息技术有</w:t>
            </w:r>
            <w:r>
              <w:rPr>
                <w:rFonts w:ascii="宋体" w:hAnsi="宋体" w:cs="宋体" w:eastAsia="宋体" w:hint="default"/>
                <w:b/>
                <w:bCs/>
                <w:spacing w:val="-103"/>
                <w:sz w:val="21"/>
                <w:szCs w:val="21"/>
              </w:rPr>
              <w:t> </w:t>
            </w:r>
            <w:r>
              <w:rPr>
                <w:rFonts w:ascii="宋体" w:hAnsi="宋体" w:cs="宋体" w:eastAsia="宋体" w:hint="default"/>
                <w:b/>
                <w:bCs/>
                <w:sz w:val="21"/>
                <w:szCs w:val="21"/>
              </w:rPr>
              <w:t>限公司</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878" w:right="32" w:hanging="845"/>
              <w:jc w:val="left"/>
              <w:rPr>
                <w:rFonts w:ascii="宋体" w:hAnsi="宋体" w:cs="宋体" w:eastAsia="宋体" w:hint="default"/>
                <w:sz w:val="21"/>
                <w:szCs w:val="21"/>
              </w:rPr>
            </w:pPr>
            <w:r>
              <w:rPr>
                <w:rFonts w:ascii="宋体" w:hAnsi="宋体" w:cs="宋体" w:eastAsia="宋体" w:hint="default"/>
                <w:b/>
                <w:bCs/>
                <w:sz w:val="21"/>
                <w:szCs w:val="21"/>
              </w:rPr>
              <w:t>南京客至软件有限公</w:t>
            </w:r>
            <w:r>
              <w:rPr>
                <w:rFonts w:ascii="宋体" w:hAnsi="宋体" w:cs="宋体" w:eastAsia="宋体" w:hint="default"/>
                <w:b/>
                <w:bCs/>
                <w:spacing w:val="-103"/>
                <w:sz w:val="21"/>
                <w:szCs w:val="21"/>
              </w:rPr>
              <w:t> </w:t>
            </w:r>
            <w:r>
              <w:rPr>
                <w:rFonts w:ascii="宋体" w:hAnsi="宋体" w:cs="宋体" w:eastAsia="宋体" w:hint="default"/>
                <w:b/>
                <w:bCs/>
                <w:sz w:val="21"/>
                <w:szCs w:val="21"/>
              </w:rPr>
              <w:t>司</w:t>
            </w:r>
            <w:r>
              <w:rPr>
                <w:rFonts w:ascii="宋体" w:hAnsi="宋体" w:cs="宋体" w:eastAsia="宋体" w:hint="default"/>
                <w:sz w:val="21"/>
                <w:szCs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41" w:right="101" w:hanging="634"/>
              <w:jc w:val="left"/>
              <w:rPr>
                <w:rFonts w:ascii="宋体" w:hAnsi="宋体" w:cs="宋体" w:eastAsia="宋体" w:hint="default"/>
                <w:sz w:val="21"/>
                <w:szCs w:val="21"/>
              </w:rPr>
            </w:pPr>
            <w:r>
              <w:rPr>
                <w:rFonts w:ascii="宋体" w:hAnsi="宋体" w:cs="宋体" w:eastAsia="宋体" w:hint="default"/>
                <w:b/>
                <w:bCs/>
                <w:sz w:val="21"/>
                <w:szCs w:val="21"/>
              </w:rPr>
              <w:t>北京宝库在线技术有</w:t>
            </w:r>
            <w:r>
              <w:rPr>
                <w:rFonts w:ascii="宋体" w:hAnsi="宋体" w:cs="宋体" w:eastAsia="宋体" w:hint="default"/>
                <w:b/>
                <w:bCs/>
                <w:spacing w:val="-103"/>
                <w:sz w:val="21"/>
                <w:szCs w:val="21"/>
              </w:rPr>
              <w:t> </w:t>
            </w:r>
            <w:r>
              <w:rPr>
                <w:rFonts w:ascii="宋体" w:hAnsi="宋体" w:cs="宋体" w:eastAsia="宋体" w:hint="default"/>
                <w:b/>
                <w:bCs/>
                <w:sz w:val="21"/>
                <w:szCs w:val="21"/>
              </w:rPr>
              <w:t>限公司</w:t>
            </w:r>
            <w:r>
              <w:rPr>
                <w:rFonts w:ascii="宋体" w:hAnsi="宋体" w:cs="宋体" w:eastAsia="宋体" w:hint="default"/>
                <w:sz w:val="21"/>
                <w:szCs w:val="21"/>
              </w:rPr>
            </w:r>
          </w:p>
        </w:tc>
      </w:tr>
      <w:tr>
        <w:trPr>
          <w:trHeight w:val="34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208,524,775.03</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37,752,058.48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19,160,000.00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8,400,000.00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60,000,000.00</w:t>
            </w:r>
          </w:p>
        </w:tc>
      </w:tr>
      <w:tr>
        <w:trPr>
          <w:trHeight w:val="34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或有对价的公允价值</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0.00</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4,000,000.00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headerReference w:type="default" r:id="rId14"/>
          <w:footerReference w:type="default" r:id="rId15"/>
          <w:pgSz w:w="16840" w:h="11910" w:orient="landscape"/>
          <w:pgMar w:header="867" w:footer="980" w:top="1060" w:bottom="1160" w:left="1300" w:right="1100"/>
          <w:pgNumType w:start="29"/>
        </w:sectPr>
      </w:pPr>
    </w:p>
    <w:p>
      <w:pPr>
        <w:spacing w:line="240" w:lineRule="auto" w:before="11"/>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262"/>
        <w:gridCol w:w="1841"/>
        <w:gridCol w:w="2979"/>
        <w:gridCol w:w="1985"/>
        <w:gridCol w:w="1983"/>
        <w:gridCol w:w="2126"/>
      </w:tblGrid>
      <w:tr>
        <w:trPr>
          <w:trHeight w:val="675" w:hRule="exact"/>
        </w:trPr>
        <w:tc>
          <w:tcPr>
            <w:tcW w:w="3262" w:type="dxa"/>
            <w:tcBorders>
              <w:top w:val="single" w:sz="17"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pacing w:val="3"/>
                <w:sz w:val="21"/>
                <w:szCs w:val="21"/>
              </w:rPr>
              <w:t>购买日之前持有的股权于购买日的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公允价值</w:t>
            </w:r>
          </w:p>
        </w:tc>
        <w:tc>
          <w:tcPr>
            <w:tcW w:w="184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32,714,837.40</w:t>
            </w:r>
          </w:p>
        </w:tc>
        <w:tc>
          <w:tcPr>
            <w:tcW w:w="2979"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985"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0.00</w:t>
            </w:r>
          </w:p>
        </w:tc>
        <w:tc>
          <w:tcPr>
            <w:tcW w:w="1983"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2126"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0.00</w:t>
            </w:r>
          </w:p>
        </w:tc>
      </w:tr>
      <w:tr>
        <w:trPr>
          <w:trHeight w:val="34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241,239,612.43</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37,752,058.48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19,160,000.00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12,400,000.00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60,000,000.00</w:t>
            </w:r>
          </w:p>
        </w:tc>
      </w:tr>
      <w:tr>
        <w:trPr>
          <w:trHeight w:val="65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pacing w:val="3"/>
                <w:sz w:val="21"/>
                <w:szCs w:val="21"/>
              </w:rPr>
              <w:t>减：取得的可辨认净资产公允价值</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份额</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33,576,561.90</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6,998,620.36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6,510,960.76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7,354,468.87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14,507,274.13</w:t>
            </w:r>
          </w:p>
        </w:tc>
      </w:tr>
      <w:tr>
        <w:trPr>
          <w:trHeight w:val="660"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1"/>
              <w:jc w:val="left"/>
              <w:rPr>
                <w:rFonts w:ascii="宋体" w:hAnsi="宋体" w:cs="宋体" w:eastAsia="宋体" w:hint="default"/>
                <w:sz w:val="21"/>
                <w:szCs w:val="21"/>
              </w:rPr>
            </w:pPr>
            <w:r>
              <w:rPr>
                <w:rFonts w:ascii="宋体" w:hAnsi="宋体" w:cs="宋体" w:eastAsia="宋体" w:hint="default"/>
                <w:sz w:val="21"/>
                <w:szCs w:val="21"/>
              </w:rPr>
              <w:t>商誉</w:t>
            </w:r>
            <w:r>
              <w:rPr>
                <w:rFonts w:ascii="Times New Roman" w:hAnsi="Times New Roman" w:cs="Times New Roman" w:eastAsia="Times New Roman" w:hint="default"/>
                <w:sz w:val="21"/>
                <w:szCs w:val="21"/>
              </w:rPr>
              <w:t>/</w:t>
            </w:r>
            <w:r>
              <w:rPr>
                <w:rFonts w:ascii="宋体" w:hAnsi="宋体" w:cs="宋体" w:eastAsia="宋体" w:hint="default"/>
                <w:sz w:val="21"/>
                <w:szCs w:val="21"/>
              </w:rPr>
              <w:t>合并成本小于取得的可辨认净</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资产公允价值份额的金额</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207,663,050.53</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30,753,438.12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12,649,039.24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5,045,531.13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45,492,725.87</w:t>
            </w:r>
          </w:p>
        </w:tc>
      </w:tr>
    </w:tbl>
    <w:p>
      <w:pPr>
        <w:spacing w:line="240" w:lineRule="auto" w:before="2"/>
        <w:rPr>
          <w:rFonts w:ascii="宋体" w:hAnsi="宋体" w:cs="宋体" w:eastAsia="宋体" w:hint="default"/>
          <w:sz w:val="14"/>
          <w:szCs w:val="14"/>
        </w:rPr>
      </w:pPr>
    </w:p>
    <w:p>
      <w:pPr>
        <w:pStyle w:val="Heading6"/>
        <w:spacing w:line="240" w:lineRule="auto" w:before="32"/>
        <w:ind w:left="120" w:right="0" w:firstLine="0"/>
        <w:jc w:val="left"/>
      </w:pPr>
      <w:r>
        <w:rPr/>
        <w:t>（</w:t>
      </w:r>
      <w:r>
        <w:rPr>
          <w:rFonts w:ascii="Times New Roman" w:hAnsi="Times New Roman" w:cs="Times New Roman" w:eastAsia="Times New Roman" w:hint="default"/>
        </w:rPr>
        <w:t>3</w:t>
      </w:r>
      <w:r>
        <w:rPr/>
        <w:t>）被购买方于购买日可辨认资产、负债</w:t>
      </w:r>
    </w:p>
    <w:p>
      <w:pPr>
        <w:spacing w:line="240" w:lineRule="auto" w:before="6"/>
        <w:rPr>
          <w:rFonts w:ascii="宋体" w:hAnsi="宋体" w:cs="宋体" w:eastAsia="宋体" w:hint="default"/>
          <w:sz w:val="16"/>
          <w:szCs w:val="16"/>
        </w:rPr>
      </w:pPr>
    </w:p>
    <w:p>
      <w:pPr>
        <w:pStyle w:val="Heading6"/>
        <w:spacing w:line="240" w:lineRule="auto" w:before="32"/>
        <w:ind w:left="0" w:right="713" w:firstLine="0"/>
        <w:jc w:val="right"/>
      </w:pPr>
      <w:r>
        <w:rPr/>
        <w:t>单位：元</w:t>
      </w:r>
    </w:p>
    <w:p>
      <w:pPr>
        <w:spacing w:line="240" w:lineRule="auto" w:before="9"/>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308"/>
        <w:gridCol w:w="1375"/>
        <w:gridCol w:w="1330"/>
        <w:gridCol w:w="1330"/>
        <w:gridCol w:w="1344"/>
        <w:gridCol w:w="1274"/>
        <w:gridCol w:w="1260"/>
        <w:gridCol w:w="1301"/>
        <w:gridCol w:w="1316"/>
        <w:gridCol w:w="1315"/>
        <w:gridCol w:w="1397"/>
      </w:tblGrid>
      <w:tr>
        <w:trPr>
          <w:trHeight w:val="660" w:hRule="exact"/>
        </w:trPr>
        <w:tc>
          <w:tcPr>
            <w:tcW w:w="1308" w:type="dxa"/>
            <w:vMerge w:val="restart"/>
            <w:tcBorders>
              <w:top w:val="single" w:sz="6" w:space="0" w:color="000000"/>
              <w:left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70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664" w:right="0"/>
              <w:jc w:val="left"/>
              <w:rPr>
                <w:rFonts w:ascii="Times New Roman" w:hAnsi="Times New Roman" w:cs="Times New Roman" w:eastAsia="Times New Roman" w:hint="default"/>
                <w:sz w:val="21"/>
                <w:szCs w:val="21"/>
              </w:rPr>
            </w:pPr>
            <w:r>
              <w:rPr>
                <w:rFonts w:ascii="Times New Roman"/>
                <w:b/>
                <w:sz w:val="21"/>
              </w:rPr>
              <w:t>Stayntouch</w:t>
            </w:r>
            <w:r>
              <w:rPr>
                <w:rFonts w:ascii="Times New Roman"/>
                <w:b/>
                <w:spacing w:val="-1"/>
                <w:sz w:val="21"/>
              </w:rPr>
              <w:t> </w:t>
            </w:r>
            <w:r>
              <w:rPr>
                <w:rFonts w:ascii="Times New Roman"/>
                <w:b/>
                <w:sz w:val="21"/>
              </w:rPr>
              <w:t>Inc</w:t>
            </w:r>
            <w:r>
              <w:rPr>
                <w:rFonts w:ascii="Times New Roman"/>
                <w:sz w:val="21"/>
              </w:rPr>
            </w:r>
          </w:p>
        </w:tc>
        <w:tc>
          <w:tcPr>
            <w:tcW w:w="2674" w:type="dxa"/>
            <w:gridSpan w:val="2"/>
            <w:tcBorders>
              <w:top w:val="single" w:sz="6" w:space="0" w:color="000000"/>
              <w:left w:val="single" w:sz="6" w:space="0" w:color="000000"/>
              <w:bottom w:val="single" w:sz="6" w:space="0" w:color="000000"/>
              <w:right w:val="single" w:sz="6" w:space="0" w:color="000000"/>
            </w:tcBorders>
          </w:tcPr>
          <w:p>
            <w:pPr>
              <w:pStyle w:val="TableParagraph"/>
              <w:spacing w:line="309" w:lineRule="auto" w:before="46"/>
              <w:ind w:left="196" w:right="72" w:hanging="128"/>
              <w:jc w:val="left"/>
              <w:rPr>
                <w:rFonts w:ascii="Times New Roman" w:hAnsi="Times New Roman" w:cs="Times New Roman" w:eastAsia="Times New Roman" w:hint="default"/>
                <w:sz w:val="21"/>
                <w:szCs w:val="21"/>
              </w:rPr>
            </w:pPr>
            <w:r>
              <w:rPr>
                <w:rFonts w:ascii="Times New Roman" w:hAnsi="Times New Roman"/>
                <w:b/>
                <w:sz w:val="21"/>
              </w:rPr>
              <w:t>CONCEPTEK-</w:t>
            </w:r>
            <w:r>
              <w:rPr>
                <w:rFonts w:ascii="Times New Roman" w:hAnsi="Times New Roman"/>
                <w:b/>
                <w:spacing w:val="-6"/>
                <w:sz w:val="21"/>
              </w:rPr>
              <w:t> </w:t>
            </w:r>
            <w:r>
              <w:rPr>
                <w:rFonts w:ascii="Times New Roman" w:hAnsi="Times New Roman"/>
                <w:b/>
                <w:sz w:val="21"/>
              </w:rPr>
              <w:t>SISTEMAS</w:t>
            </w:r>
            <w:r>
              <w:rPr>
                <w:rFonts w:ascii="Times New Roman" w:hAnsi="Times New Roman"/>
                <w:b/>
                <w:w w:val="100"/>
                <w:sz w:val="21"/>
              </w:rPr>
              <w:t> </w:t>
            </w:r>
            <w:r>
              <w:rPr>
                <w:rFonts w:ascii="Times New Roman" w:hAnsi="Times New Roman"/>
                <w:b/>
                <w:sz w:val="21"/>
              </w:rPr>
              <w:t>DE INFORMAÇÃO</w:t>
            </w:r>
            <w:r>
              <w:rPr>
                <w:rFonts w:ascii="Times New Roman" w:hAnsi="Times New Roman"/>
                <w:b/>
                <w:spacing w:val="-5"/>
                <w:sz w:val="21"/>
              </w:rPr>
              <w:t> </w:t>
            </w:r>
            <w:r>
              <w:rPr>
                <w:rFonts w:ascii="Times New Roman" w:hAnsi="Times New Roman"/>
                <w:b/>
                <w:sz w:val="21"/>
              </w:rPr>
              <w:t>S.A.</w:t>
            </w:r>
            <w:r>
              <w:rPr>
                <w:rFonts w:ascii="Times New Roman" w:hAnsi="Times New Roman"/>
                <w:sz w:val="21"/>
              </w:rPr>
            </w:r>
          </w:p>
        </w:tc>
        <w:tc>
          <w:tcPr>
            <w:tcW w:w="25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51" w:right="99" w:hanging="1054"/>
              <w:jc w:val="left"/>
              <w:rPr>
                <w:rFonts w:ascii="宋体" w:hAnsi="宋体" w:cs="宋体" w:eastAsia="宋体" w:hint="default"/>
                <w:sz w:val="21"/>
                <w:szCs w:val="21"/>
              </w:rPr>
            </w:pPr>
            <w:r>
              <w:rPr>
                <w:rFonts w:ascii="宋体" w:hAnsi="宋体" w:cs="宋体" w:eastAsia="宋体" w:hint="default"/>
                <w:b/>
                <w:bCs/>
                <w:sz w:val="21"/>
                <w:szCs w:val="21"/>
              </w:rPr>
              <w:t>广州合光信息技术有限公</w:t>
            </w:r>
            <w:r>
              <w:rPr>
                <w:rFonts w:ascii="宋体" w:hAnsi="宋体" w:cs="宋体" w:eastAsia="宋体" w:hint="default"/>
                <w:b/>
                <w:bCs/>
                <w:w w:val="100"/>
                <w:sz w:val="21"/>
                <w:szCs w:val="21"/>
              </w:rPr>
              <w:t> </w:t>
            </w:r>
            <w:r>
              <w:rPr>
                <w:rFonts w:ascii="宋体" w:hAnsi="宋体" w:cs="宋体" w:eastAsia="宋体" w:hint="default"/>
                <w:b/>
                <w:bCs/>
                <w:sz w:val="21"/>
                <w:szCs w:val="21"/>
              </w:rPr>
              <w:t>司</w:t>
            </w:r>
            <w:r>
              <w:rPr>
                <w:rFonts w:ascii="宋体" w:hAnsi="宋体" w:cs="宋体" w:eastAsia="宋体" w:hint="default"/>
                <w:sz w:val="21"/>
                <w:szCs w:val="21"/>
              </w:rPr>
            </w:r>
          </w:p>
        </w:tc>
        <w:tc>
          <w:tcPr>
            <w:tcW w:w="26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47" w:right="0"/>
              <w:jc w:val="left"/>
              <w:rPr>
                <w:rFonts w:ascii="宋体" w:hAnsi="宋体" w:cs="宋体" w:eastAsia="宋体" w:hint="default"/>
                <w:sz w:val="21"/>
                <w:szCs w:val="21"/>
              </w:rPr>
            </w:pPr>
            <w:r>
              <w:rPr>
                <w:rFonts w:ascii="宋体" w:hAnsi="宋体" w:cs="宋体" w:eastAsia="宋体" w:hint="default"/>
                <w:b/>
                <w:bCs/>
                <w:sz w:val="21"/>
                <w:szCs w:val="21"/>
              </w:rPr>
              <w:t>南京客至软件有限公司</w:t>
            </w:r>
            <w:r>
              <w:rPr>
                <w:rFonts w:ascii="宋体" w:hAnsi="宋体" w:cs="宋体" w:eastAsia="宋体" w:hint="default"/>
                <w:sz w:val="21"/>
                <w:szCs w:val="21"/>
              </w:rPr>
            </w:r>
          </w:p>
        </w:tc>
        <w:tc>
          <w:tcPr>
            <w:tcW w:w="27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83" w:right="0"/>
              <w:jc w:val="left"/>
              <w:rPr>
                <w:rFonts w:ascii="宋体" w:hAnsi="宋体" w:cs="宋体" w:eastAsia="宋体" w:hint="default"/>
                <w:sz w:val="21"/>
                <w:szCs w:val="21"/>
              </w:rPr>
            </w:pPr>
            <w:r>
              <w:rPr>
                <w:rFonts w:ascii="宋体" w:hAnsi="宋体" w:cs="宋体" w:eastAsia="宋体" w:hint="default"/>
                <w:b/>
                <w:bCs/>
                <w:sz w:val="21"/>
                <w:szCs w:val="21"/>
              </w:rPr>
              <w:t>北京宝库在线技术有限公司</w:t>
            </w:r>
            <w:r>
              <w:rPr>
                <w:rFonts w:ascii="宋体" w:hAnsi="宋体" w:cs="宋体" w:eastAsia="宋体" w:hint="default"/>
                <w:sz w:val="21"/>
                <w:szCs w:val="21"/>
              </w:rPr>
            </w:r>
          </w:p>
        </w:tc>
      </w:tr>
      <w:tr>
        <w:trPr>
          <w:trHeight w:val="658" w:hRule="exact"/>
        </w:trPr>
        <w:tc>
          <w:tcPr>
            <w:tcW w:w="1308" w:type="dxa"/>
            <w:vMerge/>
            <w:tcBorders>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59" w:right="254" w:firstLine="103"/>
              <w:jc w:val="lef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b/>
                <w:bCs/>
                <w:w w:val="100"/>
                <w:sz w:val="21"/>
                <w:szCs w:val="21"/>
              </w:rPr>
              <w:t> </w:t>
            </w:r>
            <w:r>
              <w:rPr>
                <w:rFonts w:ascii="宋体" w:hAnsi="宋体" w:cs="宋体" w:eastAsia="宋体" w:hint="default"/>
                <w:b/>
                <w:bCs/>
                <w:sz w:val="21"/>
                <w:szCs w:val="21"/>
              </w:rPr>
              <w:t>公允价值</w:t>
            </w:r>
            <w:r>
              <w:rPr>
                <w:rFonts w:ascii="宋体" w:hAnsi="宋体" w:cs="宋体" w:eastAsia="宋体" w:hint="default"/>
                <w:sz w:val="21"/>
                <w:szCs w:val="21"/>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5" w:right="233" w:firstLine="105"/>
              <w:jc w:val="lef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b/>
                <w:bCs/>
                <w:w w:val="100"/>
                <w:sz w:val="21"/>
                <w:szCs w:val="21"/>
              </w:rPr>
              <w:t> </w:t>
            </w:r>
            <w:r>
              <w:rPr>
                <w:rFonts w:ascii="宋体" w:hAnsi="宋体" w:cs="宋体" w:eastAsia="宋体" w:hint="default"/>
                <w:b/>
                <w:bCs/>
                <w:sz w:val="21"/>
                <w:szCs w:val="21"/>
              </w:rPr>
              <w:t>账面价值</w:t>
            </w:r>
            <w:r>
              <w:rPr>
                <w:rFonts w:ascii="宋体" w:hAnsi="宋体" w:cs="宋体" w:eastAsia="宋体" w:hint="default"/>
                <w:sz w:val="21"/>
                <w:szCs w:val="21"/>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5" w:right="233" w:firstLine="105"/>
              <w:jc w:val="lef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b/>
                <w:bCs/>
                <w:w w:val="100"/>
                <w:sz w:val="21"/>
                <w:szCs w:val="21"/>
              </w:rPr>
              <w:t> </w:t>
            </w:r>
            <w:r>
              <w:rPr>
                <w:rFonts w:ascii="宋体" w:hAnsi="宋体" w:cs="宋体" w:eastAsia="宋体" w:hint="default"/>
                <w:b/>
                <w:bCs/>
                <w:sz w:val="21"/>
                <w:szCs w:val="21"/>
              </w:rPr>
              <w:t>公允价值</w:t>
            </w:r>
            <w:r>
              <w:rPr>
                <w:rFonts w:ascii="宋体" w:hAnsi="宋体" w:cs="宋体" w:eastAsia="宋体" w:hint="default"/>
                <w:sz w:val="21"/>
                <w:szCs w:val="21"/>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2" w:right="240" w:firstLine="103"/>
              <w:jc w:val="lef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b/>
                <w:bCs/>
                <w:w w:val="100"/>
                <w:sz w:val="21"/>
                <w:szCs w:val="21"/>
              </w:rPr>
              <w:t> </w:t>
            </w:r>
            <w:r>
              <w:rPr>
                <w:rFonts w:ascii="宋体" w:hAnsi="宋体" w:cs="宋体" w:eastAsia="宋体" w:hint="default"/>
                <w:b/>
                <w:bCs/>
                <w:sz w:val="21"/>
                <w:szCs w:val="21"/>
              </w:rPr>
              <w:t>账面价值</w:t>
            </w:r>
            <w:r>
              <w:rPr>
                <w:rFonts w:ascii="宋体" w:hAnsi="宋体" w:cs="宋体" w:eastAsia="宋体" w:hint="default"/>
                <w:sz w:val="21"/>
                <w:szCs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06" w:right="206" w:firstLine="105"/>
              <w:jc w:val="lef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b/>
                <w:bCs/>
                <w:w w:val="100"/>
                <w:sz w:val="21"/>
                <w:szCs w:val="21"/>
              </w:rPr>
              <w:t> </w:t>
            </w:r>
            <w:r>
              <w:rPr>
                <w:rFonts w:ascii="宋体" w:hAnsi="宋体" w:cs="宋体" w:eastAsia="宋体" w:hint="default"/>
                <w:b/>
                <w:bCs/>
                <w:sz w:val="21"/>
                <w:szCs w:val="21"/>
              </w:rPr>
              <w:t>公允价值</w:t>
            </w:r>
            <w:r>
              <w:rPr>
                <w:rFonts w:ascii="宋体" w:hAnsi="宋体" w:cs="宋体" w:eastAsia="宋体" w:hint="default"/>
                <w:sz w:val="21"/>
                <w:szCs w:val="21"/>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01" w:right="197" w:firstLine="103"/>
              <w:jc w:val="lef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b/>
                <w:bCs/>
                <w:w w:val="100"/>
                <w:sz w:val="21"/>
                <w:szCs w:val="21"/>
              </w:rPr>
              <w:t> </w:t>
            </w:r>
            <w:r>
              <w:rPr>
                <w:rFonts w:ascii="宋体" w:hAnsi="宋体" w:cs="宋体" w:eastAsia="宋体" w:hint="default"/>
                <w:b/>
                <w:bCs/>
                <w:sz w:val="21"/>
                <w:szCs w:val="21"/>
              </w:rPr>
              <w:t>账面价值</w:t>
            </w:r>
            <w:r>
              <w:rPr>
                <w:rFonts w:ascii="宋体" w:hAnsi="宋体" w:cs="宋体" w:eastAsia="宋体" w:hint="default"/>
                <w:sz w:val="21"/>
                <w:szCs w:val="21"/>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0" w:right="218" w:firstLine="105"/>
              <w:jc w:val="lef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b/>
                <w:bCs/>
                <w:w w:val="100"/>
                <w:sz w:val="21"/>
                <w:szCs w:val="21"/>
              </w:rPr>
              <w:t> </w:t>
            </w:r>
            <w:r>
              <w:rPr>
                <w:rFonts w:ascii="宋体" w:hAnsi="宋体" w:cs="宋体" w:eastAsia="宋体" w:hint="default"/>
                <w:b/>
                <w:bCs/>
                <w:sz w:val="21"/>
                <w:szCs w:val="21"/>
              </w:rPr>
              <w:t>公允价值</w:t>
            </w:r>
            <w:r>
              <w:rPr>
                <w:rFonts w:ascii="宋体" w:hAnsi="宋体" w:cs="宋体" w:eastAsia="宋体" w:hint="default"/>
                <w:sz w:val="21"/>
                <w:szCs w:val="21"/>
              </w:rPr>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7" w:right="226" w:firstLine="105"/>
              <w:jc w:val="lef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b/>
                <w:bCs/>
                <w:w w:val="100"/>
                <w:sz w:val="21"/>
                <w:szCs w:val="21"/>
              </w:rPr>
              <w:t> </w:t>
            </w:r>
            <w:r>
              <w:rPr>
                <w:rFonts w:ascii="宋体" w:hAnsi="宋体" w:cs="宋体" w:eastAsia="宋体" w:hint="default"/>
                <w:b/>
                <w:bCs/>
                <w:sz w:val="21"/>
                <w:szCs w:val="21"/>
              </w:rPr>
              <w:t>账面价值</w:t>
            </w:r>
            <w:r>
              <w:rPr>
                <w:rFonts w:ascii="宋体" w:hAnsi="宋体" w:cs="宋体" w:eastAsia="宋体" w:hint="default"/>
                <w:sz w:val="21"/>
                <w:szCs w:val="21"/>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7" w:right="227" w:firstLine="105"/>
              <w:jc w:val="lef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b/>
                <w:bCs/>
                <w:w w:val="100"/>
                <w:sz w:val="21"/>
                <w:szCs w:val="21"/>
              </w:rPr>
              <w:t> </w:t>
            </w:r>
            <w:r>
              <w:rPr>
                <w:rFonts w:ascii="宋体" w:hAnsi="宋体" w:cs="宋体" w:eastAsia="宋体" w:hint="default"/>
                <w:b/>
                <w:bCs/>
                <w:sz w:val="21"/>
                <w:szCs w:val="21"/>
              </w:rPr>
              <w:t>公允价值</w:t>
            </w:r>
            <w:r>
              <w:rPr>
                <w:rFonts w:ascii="宋体" w:hAnsi="宋体" w:cs="宋体" w:eastAsia="宋体" w:hint="default"/>
                <w:sz w:val="21"/>
                <w:szCs w:val="21"/>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71" w:right="264" w:firstLine="103"/>
              <w:jc w:val="lef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b/>
                <w:bCs/>
                <w:w w:val="100"/>
                <w:sz w:val="21"/>
                <w:szCs w:val="21"/>
              </w:rPr>
              <w:t> </w:t>
            </w: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348"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5,576,041.97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5,576,041.97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952,329.62</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952,329.62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2,004,742.96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2,004,742.96</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3,992,688.44</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3,992,688.44</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10,741,482.89</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10,741,482.89</w:t>
            </w:r>
          </w:p>
        </w:tc>
      </w:tr>
      <w:tr>
        <w:trPr>
          <w:trHeight w:val="348"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2,580,202.48</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2,580,202.48</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5,562,831.35</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5,562,831.35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9,046,899.71</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9,046,899.71</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37,955,549.53</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37,955,549.53</w:t>
            </w:r>
          </w:p>
        </w:tc>
      </w:tr>
      <w:tr>
        <w:trPr>
          <w:trHeight w:val="348"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73,223.87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73,223.87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1,323.85</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1,323.85</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6"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3,678.60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3,678.60</w:t>
            </w:r>
          </w:p>
        </w:tc>
      </w:tr>
      <w:tr>
        <w:trPr>
          <w:trHeight w:val="348"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756,186.86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756,186.86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5,448,206.77</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5,448,206.77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2,732.88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2,732.88</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76,953.35</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76,953.35</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815,929.47</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815,929.47</w:t>
            </w:r>
          </w:p>
        </w:tc>
      </w:tr>
      <w:tr>
        <w:trPr>
          <w:trHeight w:val="346"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41,541,461.26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10,861,066.65</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10,861,066.65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8,135,600.00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1,742,100.00</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7,214,142.10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42,042.10</w:t>
            </w:r>
          </w:p>
        </w:tc>
      </w:tr>
      <w:tr>
        <w:trPr>
          <w:trHeight w:val="348"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900,000.00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900,000.00</w:t>
            </w:r>
          </w:p>
        </w:tc>
      </w:tr>
      <w:tr>
        <w:trPr>
          <w:trHeight w:val="346"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42,735.05</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42,735.05</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9"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632,077.06</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632,077.06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9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16,950,554.54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16,950,554.54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15,193,736.97</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15,193,736.97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2,075,945.98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2,075,945.98</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36,219,282.57</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36,219,282.57</w:t>
            </w:r>
          </w:p>
        </w:tc>
      </w:tr>
      <w:tr>
        <w:trPr>
          <w:trHeight w:val="348"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530,845.90</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530,845.90</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706,811.00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706,811.00</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67" w:footer="980" w:top="1060" w:bottom="1160" w:left="1320" w:right="720"/>
        </w:sectPr>
      </w:pPr>
    </w:p>
    <w:p>
      <w:pPr>
        <w:spacing w:line="240" w:lineRule="auto" w:before="2"/>
        <w:rPr>
          <w:rFonts w:ascii="Times New Roman" w:hAnsi="Times New Roman" w:cs="Times New Roman" w:eastAsia="Times New Roman"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308"/>
        <w:gridCol w:w="1375"/>
        <w:gridCol w:w="1330"/>
        <w:gridCol w:w="1330"/>
        <w:gridCol w:w="1344"/>
        <w:gridCol w:w="1274"/>
        <w:gridCol w:w="1260"/>
        <w:gridCol w:w="1301"/>
        <w:gridCol w:w="1316"/>
        <w:gridCol w:w="1315"/>
        <w:gridCol w:w="1397"/>
      </w:tblGrid>
      <w:tr>
        <w:trPr>
          <w:trHeight w:val="363" w:hRule="exact"/>
        </w:trPr>
        <w:tc>
          <w:tcPr>
            <w:tcW w:w="130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375"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33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33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34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7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329,097.36</w:t>
            </w:r>
          </w:p>
        </w:tc>
        <w:tc>
          <w:tcPr>
            <w:tcW w:w="126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329,097.36</w:t>
            </w:r>
          </w:p>
        </w:tc>
        <w:tc>
          <w:tcPr>
            <w:tcW w:w="130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495,859.14</w:t>
            </w:r>
          </w:p>
        </w:tc>
        <w:tc>
          <w:tcPr>
            <w:tcW w:w="1316"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495,859.14</w:t>
            </w:r>
          </w:p>
        </w:tc>
        <w:tc>
          <w:tcPr>
            <w:tcW w:w="1315"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1,661,028.88</w:t>
            </w:r>
          </w:p>
        </w:tc>
        <w:tc>
          <w:tcPr>
            <w:tcW w:w="1397"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1,661,028.88</w:t>
            </w:r>
          </w:p>
        </w:tc>
      </w:tr>
      <w:tr>
        <w:trPr>
          <w:trHeight w:val="348"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6"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6,731.74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6,731.74</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68,708.78</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68,708.78</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183,253.81</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183,253.81</w:t>
            </w:r>
          </w:p>
        </w:tc>
      </w:tr>
      <w:tr>
        <w:trPr>
          <w:trHeight w:val="658"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2"/>
                <w:sz w:val="21"/>
                <w:szCs w:val="21"/>
              </w:rPr>
              <w:t>递延所得税负</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债</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1,220,340.00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435,525.00</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1,793,025.00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8"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33,576,561.90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-7,964,899.36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6,998,620.36</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6,998,620.36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6,510,960.76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-404,299.24</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13,371,761.58</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12,065,186.58</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17,067,381.33</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11,688,306.33</w:t>
            </w:r>
          </w:p>
        </w:tc>
      </w:tr>
      <w:tr>
        <w:trPr>
          <w:trHeight w:val="658"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2"/>
                <w:sz w:val="21"/>
                <w:szCs w:val="21"/>
              </w:rPr>
              <w:t>减：少数股东</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权益</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6,017,292.71</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5,429,333.96</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2,560,107.20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1,753,245.95</w:t>
            </w:r>
          </w:p>
        </w:tc>
      </w:tr>
      <w:tr>
        <w:trPr>
          <w:trHeight w:val="348"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33,576,561.90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-7,964,899.36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6,998,620.36</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6,998,620.36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6,510,960.76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-404,299.24</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7,354,468.87</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6,635,852.62</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14,507,274.13</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9,935,060.38</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67" w:footer="980" w:top="1060" w:bottom="1160" w:left="1320" w:right="7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4"/>
          <w:szCs w:val="24"/>
        </w:rPr>
      </w:pPr>
    </w:p>
    <w:p>
      <w:pPr>
        <w:pStyle w:val="BodyText"/>
        <w:spacing w:line="456" w:lineRule="auto" w:before="36"/>
        <w:ind w:left="294" w:right="8594" w:hanging="142"/>
        <w:jc w:val="left"/>
      </w:pPr>
      <w:r>
        <w:rPr>
          <w:rFonts w:ascii="Times New Roman" w:hAnsi="Times New Roman" w:cs="Times New Roman" w:eastAsia="Times New Roman" w:hint="default"/>
          <w:spacing w:val="-2"/>
        </w:rPr>
        <w:t>2.</w:t>
      </w:r>
      <w:r>
        <w:rPr>
          <w:spacing w:val="-2"/>
        </w:rPr>
        <w:t>同一控制下企业合并</w:t>
      </w:r>
      <w:r>
        <w:rPr>
          <w:spacing w:val="-84"/>
        </w:rPr>
        <w:t> </w:t>
      </w:r>
      <w:r>
        <w:rPr>
          <w:spacing w:val="-84"/>
        </w:rPr>
      </w:r>
      <w:r>
        <w:rPr/>
        <w:t>无</w:t>
      </w:r>
    </w:p>
    <w:p>
      <w:pPr>
        <w:pStyle w:val="BodyText"/>
        <w:spacing w:line="240" w:lineRule="auto" w:before="88"/>
        <w:ind w:right="1133"/>
        <w:jc w:val="left"/>
      </w:pPr>
      <w:r>
        <w:rPr>
          <w:rFonts w:ascii="Times New Roman" w:hAnsi="Times New Roman" w:cs="Times New Roman" w:eastAsia="Times New Roman" w:hint="default"/>
        </w:rPr>
        <w:t>3.</w:t>
      </w:r>
      <w:r>
        <w:rPr/>
        <w:t>其他原因的合并范围变动</w:t>
      </w:r>
    </w:p>
    <w:p>
      <w:pPr>
        <w:pStyle w:val="BodyText"/>
        <w:spacing w:line="256" w:lineRule="auto" w:before="62"/>
        <w:ind w:right="1019" w:firstLine="420"/>
        <w:jc w:val="left"/>
      </w:pPr>
      <w:r>
        <w:rPr>
          <w:spacing w:val="-5"/>
          <w:w w:val="100"/>
        </w:rPr>
        <w:t>本年因新设北海环企软件科技有限公司、</w:t>
      </w:r>
      <w:r>
        <w:rPr>
          <w:rFonts w:ascii="Times New Roman" w:hAnsi="Times New Roman" w:cs="Times New Roman" w:eastAsia="Times New Roman" w:hint="default"/>
          <w:spacing w:val="-5"/>
          <w:w w:val="100"/>
        </w:rPr>
        <w:t>Shiji</w:t>
      </w:r>
      <w:r>
        <w:rPr>
          <w:rFonts w:ascii="Times New Roman" w:hAnsi="Times New Roman" w:cs="Times New Roman" w:eastAsia="Times New Roman" w:hint="default"/>
          <w:w w:val="100"/>
        </w:rPr>
        <w:t> </w:t>
      </w:r>
      <w:r>
        <w:rPr>
          <w:rFonts w:ascii="Times New Roman" w:hAnsi="Times New Roman" w:cs="Times New Roman" w:eastAsia="Times New Roman" w:hint="default"/>
          <w:spacing w:val="-2"/>
          <w:w w:val="100"/>
        </w:rPr>
        <w:t>India</w:t>
      </w:r>
      <w:r>
        <w:rPr>
          <w:rFonts w:ascii="Times New Roman" w:hAnsi="Times New Roman" w:cs="Times New Roman" w:eastAsia="Times New Roman" w:hint="default"/>
          <w:w w:val="100"/>
        </w:rPr>
        <w:t> </w:t>
      </w:r>
      <w:r>
        <w:rPr>
          <w:rFonts w:ascii="Times New Roman" w:hAnsi="Times New Roman" w:cs="Times New Roman" w:eastAsia="Times New Roman" w:hint="default"/>
          <w:spacing w:val="-3"/>
          <w:w w:val="100"/>
        </w:rPr>
        <w:t>LLP</w:t>
      </w:r>
      <w:r>
        <w:rPr>
          <w:rFonts w:ascii="Times New Roman" w:hAnsi="Times New Roman" w:cs="Times New Roman" w:eastAsia="Times New Roman" w:hint="default"/>
          <w:w w:val="100"/>
        </w:rPr>
        <w:t> </w:t>
      </w:r>
      <w:r>
        <w:rPr>
          <w:spacing w:val="-15"/>
          <w:w w:val="100"/>
        </w:rPr>
        <w:t>、</w:t>
      </w:r>
      <w:r>
        <w:rPr>
          <w:rFonts w:ascii="Times New Roman" w:hAnsi="Times New Roman" w:cs="Times New Roman" w:eastAsia="Times New Roman" w:hint="default"/>
          <w:spacing w:val="-15"/>
          <w:w w:val="100"/>
        </w:rPr>
        <w:t>Shiji</w:t>
      </w:r>
      <w:r>
        <w:rPr>
          <w:rFonts w:ascii="Times New Roman" w:hAnsi="Times New Roman" w:cs="Times New Roman" w:eastAsia="Times New Roman" w:hint="default"/>
          <w:w w:val="100"/>
        </w:rPr>
        <w:t> </w:t>
      </w:r>
      <w:r>
        <w:rPr>
          <w:rFonts w:ascii="Times New Roman" w:hAnsi="Times New Roman" w:cs="Times New Roman" w:eastAsia="Times New Roman" w:hint="default"/>
          <w:spacing w:val="-7"/>
          <w:w w:val="100"/>
        </w:rPr>
        <w:t>Japan</w:t>
      </w:r>
      <w:r>
        <w:rPr>
          <w:spacing w:val="-7"/>
          <w:w w:val="100"/>
        </w:rPr>
        <w:t>株式会社、</w:t>
      </w:r>
      <w:r>
        <w:rPr>
          <w:rFonts w:ascii="Times New Roman" w:hAnsi="Times New Roman" w:cs="Times New Roman" w:eastAsia="Times New Roman" w:hint="default"/>
          <w:spacing w:val="-7"/>
          <w:w w:val="100"/>
        </w:rPr>
        <w:t>Shiji(</w:t>
      </w:r>
      <w:r>
        <w:rPr>
          <w:rFonts w:ascii="Times New Roman" w:hAnsi="Times New Roman" w:cs="Times New Roman" w:eastAsia="Times New Roman" w:hint="default"/>
          <w:w w:val="100"/>
        </w:rPr>
        <w:t> </w:t>
      </w:r>
      <w:r>
        <w:rPr>
          <w:rFonts w:ascii="Times New Roman" w:hAnsi="Times New Roman" w:cs="Times New Roman" w:eastAsia="Times New Roman" w:hint="default"/>
          <w:spacing w:val="-1"/>
          <w:w w:val="100"/>
        </w:rPr>
        <w:t>Thailand)</w:t>
      </w:r>
      <w:r>
        <w:rPr>
          <w:rFonts w:ascii="Times New Roman" w:hAnsi="Times New Roman" w:cs="Times New Roman" w:eastAsia="Times New Roman" w:hint="default"/>
          <w:spacing w:val="13"/>
          <w:w w:val="100"/>
        </w:rPr>
        <w:t> </w:t>
      </w:r>
      <w:r>
        <w:rPr>
          <w:rFonts w:ascii="Times New Roman" w:hAnsi="Times New Roman" w:cs="Times New Roman" w:eastAsia="Times New Roman" w:hint="default"/>
          <w:spacing w:val="-2"/>
          <w:w w:val="100"/>
        </w:rPr>
        <w:t>Limited</w:t>
      </w:r>
      <w:r>
        <w:rPr>
          <w:spacing w:val="-2"/>
          <w:w w:val="100"/>
        </w:rPr>
        <w:t>、</w:t>
      </w:r>
      <w:r>
        <w:rPr>
          <w:w w:val="100"/>
        </w:rPr>
        <w:t> </w:t>
      </w:r>
      <w:r>
        <w:rPr>
          <w:rFonts w:ascii="Times New Roman" w:hAnsi="Times New Roman" w:cs="Times New Roman" w:eastAsia="Times New Roman" w:hint="default"/>
        </w:rPr>
        <w:t>Shiji Middle East-FZ LLC</w:t>
      </w:r>
      <w:r>
        <w:rPr/>
        <w:t>、</w:t>
      </w:r>
      <w:r>
        <w:rPr>
          <w:rFonts w:ascii="Times New Roman" w:hAnsi="Times New Roman" w:cs="Times New Roman" w:eastAsia="Times New Roman" w:hint="default"/>
        </w:rPr>
        <w:t>Shiji Slovakia s.r.o </w:t>
      </w:r>
      <w:r>
        <w:rPr/>
        <w:t>、</w:t>
      </w:r>
      <w:r>
        <w:rPr>
          <w:rFonts w:ascii="Times New Roman" w:hAnsi="Times New Roman" w:cs="Times New Roman" w:eastAsia="Times New Roman" w:hint="default"/>
        </w:rPr>
        <w:t>Shiji(Macau)</w:t>
      </w:r>
      <w:r>
        <w:rPr>
          <w:rFonts w:ascii="Times New Roman" w:hAnsi="Times New Roman" w:cs="Times New Roman" w:eastAsia="Times New Roman" w:hint="default"/>
          <w:spacing w:val="-24"/>
        </w:rPr>
        <w:t> </w:t>
      </w:r>
      <w:r>
        <w:rPr>
          <w:rFonts w:ascii="Times New Roman" w:hAnsi="Times New Roman" w:cs="Times New Roman" w:eastAsia="Times New Roman" w:hint="default"/>
        </w:rPr>
        <w:t>Limited</w:t>
      </w:r>
      <w:r>
        <w:rPr/>
        <w:t>等增加</w:t>
      </w:r>
      <w:r>
        <w:rPr>
          <w:rFonts w:ascii="Times New Roman" w:hAnsi="Times New Roman" w:cs="Times New Roman" w:eastAsia="Times New Roman" w:hint="default"/>
        </w:rPr>
        <w:t>8</w:t>
      </w:r>
      <w:r>
        <w:rPr/>
        <w:t>家。因注销海南富基融通科技</w:t>
      </w:r>
      <w:r>
        <w:rPr>
          <w:w w:val="100"/>
        </w:rPr>
        <w:t> </w:t>
      </w:r>
      <w:r>
        <w:rPr/>
        <w:t>有限公司、</w:t>
      </w:r>
      <w:r>
        <w:rPr>
          <w:rFonts w:ascii="Times New Roman" w:hAnsi="Times New Roman" w:cs="Times New Roman" w:eastAsia="Times New Roman" w:hint="default"/>
        </w:rPr>
        <w:t>Armitage Holdings Limited</w:t>
      </w:r>
      <w:r>
        <w:rPr/>
        <w:t>、</w:t>
      </w:r>
      <w:r>
        <w:rPr>
          <w:rFonts w:ascii="Times New Roman" w:hAnsi="Times New Roman" w:cs="Times New Roman" w:eastAsia="Times New Roman" w:hint="default"/>
        </w:rPr>
        <w:t>Snapshot USA Inc.</w:t>
      </w:r>
      <w:r>
        <w:rPr/>
        <w:t>、</w:t>
      </w:r>
      <w:r>
        <w:rPr>
          <w:rFonts w:ascii="Times New Roman" w:hAnsi="Times New Roman" w:cs="Times New Roman" w:eastAsia="Times New Roman" w:hint="default"/>
        </w:rPr>
        <w:t>AC Software Deutsechland</w:t>
      </w:r>
      <w:r>
        <w:rPr>
          <w:rFonts w:ascii="Times New Roman" w:hAnsi="Times New Roman" w:cs="Times New Roman" w:eastAsia="Times New Roman" w:hint="default"/>
          <w:spacing w:val="20"/>
        </w:rPr>
        <w:t> </w:t>
      </w:r>
      <w:r>
        <w:rPr>
          <w:rFonts w:ascii="Times New Roman" w:hAnsi="Times New Roman" w:cs="Times New Roman" w:eastAsia="Times New Roman" w:hint="default"/>
        </w:rPr>
        <w:t>GmbH</w:t>
      </w:r>
      <w:r>
        <w:rPr/>
        <w:t>减少</w:t>
      </w:r>
      <w:r>
        <w:rPr>
          <w:rFonts w:ascii="Times New Roman" w:hAnsi="Times New Roman" w:cs="Times New Roman" w:eastAsia="Times New Roman" w:hint="default"/>
        </w:rPr>
        <w:t>4</w:t>
      </w:r>
      <w:r>
        <w:rPr/>
        <w:t>家，因</w:t>
      </w:r>
      <w:r>
        <w:rPr>
          <w:w w:val="100"/>
        </w:rPr>
        <w:t> </w:t>
      </w:r>
      <w:r>
        <w:rPr>
          <w:rFonts w:ascii="Times New Roman" w:hAnsi="Times New Roman" w:cs="Times New Roman" w:eastAsia="Times New Roman" w:hint="default"/>
        </w:rPr>
        <w:t>AC Project GmbH</w:t>
      </w:r>
      <w:r>
        <w:rPr/>
        <w:t>和</w:t>
      </w:r>
      <w:r>
        <w:rPr>
          <w:rFonts w:ascii="Times New Roman" w:hAnsi="Times New Roman" w:cs="Times New Roman" w:eastAsia="Times New Roman" w:hint="default"/>
        </w:rPr>
        <w:t>Snapshot GmbH</w:t>
      </w:r>
      <w:r>
        <w:rPr/>
        <w:t>合并为</w:t>
      </w:r>
      <w:r>
        <w:rPr>
          <w:rFonts w:ascii="Times New Roman" w:hAnsi="Times New Roman" w:cs="Times New Roman" w:eastAsia="Times New Roman" w:hint="default"/>
        </w:rPr>
        <w:t>Shiji</w:t>
      </w:r>
      <w:r>
        <w:rPr>
          <w:rFonts w:ascii="Times New Roman" w:hAnsi="Times New Roman" w:cs="Times New Roman" w:eastAsia="Times New Roman" w:hint="default"/>
          <w:spacing w:val="-15"/>
        </w:rPr>
        <w:t> </w:t>
      </w:r>
      <w:r>
        <w:rPr>
          <w:rFonts w:ascii="Times New Roman" w:hAnsi="Times New Roman" w:cs="Times New Roman" w:eastAsia="Times New Roman" w:hint="default"/>
        </w:rPr>
        <w:t>GmbH</w:t>
      </w:r>
      <w:r>
        <w:rPr/>
        <w:t>而减少</w:t>
      </w:r>
      <w:r>
        <w:rPr>
          <w:rFonts w:ascii="Times New Roman" w:hAnsi="Times New Roman" w:cs="Times New Roman" w:eastAsia="Times New Roman" w:hint="default"/>
        </w:rPr>
        <w:t>1</w:t>
      </w:r>
      <w:r>
        <w:rPr/>
        <w:t>家。</w:t>
      </w:r>
    </w:p>
    <w:p>
      <w:pPr>
        <w:spacing w:line="240" w:lineRule="auto" w:before="2"/>
        <w:rPr>
          <w:rFonts w:ascii="宋体" w:hAnsi="宋体" w:cs="宋体" w:eastAsia="宋体" w:hint="default"/>
          <w:sz w:val="23"/>
          <w:szCs w:val="23"/>
        </w:rPr>
      </w:pPr>
    </w:p>
    <w:p>
      <w:pPr>
        <w:pStyle w:val="Heading7"/>
        <w:spacing w:line="240" w:lineRule="auto"/>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7"/>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5045"/>
      </w:tblGrid>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235,587,294.34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746"/>
        <w:gridCol w:w="2696"/>
        <w:gridCol w:w="2338"/>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北京京东世纪贸易有限公司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70,039,258.14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2</w:t>
            </w:r>
          </w:p>
        </w:tc>
        <w:tc>
          <w:tcPr>
            <w:tcW w:w="3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财付通支付科技有限公司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54,453,007.45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1.76%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北京铭成嘉业科技发展有限公司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49,111,924.84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4</w:t>
            </w:r>
          </w:p>
        </w:tc>
        <w:tc>
          <w:tcPr>
            <w:tcW w:w="3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Kuajingcom In't Group</w:t>
            </w:r>
            <w:r>
              <w:rPr>
                <w:rFonts w:ascii="Times New Roman"/>
                <w:spacing w:val="-8"/>
                <w:sz w:val="18"/>
              </w:rPr>
              <w:t> </w:t>
            </w:r>
            <w:r>
              <w:rPr>
                <w:rFonts w:ascii="Times New Roman"/>
                <w:sz w:val="18"/>
              </w:rPr>
              <w:t>Ltd.</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42,216,143.27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上海星巴克咖啡经营有限公司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19,766,960.64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26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235,587,294.34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7.61%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963"/>
        <w:gridCol w:w="4607"/>
      </w:tblGrid>
      <w:tr>
        <w:trPr>
          <w:trHeight w:val="401"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972,942,986.50</w:t>
            </w:r>
          </w:p>
        </w:tc>
      </w:tr>
      <w:tr>
        <w:trPr>
          <w:trHeight w:val="404"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55.57%</w:t>
            </w:r>
          </w:p>
        </w:tc>
      </w:tr>
      <w:tr>
        <w:trPr>
          <w:trHeight w:val="401"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329"/>
        <w:gridCol w:w="2552"/>
        <w:gridCol w:w="276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爱普生</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有限公司上海分公司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387,766,212.65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22.15%</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联想图像（天津）科技有限公司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225,163,012.36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12.86%</w:t>
            </w:r>
          </w:p>
        </w:tc>
      </w:tr>
    </w:tbl>
    <w:p>
      <w:pPr>
        <w:spacing w:after="0" w:line="240" w:lineRule="auto"/>
        <w:jc w:val="right"/>
        <w:rPr>
          <w:rFonts w:ascii="Times New Roman" w:hAnsi="Times New Roman" w:cs="Times New Roman" w:eastAsia="Times New Roman" w:hint="default"/>
          <w:sz w:val="18"/>
          <w:szCs w:val="18"/>
        </w:rPr>
        <w:sectPr>
          <w:headerReference w:type="default" r:id="rId16"/>
          <w:footerReference w:type="default" r:id="rId17"/>
          <w:pgSz w:w="11910" w:h="16840"/>
          <w:pgMar w:header="877" w:footer="980" w:top="1100" w:bottom="1160" w:left="980" w:right="0"/>
          <w:pgNumType w:start="32"/>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912"/>
        <w:gridCol w:w="3329"/>
        <w:gridCol w:w="2552"/>
        <w:gridCol w:w="276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富士施乐实业发展（中国）有限公司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162,485,316.63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9.28%</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4</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甲骨文（中国）软件系统有限公司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137,787,110.58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7.87%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青岛海信智能商用系统股份有限公司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59,741,334.28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w:t>
            </w:r>
          </w:p>
        </w:tc>
        <w:tc>
          <w:tcPr>
            <w:tcW w:w="25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972,942,986.50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55.57%</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616"/>
        <w:gridCol w:w="2765"/>
      </w:tblGrid>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4"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69" w:right="0"/>
              <w:jc w:val="left"/>
              <w:rPr>
                <w:rFonts w:ascii="Times New Roman" w:hAnsi="Times New Roman" w:cs="Times New Roman" w:eastAsia="Times New Roman" w:hint="default"/>
                <w:sz w:val="18"/>
                <w:szCs w:val="18"/>
              </w:rPr>
            </w:pPr>
            <w:r>
              <w:rPr>
                <w:rFonts w:ascii="Times New Roman"/>
                <w:sz w:val="18"/>
              </w:rPr>
              <w:t>228,948,212.59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188,605,905.77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21.39%</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69" w:right="0"/>
              <w:jc w:val="left"/>
              <w:rPr>
                <w:rFonts w:ascii="Times New Roman" w:hAnsi="Times New Roman" w:cs="Times New Roman" w:eastAsia="Times New Roman" w:hint="default"/>
                <w:sz w:val="18"/>
                <w:szCs w:val="18"/>
              </w:rPr>
            </w:pPr>
            <w:r>
              <w:rPr>
                <w:rFonts w:ascii="Times New Roman"/>
                <w:sz w:val="18"/>
              </w:rPr>
              <w:t>550,565,348.16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518,418,205.11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-159,430,270.20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4" w:right="0"/>
              <w:jc w:val="left"/>
              <w:rPr>
                <w:rFonts w:ascii="Times New Roman" w:hAnsi="Times New Roman" w:cs="Times New Roman" w:eastAsia="Times New Roman" w:hint="default"/>
                <w:sz w:val="18"/>
                <w:szCs w:val="18"/>
              </w:rPr>
            </w:pPr>
            <w:r>
              <w:rPr>
                <w:rFonts w:ascii="Times New Roman"/>
                <w:sz w:val="18"/>
              </w:rPr>
              <w:t>-910,076.63</w:t>
            </w:r>
          </w:p>
        </w:tc>
        <w:tc>
          <w:tcPr>
            <w:tcW w:w="16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5" w:right="0"/>
              <w:jc w:val="left"/>
              <w:rPr>
                <w:rFonts w:ascii="Times New Roman" w:hAnsi="Times New Roman" w:cs="Times New Roman" w:eastAsia="Times New Roman" w:hint="default"/>
                <w:sz w:val="18"/>
                <w:szCs w:val="18"/>
              </w:rPr>
            </w:pPr>
            <w:r>
              <w:rPr>
                <w:rFonts w:ascii="Times New Roman"/>
                <w:sz w:val="18"/>
              </w:rPr>
              <w:t>-17,418.33%</w:t>
            </w:r>
          </w:p>
        </w:tc>
        <w:tc>
          <w:tcPr>
            <w:tcW w:w="2765"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29"/>
              <w:jc w:val="both"/>
              <w:rPr>
                <w:rFonts w:ascii="宋体" w:hAnsi="宋体" w:cs="宋体" w:eastAsia="宋体" w:hint="default"/>
                <w:sz w:val="18"/>
                <w:szCs w:val="18"/>
              </w:rPr>
            </w:pPr>
            <w:r>
              <w:rPr>
                <w:rFonts w:ascii="宋体" w:hAnsi="宋体" w:cs="宋体" w:eastAsia="宋体" w:hint="default"/>
                <w:sz w:val="18"/>
                <w:szCs w:val="18"/>
              </w:rPr>
              <w:t>本期较上年同期下降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17418.33%</w:t>
            </w:r>
            <w:r>
              <w:rPr>
                <w:rFonts w:ascii="宋体" w:hAnsi="宋体" w:cs="宋体" w:eastAsia="宋体" w:hint="default"/>
                <w:sz w:val="18"/>
                <w:szCs w:val="18"/>
              </w:rPr>
              <w:t>， 主要系本期较上年同期利息收入增 加较多所致。</w:t>
            </w:r>
          </w:p>
        </w:tc>
      </w:tr>
      <w:tr>
        <w:trPr>
          <w:trHeight w:val="394"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616"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616"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69" w:right="0"/>
              <w:jc w:val="left"/>
              <w:rPr>
                <w:rFonts w:ascii="Times New Roman" w:hAnsi="Times New Roman" w:cs="Times New Roman" w:eastAsia="Times New Roman" w:hint="default"/>
                <w:sz w:val="18"/>
                <w:szCs w:val="18"/>
              </w:rPr>
            </w:pPr>
            <w:r>
              <w:rPr>
                <w:rFonts w:ascii="Times New Roman"/>
                <w:sz w:val="18"/>
              </w:rPr>
              <w:t>259,042,966.97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199,668,174.15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29.74%</w:t>
            </w:r>
          </w:p>
        </w:tc>
        <w:tc>
          <w:tcPr>
            <w:tcW w:w="27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6"/>
        <w:spacing w:line="247" w:lineRule="auto" w:before="73"/>
        <w:ind w:right="1133" w:firstLine="442"/>
        <w:jc w:val="left"/>
      </w:pPr>
      <w:r>
        <w:rPr>
          <w:rFonts w:ascii="Times New Roman" w:hAnsi="Times New Roman" w:cs="Times New Roman" w:eastAsia="Times New Roman" w:hint="default"/>
          <w:spacing w:val="-1"/>
        </w:rPr>
        <w:t>1.</w:t>
      </w:r>
      <w:r>
        <w:rPr>
          <w:spacing w:val="-1"/>
        </w:rPr>
        <w:t>本公司开发支出分为研究阶段和开发阶段，研发项目进入开发阶段开始资本化，本年末公司资</w:t>
      </w:r>
      <w:r>
        <w:rPr>
          <w:w w:val="100"/>
        </w:rPr>
        <w:t> </w:t>
      </w:r>
      <w:r>
        <w:rPr/>
        <w:t>本化的项目均已进入开发阶段；</w:t>
      </w:r>
    </w:p>
    <w:p>
      <w:pPr>
        <w:pStyle w:val="Heading6"/>
        <w:spacing w:line="244" w:lineRule="auto" w:before="17"/>
        <w:ind w:right="1133" w:firstLine="442"/>
        <w:jc w:val="left"/>
      </w:pPr>
      <w:r>
        <w:rPr>
          <w:rFonts w:ascii="Times New Roman" w:hAnsi="Times New Roman" w:cs="Times New Roman" w:eastAsia="Times New Roman" w:hint="default"/>
          <w:spacing w:val="-1"/>
        </w:rPr>
        <w:t>2.</w:t>
      </w:r>
      <w:r>
        <w:rPr>
          <w:spacing w:val="-1"/>
        </w:rPr>
        <w:t>公司研发支出主要用于自有软件产品的更新和新产品的研发，本期末通过公司内部研发形成的</w:t>
      </w:r>
      <w:r>
        <w:rPr>
          <w:w w:val="100"/>
        </w:rPr>
        <w:t> </w:t>
      </w:r>
      <w:r>
        <w:rPr/>
        <w:t>无形资产占无形资产余额的比例</w:t>
      </w:r>
      <w:r>
        <w:rPr>
          <w:rFonts w:ascii="Times New Roman" w:hAnsi="Times New Roman" w:cs="Times New Roman" w:eastAsia="Times New Roman" w:hint="default"/>
        </w:rPr>
        <w:t>75.78%</w:t>
      </w:r>
      <w:r>
        <w:rPr/>
        <w:t>；</w:t>
      </w:r>
    </w:p>
    <w:p>
      <w:pPr>
        <w:spacing w:line="244" w:lineRule="auto" w:before="2"/>
        <w:ind w:left="152" w:right="1146" w:firstLine="442"/>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年度公司发生资本化项目支出，主要系本公司的开发项目：</w:t>
      </w:r>
      <w:r>
        <w:rPr>
          <w:rFonts w:ascii="Times New Roman" w:hAnsi="Times New Roman" w:cs="Times New Roman" w:eastAsia="Times New Roman" w:hint="default"/>
          <w:sz w:val="22"/>
          <w:szCs w:val="22"/>
        </w:rPr>
        <w:t>Above Cloud</w:t>
      </w:r>
      <w:r>
        <w:rPr>
          <w:rFonts w:ascii="宋体" w:hAnsi="宋体" w:cs="宋体" w:eastAsia="宋体" w:hint="default"/>
          <w:sz w:val="22"/>
          <w:szCs w:val="22"/>
        </w:rPr>
        <w:t>、</w:t>
      </w:r>
      <w:r>
        <w:rPr>
          <w:rFonts w:ascii="Times New Roman" w:hAnsi="Times New Roman" w:cs="Times New Roman" w:eastAsia="Times New Roman" w:hint="default"/>
          <w:sz w:val="22"/>
          <w:szCs w:val="22"/>
        </w:rPr>
        <w:t>Hetras</w:t>
      </w:r>
      <w:r>
        <w:rPr>
          <w:rFonts w:ascii="Times New Roman" w:hAnsi="Times New Roman" w:cs="Times New Roman" w:eastAsia="Times New Roman" w:hint="default"/>
          <w:spacing w:val="-8"/>
          <w:sz w:val="22"/>
          <w:szCs w:val="22"/>
        </w:rPr>
        <w:t> </w:t>
      </w:r>
      <w:r>
        <w:rPr>
          <w:rFonts w:ascii="Times New Roman" w:hAnsi="Times New Roman" w:cs="Times New Roman" w:eastAsia="Times New Roman" w:hint="default"/>
          <w:sz w:val="22"/>
          <w:szCs w:val="22"/>
        </w:rPr>
        <w:t>2017</w:t>
      </w:r>
      <w:r>
        <w:rPr>
          <w:rFonts w:ascii="宋体" w:hAnsi="宋体" w:cs="宋体" w:eastAsia="宋体" w:hint="default"/>
          <w:sz w:val="22"/>
          <w:szCs w:val="22"/>
        </w:rPr>
        <w:t>等，详</w:t>
      </w:r>
      <w:r>
        <w:rPr>
          <w:rFonts w:ascii="宋体" w:hAnsi="宋体" w:cs="宋体" w:eastAsia="宋体" w:hint="default"/>
          <w:w w:val="100"/>
          <w:sz w:val="22"/>
          <w:szCs w:val="22"/>
        </w:rPr>
        <w:t> </w:t>
      </w:r>
      <w:r>
        <w:rPr>
          <w:rFonts w:ascii="宋体" w:hAnsi="宋体" w:cs="宋体" w:eastAsia="宋体" w:hint="default"/>
          <w:sz w:val="22"/>
          <w:szCs w:val="22"/>
        </w:rPr>
        <w:t>见本章节项目基本情况表以及本报告第十一节财务附注：七、</w:t>
      </w:r>
      <w:r>
        <w:rPr>
          <w:rFonts w:ascii="Times New Roman" w:hAnsi="Times New Roman" w:cs="Times New Roman" w:eastAsia="Times New Roman" w:hint="default"/>
          <w:sz w:val="22"/>
          <w:szCs w:val="22"/>
        </w:rPr>
        <w:t>13.</w:t>
      </w:r>
      <w:r>
        <w:rPr>
          <w:rFonts w:ascii="宋体" w:hAnsi="宋体" w:cs="宋体" w:eastAsia="宋体" w:hint="default"/>
          <w:sz w:val="22"/>
          <w:szCs w:val="22"/>
        </w:rPr>
        <w:t>开发支出。</w:t>
      </w:r>
    </w:p>
    <w:p>
      <w:pPr>
        <w:spacing w:line="240" w:lineRule="auto" w:before="6"/>
        <w:rPr>
          <w:rFonts w:ascii="宋体" w:hAnsi="宋体" w:cs="宋体" w:eastAsia="宋体" w:hint="default"/>
          <w:sz w:val="29"/>
          <w:szCs w:val="29"/>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4"/>
        <w:gridCol w:w="2137"/>
        <w:gridCol w:w="2268"/>
        <w:gridCol w:w="2199"/>
      </w:tblGrid>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1,435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945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51.85%</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32.49%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24.69%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437,762,436.14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287,409,944.76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52.31%</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14.13%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1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238,070,545.86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55,536,095.42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328.68%</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1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54.38%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19.32%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35.06%</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4"/>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after="0" w:line="3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line="338" w:lineRule="auto" w:before="44"/>
        <w:ind w:left="152" w:right="11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研发投入资本化的金额本年度比上年度增长</w:t>
      </w:r>
      <w:r>
        <w:rPr>
          <w:rFonts w:ascii="宋体" w:hAnsi="宋体" w:cs="宋体" w:eastAsia="宋体" w:hint="default"/>
          <w:sz w:val="18"/>
          <w:szCs w:val="18"/>
        </w:rPr>
        <w:t>328.68%</w:t>
      </w:r>
      <w:r>
        <w:rPr>
          <w:rFonts w:ascii="宋体" w:hAnsi="宋体" w:cs="宋体" w:eastAsia="宋体" w:hint="default"/>
          <w:sz w:val="18"/>
          <w:szCs w:val="18"/>
        </w:rPr>
        <w:t>，研发投入资本化率大幅变动，主要系海外子公司内部研发投入较多， 同时有较多开发项目达到预定可使用状态，符合资本化条件，转入无形资产所致。 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before="19"/>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152" w:right="1143" w:firstLine="0"/>
        <w:jc w:val="right"/>
        <w:rPr>
          <w:rFonts w:ascii="宋体" w:hAnsi="宋体" w:cs="宋体" w:eastAsia="宋体" w:hint="default"/>
          <w:sz w:val="18"/>
          <w:szCs w:val="18"/>
        </w:rPr>
      </w:pPr>
      <w:r>
        <w:rPr/>
        <w:pict>
          <v:shape style="position:absolute;margin-left:56.400002pt;margin-top:-51.9683pt;width:479.3pt;height:598.2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1274"/>
                    <w:gridCol w:w="5531"/>
                    <w:gridCol w:w="1772"/>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项目名称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42" w:right="89" w:hanging="449"/>
                          <w:jc w:val="left"/>
                          <w:rPr>
                            <w:rFonts w:ascii="宋体" w:hAnsi="宋体" w:cs="宋体" w:eastAsia="宋体" w:hint="default"/>
                            <w:sz w:val="18"/>
                            <w:szCs w:val="18"/>
                          </w:rPr>
                        </w:pPr>
                        <w:r>
                          <w:rPr>
                            <w:rFonts w:ascii="宋体" w:hAnsi="宋体" w:cs="宋体" w:eastAsia="宋体" w:hint="default"/>
                            <w:sz w:val="18"/>
                            <w:szCs w:val="18"/>
                          </w:rPr>
                          <w:t>研发资本化金 额</w:t>
                        </w:r>
                      </w:p>
                    </w:tc>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实施进度</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80"/>
                          <w:jc w:val="left"/>
                          <w:rPr>
                            <w:rFonts w:ascii="Times New Roman" w:hAnsi="Times New Roman" w:cs="Times New Roman" w:eastAsia="Times New Roman" w:hint="default"/>
                            <w:sz w:val="18"/>
                            <w:szCs w:val="18"/>
                          </w:rPr>
                        </w:pPr>
                        <w:r>
                          <w:rPr>
                            <w:rFonts w:ascii="Times New Roman"/>
                            <w:sz w:val="18"/>
                          </w:rPr>
                          <w:t>Above Cloud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131,734,987.13</w:t>
                        </w: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为全球连锁酒店开发酒店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开发中</w:t>
                        </w:r>
                        <w:r>
                          <w:rPr>
                            <w:rFonts w:ascii="Times New Roman" w:hAnsi="Times New Roman" w:cs="Times New Roman" w:eastAsia="Times New Roman" w:hint="default"/>
                            <w:sz w:val="18"/>
                            <w:szCs w:val="18"/>
                          </w:rPr>
                          <w:t>——</w:t>
                        </w:r>
                        <w:r>
                          <w:rPr>
                            <w:rFonts w:ascii="宋体" w:hAnsi="宋体" w:cs="宋体" w:eastAsia="宋体" w:hint="default"/>
                            <w:sz w:val="18"/>
                            <w:szCs w:val="18"/>
                          </w:rPr>
                          <w:t>预计</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年年中左右投入测试</w:t>
                        </w:r>
                      </w:p>
                    </w:tc>
                  </w:tr>
                  <w:tr>
                    <w:trPr>
                      <w:trHeight w:val="164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97" w:lineRule="auto"/>
                          <w:ind w:left="24"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架构商 友超市系统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4,173,251.56</w:t>
                        </w:r>
                      </w:p>
                    </w:tc>
                    <w:tc>
                      <w:tcPr>
                        <w:tcW w:w="5531" w:type="dxa"/>
                        <w:tcBorders>
                          <w:top w:val="single" w:sz="4" w:space="0" w:color="000000"/>
                          <w:left w:val="single" w:sz="4" w:space="0" w:color="000000"/>
                          <w:bottom w:val="single" w:sz="4" w:space="0" w:color="000000"/>
                          <w:right w:val="single" w:sz="10" w:space="0" w:color="FFFFFF"/>
                        </w:tcBorders>
                      </w:tcPr>
                      <w:p>
                        <w:pPr>
                          <w:pStyle w:val="TableParagraph"/>
                          <w:spacing w:line="304" w:lineRule="auto" w:before="49"/>
                          <w:ind w:left="23" w:right="12"/>
                          <w:jc w:val="left"/>
                          <w:rPr>
                            <w:rFonts w:ascii="宋体" w:hAnsi="宋体" w:cs="宋体" w:eastAsia="宋体" w:hint="default"/>
                            <w:sz w:val="18"/>
                            <w:szCs w:val="18"/>
                          </w:rPr>
                        </w:pPr>
                        <w:r>
                          <w:rPr>
                            <w:rFonts w:ascii="宋体" w:hAnsi="宋体" w:cs="宋体" w:eastAsia="宋体" w:hint="default"/>
                            <w:sz w:val="18"/>
                            <w:szCs w:val="18"/>
                          </w:rPr>
                          <w:t>本项目目标是研发出来一款基于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的产品，用户可以使用浏览器进行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操作，以满足云化部署和客户端免安装的需求。系统采用自主研发， 研究阶段：</w:t>
                        </w:r>
                        <w:r>
                          <w:rPr>
                            <w:rFonts w:ascii="Times New Roman" w:hAnsi="Times New Roman" w:cs="Times New Roman" w:eastAsia="Times New Roman" w:hint="default"/>
                            <w:sz w:val="18"/>
                            <w:szCs w:val="18"/>
                          </w:rPr>
                          <w:t>2016.4.1-2016.7.1</w:t>
                        </w:r>
                        <w:r>
                          <w:rPr>
                            <w:rFonts w:ascii="宋体" w:hAnsi="宋体" w:cs="宋体" w:eastAsia="宋体" w:hint="default"/>
                            <w:sz w:val="18"/>
                            <w:szCs w:val="18"/>
                          </w:rPr>
                          <w:t>，开发第一阶段：</w:t>
                        </w:r>
                        <w:r>
                          <w:rPr>
                            <w:rFonts w:ascii="Times New Roman" w:hAnsi="Times New Roman" w:cs="Times New Roman" w:eastAsia="Times New Roman" w:hint="default"/>
                            <w:sz w:val="18"/>
                            <w:szCs w:val="18"/>
                          </w:rPr>
                          <w:t>2016.7.1-2018.6.30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开发 阶段；开发第二阶段：</w:t>
                        </w:r>
                        <w:r>
                          <w:rPr>
                            <w:rFonts w:ascii="Times New Roman" w:hAnsi="Times New Roman" w:cs="Times New Roman" w:eastAsia="Times New Roman" w:hint="default"/>
                            <w:sz w:val="18"/>
                            <w:szCs w:val="18"/>
                          </w:rPr>
                          <w:t>2018.8.1-2018.10.31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测试阶段；开发第三阶段 </w:t>
                        </w:r>
                        <w:r>
                          <w:rPr>
                            <w:rFonts w:ascii="Times New Roman" w:hAnsi="Times New Roman" w:cs="Times New Roman" w:eastAsia="Times New Roman" w:hint="default"/>
                            <w:sz w:val="18"/>
                            <w:szCs w:val="18"/>
                          </w:rPr>
                          <w:t>2018.11.1-2018.12.31</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集成测试阶段及结项。</w:t>
                        </w:r>
                      </w:p>
                    </w:tc>
                    <w:tc>
                      <w:tcPr>
                        <w:tcW w:w="177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16"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月份底已按 计划完成开发实施并</w:t>
                        </w:r>
                      </w:p>
                      <w:p>
                        <w:pPr>
                          <w:pStyle w:val="TableParagraph"/>
                          <w:spacing w:line="196" w:lineRule="exact" w:before="33"/>
                          <w:ind w:left="16" w:right="0"/>
                          <w:jc w:val="left"/>
                          <w:rPr>
                            <w:rFonts w:ascii="宋体" w:hAnsi="宋体" w:cs="宋体" w:eastAsia="宋体" w:hint="default"/>
                            <w:sz w:val="18"/>
                            <w:szCs w:val="18"/>
                          </w:rPr>
                        </w:pPr>
                        <w:r>
                          <w:rPr>
                            <w:rFonts w:ascii="宋体" w:hAnsi="宋体" w:cs="宋体" w:eastAsia="宋体" w:hint="default"/>
                            <w:sz w:val="18"/>
                            <w:szCs w:val="18"/>
                          </w:rPr>
                          <w:t>结项</w:t>
                        </w:r>
                        <w:r>
                          <w:rPr>
                            <w:rFonts w:ascii="宋体" w:hAnsi="宋体" w:cs="宋体" w:eastAsia="宋体" w:hint="default"/>
                            <w:spacing w:val="-85"/>
                            <w:sz w:val="18"/>
                            <w:szCs w:val="18"/>
                          </w:rPr>
                          <w:t>，</w:t>
                        </w:r>
                        <w:r>
                          <w:rPr>
                            <w:rFonts w:ascii="宋体" w:hAnsi="宋体" w:cs="宋体" w:eastAsia="宋体" w:hint="default"/>
                            <w:sz w:val="18"/>
                            <w:szCs w:val="18"/>
                          </w:rPr>
                          <w:t>目前在申办软件</w:t>
                        </w:r>
                      </w:p>
                      <w:p>
                        <w:pPr>
                          <w:pStyle w:val="TableParagraph"/>
                          <w:spacing w:line="15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著作权中。</w:t>
                        </w:r>
                      </w:p>
                    </w:tc>
                  </w:tr>
                  <w:tr>
                    <w:trPr>
                      <w:trHeight w:val="133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z w:val="18"/>
                          </w:rPr>
                          <w:t>Hetras</w:t>
                        </w:r>
                        <w:r>
                          <w:rPr>
                            <w:rFonts w:ascii="Times New Roman"/>
                            <w:spacing w:val="-1"/>
                            <w:sz w:val="18"/>
                          </w:rPr>
                          <w:t> </w:t>
                        </w:r>
                        <w:r>
                          <w:rPr>
                            <w:rFonts w:ascii="Times New Roman"/>
                            <w:sz w:val="18"/>
                          </w:rPr>
                          <w:t>2017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53,536,100.09</w:t>
                        </w: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为有限的服务自动化酒店集团开发酒店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解决方案。</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7"/>
                          <w:jc w:val="both"/>
                          <w:rPr>
                            <w:rFonts w:ascii="宋体" w:hAnsi="宋体" w:cs="宋体" w:eastAsia="宋体" w:hint="default"/>
                            <w:sz w:val="18"/>
                            <w:szCs w:val="18"/>
                          </w:rPr>
                        </w:pPr>
                        <w:r>
                          <w:rPr>
                            <w:rFonts w:ascii="宋体" w:hAnsi="宋体" w:cs="宋体" w:eastAsia="宋体" w:hint="default"/>
                            <w:spacing w:val="12"/>
                            <w:sz w:val="18"/>
                            <w:szCs w:val="18"/>
                          </w:rPr>
                          <w:t>本项目在几年前已经 </w:t>
                        </w:r>
                        <w:r>
                          <w:rPr>
                            <w:rFonts w:ascii="宋体" w:hAnsi="宋体" w:cs="宋体" w:eastAsia="宋体" w:hint="default"/>
                            <w:sz w:val="18"/>
                            <w:szCs w:val="18"/>
                          </w:rPr>
                          <w:t>开始开发。</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年的 </w:t>
                        </w:r>
                        <w:r>
                          <w:rPr>
                            <w:rFonts w:ascii="宋体" w:hAnsi="宋体" w:cs="宋体" w:eastAsia="宋体" w:hint="default"/>
                            <w:spacing w:val="12"/>
                            <w:sz w:val="18"/>
                            <w:szCs w:val="18"/>
                          </w:rPr>
                          <w:t>开发是为了扩大产品</w:t>
                        </w:r>
                        <w:r>
                          <w:rPr>
                            <w:rFonts w:ascii="宋体" w:hAnsi="宋体" w:cs="宋体" w:eastAsia="宋体" w:hint="default"/>
                            <w:spacing w:val="12"/>
                            <w:sz w:val="18"/>
                            <w:szCs w:val="18"/>
                          </w:rPr>
                          <w:t> </w:t>
                        </w:r>
                        <w:r>
                          <w:rPr>
                            <w:rFonts w:ascii="宋体" w:hAnsi="宋体" w:cs="宋体" w:eastAsia="宋体" w:hint="default"/>
                            <w:sz w:val="18"/>
                            <w:szCs w:val="18"/>
                          </w:rPr>
                          <w:t>功能和范围。</w:t>
                        </w:r>
                      </w:p>
                    </w:tc>
                  </w:tr>
                  <w:tr>
                    <w:trPr>
                      <w:trHeight w:val="196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97" w:lineRule="auto"/>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POS </w:t>
                        </w:r>
                        <w:r>
                          <w:rPr>
                            <w:rFonts w:ascii="宋体" w:hAnsi="宋体" w:cs="宋体" w:eastAsia="宋体" w:hint="default"/>
                            <w:sz w:val="18"/>
                            <w:szCs w:val="18"/>
                          </w:rPr>
                          <w:t>服务中 台系统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1,136,985.40</w:t>
                        </w: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本项目开发面对对象是超市便利店行业客户，对接客户各式各样的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系统，提供统一的运算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逻辑，让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终端集中精力处理各种 </w:t>
                        </w:r>
                        <w:r>
                          <w:rPr>
                            <w:rFonts w:ascii="Times New Roman" w:hAnsi="Times New Roman" w:cs="Times New Roman" w:eastAsia="Times New Roman" w:hint="default"/>
                            <w:sz w:val="18"/>
                            <w:szCs w:val="18"/>
                          </w:rPr>
                          <w:t>UI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操作，满足业务部门要求系统快速响应的需求。系统采用自主研发 的产品。研发第一阶段：</w:t>
                        </w:r>
                        <w:r>
                          <w:rPr>
                            <w:rFonts w:ascii="Times New Roman" w:hAnsi="Times New Roman" w:cs="Times New Roman" w:eastAsia="Times New Roman" w:hint="default"/>
                            <w:sz w:val="18"/>
                            <w:szCs w:val="18"/>
                          </w:rPr>
                          <w:t>2018.7-2018.9</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主档同步和订单服务；研发第 二阶段：</w:t>
                        </w:r>
                        <w:r>
                          <w:rPr>
                            <w:rFonts w:ascii="Times New Roman" w:hAnsi="Times New Roman" w:cs="Times New Roman" w:eastAsia="Times New Roman" w:hint="default"/>
                            <w:sz w:val="18"/>
                            <w:szCs w:val="18"/>
                          </w:rPr>
                          <w:t>2018.9-2018.11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支付服务、订单同步、后台管理；研发第三阶</w:t>
                        </w:r>
                        <w:r>
                          <w:rPr>
                            <w:rFonts w:ascii="宋体" w:hAnsi="宋体" w:cs="宋体" w:eastAsia="宋体" w:hint="default"/>
                            <w:sz w:val="18"/>
                            <w:szCs w:val="18"/>
                          </w:rPr>
                          <w:t> 段：</w:t>
                        </w:r>
                        <w:r>
                          <w:rPr>
                            <w:rFonts w:ascii="Times New Roman" w:hAnsi="Times New Roman" w:cs="Times New Roman" w:eastAsia="Times New Roman" w:hint="default"/>
                            <w:sz w:val="18"/>
                            <w:szCs w:val="18"/>
                          </w:rPr>
                          <w:t>2018.11-2018.12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系统测试。</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pacing w:val="-9"/>
                            <w:sz w:val="18"/>
                            <w:szCs w:val="18"/>
                          </w:rPr>
                          <w:t>研发完成，已取得著作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权证。</w:t>
                        </w:r>
                      </w:p>
                    </w:tc>
                  </w:tr>
                  <w:tr>
                    <w:trPr>
                      <w:trHeight w:val="165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POS </w:t>
                        </w:r>
                        <w:r>
                          <w:rPr>
                            <w:rFonts w:ascii="宋体" w:hAnsi="宋体" w:cs="宋体" w:eastAsia="宋体" w:hint="default"/>
                            <w:sz w:val="18"/>
                            <w:szCs w:val="18"/>
                          </w:rPr>
                          <w:t>客屏自 助收银系统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356,074.91</w:t>
                        </w: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本项目开发面对对象是便利店行业客户，便利店可以借助现有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硬 件，让顾客在客显屏上操作自助收银。系统采用自主研发的产品。研 发第一阶段：</w:t>
                        </w:r>
                        <w:r>
                          <w:rPr>
                            <w:rFonts w:ascii="Times New Roman" w:hAnsi="Times New Roman" w:cs="Times New Roman" w:eastAsia="Times New Roman" w:hint="default"/>
                            <w:sz w:val="18"/>
                            <w:szCs w:val="18"/>
                          </w:rPr>
                          <w:t>2018.7-2018.10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主要功能研发；研发第二阶段：</w:t>
                        </w:r>
                      </w:p>
                      <w:p>
                        <w:pPr>
                          <w:pStyle w:val="TableParagraph"/>
                          <w:spacing w:line="300" w:lineRule="auto" w:before="5"/>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2018.10-2018.11 </w:t>
                        </w:r>
                        <w:r>
                          <w:rPr>
                            <w:rFonts w:ascii="宋体" w:hAnsi="宋体" w:cs="宋体" w:eastAsia="宋体" w:hint="default"/>
                            <w:sz w:val="18"/>
                            <w:szCs w:val="18"/>
                          </w:rPr>
                          <w:t>辅助及接口开发；研发第三阶段：</w:t>
                        </w:r>
                        <w:r>
                          <w:rPr>
                            <w:rFonts w:ascii="Times New Roman" w:hAnsi="Times New Roman" w:cs="Times New Roman" w:eastAsia="Times New Roman" w:hint="default"/>
                            <w:sz w:val="18"/>
                            <w:szCs w:val="18"/>
                          </w:rPr>
                          <w:t>2018.11-2018.12</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系 统测试。</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9"/>
                            <w:sz w:val="18"/>
                            <w:szCs w:val="18"/>
                          </w:rPr>
                          <w:t>研发完成，已取得著作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权证。</w:t>
                        </w:r>
                      </w:p>
                    </w:tc>
                  </w:tr>
                  <w:tr>
                    <w:trPr>
                      <w:trHeight w:val="196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97" w:lineRule="auto"/>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POS </w:t>
                        </w:r>
                        <w:r>
                          <w:rPr>
                            <w:rFonts w:ascii="宋体" w:hAnsi="宋体" w:cs="宋体" w:eastAsia="宋体" w:hint="default"/>
                            <w:sz w:val="18"/>
                            <w:szCs w:val="18"/>
                          </w:rPr>
                          <w:t>销售中 台服务项目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434,575.96</w:t>
                        </w:r>
                      </w:p>
                    </w:tc>
                    <w:tc>
                      <w:tcPr>
                        <w:tcW w:w="5531" w:type="dxa"/>
                        <w:tcBorders>
                          <w:top w:val="single" w:sz="4" w:space="0" w:color="000000"/>
                          <w:left w:val="single" w:sz="4" w:space="0" w:color="000000"/>
                          <w:bottom w:val="single" w:sz="4" w:space="0" w:color="000000"/>
                          <w:right w:val="single" w:sz="10" w:space="0" w:color="FFFFFF"/>
                        </w:tcBorders>
                      </w:tcPr>
                      <w:p>
                        <w:pPr>
                          <w:pStyle w:val="TableParagraph"/>
                          <w:spacing w:line="304"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本项目目标是研发出来一款支持多种接入设备，如</w:t>
                        </w:r>
                        <w:r>
                          <w:rPr>
                            <w:rFonts w:ascii="Times New Roman" w:hAnsi="Times New Roman" w:cs="Times New Roman" w:eastAsia="Times New Roman" w:hint="default"/>
                            <w:sz w:val="18"/>
                            <w:szCs w:val="18"/>
                          </w:rPr>
                          <w:t>:</w:t>
                        </w:r>
                        <w:r>
                          <w:rPr>
                            <w:rFonts w:ascii="宋体" w:hAnsi="宋体" w:cs="宋体" w:eastAsia="宋体" w:hint="default"/>
                            <w:sz w:val="18"/>
                            <w:szCs w:val="18"/>
                          </w:rPr>
                          <w:t>大</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销售，移动</w:t>
                        </w:r>
                        <w:r>
                          <w:rPr>
                            <w:rFonts w:ascii="宋体" w:hAnsi="宋体" w:cs="宋体" w:eastAsia="宋体" w:hint="default"/>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销售，自助收款销售，</w:t>
                        </w:r>
                        <w:r>
                          <w:rPr>
                            <w:rFonts w:ascii="Times New Roman" w:hAnsi="Times New Roman" w:cs="Times New Roman" w:eastAsia="Times New Roman" w:hint="default"/>
                            <w:sz w:val="18"/>
                            <w:szCs w:val="18"/>
                          </w:rPr>
                          <w:t>APP </w:t>
                        </w:r>
                        <w:r>
                          <w:rPr>
                            <w:rFonts w:ascii="宋体" w:hAnsi="宋体" w:cs="宋体" w:eastAsia="宋体" w:hint="default"/>
                            <w:sz w:val="18"/>
                            <w:szCs w:val="18"/>
                          </w:rPr>
                          <w:t>端顾客自助下单，微信端顾客自助下 单的产品，以满足新零售的需求。系统采用自主研发，研究阶段： </w:t>
                        </w:r>
                        <w:r>
                          <w:rPr>
                            <w:rFonts w:ascii="Times New Roman" w:hAnsi="Times New Roman" w:cs="Times New Roman" w:eastAsia="Times New Roman" w:hint="default"/>
                            <w:spacing w:val="-4"/>
                            <w:sz w:val="18"/>
                            <w:szCs w:val="18"/>
                          </w:rPr>
                          <w:t>2017.10.08-2017.11.29</w:t>
                        </w:r>
                        <w:r>
                          <w:rPr>
                            <w:rFonts w:ascii="宋体" w:hAnsi="宋体" w:cs="宋体" w:eastAsia="宋体" w:hint="default"/>
                            <w:spacing w:val="-4"/>
                            <w:sz w:val="18"/>
                            <w:szCs w:val="18"/>
                          </w:rPr>
                          <w:t>，开发第一阶段：</w:t>
                        </w:r>
                        <w:r>
                          <w:rPr>
                            <w:rFonts w:ascii="Times New Roman" w:hAnsi="Times New Roman" w:cs="Times New Roman" w:eastAsia="Times New Roman" w:hint="default"/>
                            <w:spacing w:val="-4"/>
                            <w:sz w:val="18"/>
                            <w:szCs w:val="18"/>
                          </w:rPr>
                          <w:t>2017.11.30-2018.7.31  </w:t>
                        </w:r>
                        <w:r>
                          <w:rPr>
                            <w:rFonts w:ascii="Times New Roman" w:hAnsi="Times New Roman" w:cs="Times New Roman" w:eastAsia="Times New Roman" w:hint="default"/>
                            <w:spacing w:val="13"/>
                            <w:sz w:val="18"/>
                            <w:szCs w:val="18"/>
                          </w:rPr>
                          <w:t> </w:t>
                        </w:r>
                        <w:r>
                          <w:rPr>
                            <w:rFonts w:ascii="宋体" w:hAnsi="宋体" w:cs="宋体" w:eastAsia="宋体" w:hint="default"/>
                            <w:spacing w:val="-8"/>
                            <w:sz w:val="18"/>
                            <w:szCs w:val="18"/>
                          </w:rPr>
                          <w:t>开发阶段；</w:t>
                        </w:r>
                        <w:r>
                          <w:rPr>
                            <w:rFonts w:ascii="宋体" w:hAnsi="宋体" w:cs="宋体" w:eastAsia="宋体" w:hint="default"/>
                            <w:sz w:val="18"/>
                            <w:szCs w:val="18"/>
                          </w:rPr>
                        </w:r>
                      </w:p>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开发第二阶段：</w:t>
                        </w:r>
                        <w:r>
                          <w:rPr>
                            <w:rFonts w:ascii="Times New Roman" w:hAnsi="Times New Roman" w:cs="Times New Roman" w:eastAsia="Times New Roman" w:hint="default"/>
                            <w:sz w:val="18"/>
                            <w:szCs w:val="18"/>
                          </w:rPr>
                          <w:t>2018.8.1-2018.11.30</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测试阶段；开发第三阶段：</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2018.12.1-2018.12.31</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集成测试阶段及结项。</w:t>
                        </w:r>
                      </w:p>
                    </w:tc>
                    <w:tc>
                      <w:tcPr>
                        <w:tcW w:w="177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97" w:lineRule="auto"/>
                          <w:ind w:left="16"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月完成，著</w:t>
                        </w:r>
                        <w:r>
                          <w:rPr>
                            <w:rFonts w:ascii="宋体" w:hAnsi="宋体" w:cs="宋体" w:eastAsia="宋体" w:hint="default"/>
                            <w:sz w:val="18"/>
                            <w:szCs w:val="18"/>
                          </w:rPr>
                          <w:t> 作权证已取得。</w:t>
                        </w:r>
                      </w:p>
                    </w:tc>
                  </w:tr>
                  <w:tr>
                    <w:trPr>
                      <w:trHeight w:val="196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62" w:lineRule="auto"/>
                          <w:ind w:left="24" w:right="59"/>
                          <w:jc w:val="left"/>
                          <w:rPr>
                            <w:rFonts w:ascii="Times New Roman" w:hAnsi="Times New Roman" w:cs="Times New Roman" w:eastAsia="Times New Roman" w:hint="default"/>
                            <w:sz w:val="18"/>
                            <w:szCs w:val="18"/>
                          </w:rPr>
                        </w:pPr>
                        <w:r>
                          <w:rPr>
                            <w:rFonts w:ascii="Times New Roman"/>
                            <w:sz w:val="18"/>
                          </w:rPr>
                          <w:t>SWD-APP</w:t>
                        </w:r>
                        <w:r>
                          <w:rPr>
                            <w:rFonts w:ascii="Times New Roman"/>
                            <w:w w:val="99"/>
                            <w:sz w:val="18"/>
                          </w:rPr>
                          <w:t> </w:t>
                        </w:r>
                        <w:r>
                          <w:rPr>
                            <w:rFonts w:ascii="Times New Roman"/>
                            <w:spacing w:val="-3"/>
                            <w:sz w:val="18"/>
                          </w:rPr>
                          <w:t>FABRIC</w:t>
                        </w:r>
                        <w:r>
                          <w:rPr>
                            <w:rFonts w:ascii="Times New Roman"/>
                            <w:spacing w:val="-1"/>
                            <w:sz w:val="18"/>
                          </w:rPr>
                          <w:t> </w:t>
                        </w:r>
                        <w:r>
                          <w:rPr>
                            <w:rFonts w:ascii="Times New Roman"/>
                            <w:sz w:val="18"/>
                          </w:rPr>
                          <w:t>V2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2,369,181.08</w:t>
                        </w: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API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及平台开发。</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3"/>
                          <w:jc w:val="both"/>
                          <w:rPr>
                            <w:rFonts w:ascii="宋体" w:hAnsi="宋体" w:cs="宋体" w:eastAsia="宋体" w:hint="default"/>
                            <w:sz w:val="18"/>
                            <w:szCs w:val="18"/>
                          </w:rPr>
                        </w:pPr>
                        <w:r>
                          <w:rPr>
                            <w:rFonts w:ascii="Times New Roman" w:hAnsi="Times New Roman" w:cs="Times New Roman" w:eastAsia="Times New Roman" w:hint="default"/>
                            <w:sz w:val="18"/>
                            <w:szCs w:val="18"/>
                          </w:rPr>
                          <w:t>Fabric </w:t>
                        </w:r>
                        <w:r>
                          <w:rPr>
                            <w:rFonts w:ascii="宋体" w:hAnsi="宋体" w:cs="宋体" w:eastAsia="宋体" w:hint="default"/>
                            <w:sz w:val="18"/>
                            <w:szCs w:val="18"/>
                          </w:rPr>
                          <w:t>是 作</w:t>
                        </w:r>
                        <w:r>
                          <w:rPr>
                            <w:rFonts w:ascii="宋体" w:hAnsi="宋体" w:cs="宋体" w:eastAsia="宋体" w:hint="default"/>
                            <w:spacing w:val="38"/>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r>
                          <w:rPr>
                            <w:rFonts w:ascii="Times New Roman" w:hAnsi="Times New Roman" w:cs="Times New Roman" w:eastAsia="Times New Roman" w:hint="default"/>
                            <w:sz w:val="18"/>
                            <w:szCs w:val="18"/>
                          </w:rPr>
                          <w:t>SnapShot</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业务单元的 </w:t>
                        </w:r>
                        <w:r>
                          <w:rPr>
                            <w:rFonts w:ascii="宋体" w:hAnsi="宋体" w:cs="宋体" w:eastAsia="宋体" w:hint="default"/>
                            <w:spacing w:val="12"/>
                            <w:sz w:val="18"/>
                            <w:szCs w:val="18"/>
                          </w:rPr>
                          <w:t>一部分开发的。未来</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AC</w:t>
                        </w:r>
                        <w:r>
                          <w:rPr>
                            <w:rFonts w:ascii="Times New Roman" w:hAnsi="Times New Roman" w:cs="Times New Roman" w:eastAsia="Times New Roman" w:hint="default"/>
                            <w:spacing w:val="17"/>
                            <w:sz w:val="18"/>
                            <w:szCs w:val="18"/>
                          </w:rPr>
                          <w:t> </w:t>
                        </w:r>
                        <w:r>
                          <w:rPr>
                            <w:rFonts w:ascii="宋体" w:hAnsi="宋体" w:cs="宋体" w:eastAsia="宋体" w:hint="default"/>
                            <w:spacing w:val="13"/>
                            <w:sz w:val="18"/>
                            <w:szCs w:val="18"/>
                          </w:rPr>
                          <w:t>的战略转向使用</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Fabric</w:t>
                        </w:r>
                        <w:r>
                          <w:rPr>
                            <w:rFonts w:ascii="Times New Roman" w:hAnsi="Times New Roman" w:cs="Times New Roman" w:eastAsia="Times New Roman" w:hint="default"/>
                            <w:spacing w:val="12"/>
                            <w:sz w:val="18"/>
                            <w:szCs w:val="18"/>
                          </w:rPr>
                          <w:t> </w:t>
                        </w:r>
                        <w:r>
                          <w:rPr>
                            <w:rFonts w:ascii="宋体" w:hAnsi="宋体" w:cs="宋体" w:eastAsia="宋体" w:hint="default"/>
                            <w:spacing w:val="14"/>
                            <w:sz w:val="18"/>
                            <w:szCs w:val="18"/>
                          </w:rPr>
                          <w:t>框架。计划于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年底上线。</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1"/>
          <w:szCs w:val="11"/>
        </w:rPr>
      </w:pPr>
    </w:p>
    <w:p>
      <w:pPr>
        <w:spacing w:line="665" w:lineRule="exact"/>
        <w:ind w:left="7980"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85.75pt;height:33.3pt;mso-position-horizontal-relative:char;mso-position-vertical-relative:line" coordorigin="0,0" coordsize="1715,666">
            <v:group style="position:absolute;left:0;top:0;width:1715;height:313" coordorigin="0,0" coordsize="1715,313">
              <v:shape style="position:absolute;left:0;top:0;width:1715;height:313" coordorigin="0,0" coordsize="1715,313" path="m0,312l1714,312,1714,0,0,0,0,312xe" filled="true" fillcolor="#ffffff" stroked="false">
                <v:path arrowok="t"/>
                <v:fill type="solid"/>
              </v:shape>
            </v:group>
            <v:group style="position:absolute;left:0;top:312;width:1715;height:353" coordorigin="0,312" coordsize="1715,353">
              <v:shape style="position:absolute;left:0;top:312;width:1715;height:353" coordorigin="0,312" coordsize="1715,353" path="m0,665l1714,665,1714,312,0,312,0,665xe" filled="true" fillcolor="#ffffff" stroked="false">
                <v:path arrowok="t"/>
                <v:fill type="solid"/>
              </v:shape>
            </v:group>
          </v:group>
        </w:pict>
      </w:r>
      <w:r>
        <w:rPr>
          <w:rFonts w:ascii="宋体" w:hAnsi="宋体" w:cs="宋体" w:eastAsia="宋体" w:hint="default"/>
          <w:position w:val="-1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line="352" w:lineRule="exact"/>
        <w:ind w:left="7980"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85.75pt;height:17.650pt;mso-position-horizontal-relative:char;mso-position-vertical-relative:line" coordorigin="0,0" coordsize="1715,353">
            <v:group style="position:absolute;left:0;top:0;width:1715;height:353" coordorigin="0,0" coordsize="1715,353">
              <v:shape style="position:absolute;left:0;top:0;width:1715;height:353" coordorigin="0,0" coordsize="1715,353" path="m0,353l1714,353,1714,0,0,0,0,353xe" filled="true" fillcolor="#ffffff" stroked="false">
                <v:path arrowok="t"/>
                <v:fill type="solid"/>
              </v:shape>
            </v:group>
          </v:group>
        </w:pict>
      </w:r>
      <w:r>
        <w:rPr>
          <w:rFonts w:ascii="宋体" w:hAnsi="宋体" w:cs="宋体" w:eastAsia="宋体" w:hint="default"/>
          <w:position w:val="-6"/>
          <w:sz w:val="20"/>
          <w:szCs w:val="20"/>
        </w:rPr>
      </w:r>
    </w:p>
    <w:p>
      <w:pPr>
        <w:spacing w:after="0" w:line="352" w:lineRule="exact"/>
        <w:rPr>
          <w:rFonts w:ascii="宋体" w:hAnsi="宋体" w:cs="宋体" w:eastAsia="宋体" w:hint="default"/>
          <w:sz w:val="20"/>
          <w:szCs w:val="20"/>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404.663025pt;margin-top:587.709961pt;width:130.3pt;height:15.6pt;mso-position-horizontal-relative:page;mso-position-vertical-relative:page;z-index:-138452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数字货架、</w:t>
                  </w:r>
                </w:p>
              </w:txbxContent>
            </v:textbox>
            <w10:wrap type="none"/>
          </v:shape>
        </w:pict>
      </w:r>
      <w:r>
        <w:rPr/>
        <w:pict>
          <v:group style="position:absolute;margin-left:446.829987pt;margin-top:262.939972pt;width:88.15pt;height:40.950pt;mso-position-horizontal-relative:page;mso-position-vertical-relative:page;z-index:-1384504" coordorigin="8937,5259" coordsize="1763,819">
            <v:group style="position:absolute;left:8937;top:5922;width:1763;height:156" coordorigin="8937,5922" coordsize="1763,156">
              <v:shape style="position:absolute;left:8937;top:5922;width:1763;height:156" coordorigin="8937,5922" coordsize="1763,156" path="m8937,6078l10699,6078,10699,5922,8937,5922,8937,6078xe" filled="true" fillcolor="#ffffff" stroked="false">
                <v:path arrowok="t"/>
                <v:fill type="solid"/>
              </v:shape>
            </v:group>
            <v:group style="position:absolute;left:8961;top:5259;width:1715;height:312" coordorigin="8961,5259" coordsize="1715,312">
              <v:shape style="position:absolute;left:8961;top:5259;width:1715;height:312" coordorigin="8961,5259" coordsize="1715,312" path="m8961,5571l10675,5571,10675,5259,8961,5259,8961,5571xe" filled="true" fillcolor="#ffffff" stroked="false">
                <v:path arrowok="t"/>
                <v:fill type="solid"/>
              </v:shape>
            </v:group>
            <v:group style="position:absolute;left:8961;top:5571;width:1715;height:351" coordorigin="8961,5571" coordsize="1715,351">
              <v:shape style="position:absolute;left:8961;top:5571;width:1715;height:351" coordorigin="8961,5571" coordsize="1715,351" path="m8961,5922l10675,5922,10675,5571,8961,5571,8961,5922xe" filled="true" fillcolor="#ffffff" stroked="false">
                <v:path arrowok="t"/>
                <v:fill type="solid"/>
              </v:shape>
            </v:group>
            <w10:wrap type="none"/>
          </v:group>
        </w:pict>
      </w:r>
      <w:r>
        <w:rPr/>
        <w:pict>
          <v:group style="position:absolute;margin-left:448.029999pt;margin-top:353.209991pt;width:85.75pt;height:17.650pt;mso-position-horizontal-relative:page;mso-position-vertical-relative:page;z-index:-1384480" coordorigin="8961,7064" coordsize="1715,353">
            <v:shape style="position:absolute;left:8961;top:7064;width:1715;height:353" coordorigin="8961,7064" coordsize="1715,353" path="m8961,7417l10675,7417,10675,7064,8961,7064,8961,7417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994"/>
        <w:gridCol w:w="1274"/>
        <w:gridCol w:w="5531"/>
        <w:gridCol w:w="1772"/>
      </w:tblGrid>
      <w:tr>
        <w:trPr>
          <w:trHeight w:val="164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5"/>
              <w:ind w:left="24" w:right="96"/>
              <w:jc w:val="left"/>
              <w:rPr>
                <w:rFonts w:ascii="Times New Roman" w:hAnsi="Times New Roman" w:cs="Times New Roman" w:eastAsia="Times New Roman" w:hint="default"/>
                <w:sz w:val="18"/>
                <w:szCs w:val="18"/>
              </w:rPr>
            </w:pPr>
            <w:r>
              <w:rPr>
                <w:rFonts w:ascii="Times New Roman"/>
                <w:sz w:val="18"/>
              </w:rPr>
              <w:t>SWD-APPs</w:t>
            </w:r>
            <w:r>
              <w:rPr>
                <w:rFonts w:ascii="Times New Roman"/>
                <w:w w:val="99"/>
                <w:sz w:val="18"/>
              </w:rPr>
              <w:t> </w:t>
            </w:r>
            <w:r>
              <w:rPr>
                <w:rFonts w:ascii="Times New Roman"/>
                <w:sz w:val="18"/>
              </w:rPr>
              <w:t>V2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1,388,751.56</w:t>
            </w: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Snopshot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数据平台上的多个应用程序</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7"/>
              <w:jc w:val="both"/>
              <w:rPr>
                <w:rFonts w:ascii="宋体" w:hAnsi="宋体" w:cs="宋体" w:eastAsia="宋体" w:hint="default"/>
                <w:sz w:val="18"/>
                <w:szCs w:val="18"/>
              </w:rPr>
            </w:pPr>
            <w:r>
              <w:rPr>
                <w:rFonts w:ascii="宋体" w:hAnsi="宋体" w:cs="宋体" w:eastAsia="宋体" w:hint="default"/>
                <w:sz w:val="18"/>
                <w:szCs w:val="18"/>
              </w:rPr>
              <w:t>积极开发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项目及 </w:t>
            </w:r>
            <w:r>
              <w:rPr>
                <w:rFonts w:ascii="宋体" w:hAnsi="宋体" w:cs="宋体" w:eastAsia="宋体" w:hint="default"/>
                <w:spacing w:val="12"/>
                <w:sz w:val="18"/>
                <w:szCs w:val="18"/>
              </w:rPr>
              <w:t>报表功能以及安全的</w:t>
            </w:r>
            <w:r>
              <w:rPr>
                <w:rFonts w:ascii="宋体" w:hAnsi="宋体" w:cs="宋体" w:eastAsia="宋体" w:hint="default"/>
                <w:spacing w:val="12"/>
                <w:sz w:val="18"/>
                <w:szCs w:val="18"/>
              </w:rPr>
              <w:t> 应用程序，如段映射 </w:t>
            </w:r>
            <w:r>
              <w:rPr>
                <w:rFonts w:ascii="宋体" w:hAnsi="宋体" w:cs="宋体" w:eastAsia="宋体" w:hint="default"/>
                <w:sz w:val="18"/>
                <w:szCs w:val="18"/>
              </w:rPr>
              <w:t>器，</w:t>
            </w:r>
            <w:r>
              <w:rPr>
                <w:rFonts w:ascii="Times New Roman" w:hAnsi="Times New Roman" w:cs="Times New Roman" w:eastAsia="Times New Roman" w:hint="default"/>
                <w:sz w:val="18"/>
                <w:szCs w:val="18"/>
              </w:rPr>
              <w:t>Alter Me, </w:t>
            </w:r>
            <w:r>
              <w:rPr>
                <w:rFonts w:ascii="Times New Roman" w:hAnsi="Times New Roman" w:cs="Times New Roman" w:eastAsia="Times New Roman" w:hint="default"/>
                <w:spacing w:val="-5"/>
                <w:sz w:val="18"/>
                <w:szCs w:val="18"/>
              </w:rPr>
              <w:t>OTA</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佣 金跟踪。</w:t>
            </w:r>
          </w:p>
        </w:tc>
      </w:tr>
      <w:tr>
        <w:trPr>
          <w:trHeight w:val="165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富基信息</w:t>
            </w:r>
          </w:p>
          <w:p>
            <w:pPr>
              <w:pStyle w:val="TableParagraph"/>
              <w:spacing w:line="240" w:lineRule="auto" w:before="116"/>
              <w:ind w:left="24" w:right="0"/>
              <w:jc w:val="left"/>
              <w:rPr>
                <w:rFonts w:ascii="Times New Roman" w:hAnsi="Times New Roman" w:cs="Times New Roman" w:eastAsia="Times New Roman" w:hint="default"/>
                <w:sz w:val="18"/>
                <w:szCs w:val="18"/>
              </w:rPr>
            </w:pPr>
            <w:r>
              <w:rPr>
                <w:rFonts w:ascii="Times New Roman"/>
                <w:sz w:val="18"/>
              </w:rPr>
              <w:t>MSS</w:t>
            </w:r>
            <w:r>
              <w:rPr>
                <w:rFonts w:ascii="Times New Roman"/>
                <w:spacing w:val="-7"/>
                <w:sz w:val="18"/>
              </w:rPr>
              <w:t> </w:t>
            </w:r>
            <w:r>
              <w:rPr>
                <w:rFonts w:ascii="Times New Roman"/>
                <w:sz w:val="18"/>
              </w:rPr>
              <w:t>V2.0</w:t>
            </w:r>
          </w:p>
          <w:p>
            <w:pPr>
              <w:pStyle w:val="TableParagraph"/>
              <w:spacing w:line="309" w:lineRule="auto" w:before="63"/>
              <w:ind w:left="24" w:right="58"/>
              <w:jc w:val="left"/>
              <w:rPr>
                <w:rFonts w:ascii="宋体" w:hAnsi="宋体" w:cs="宋体" w:eastAsia="宋体" w:hint="default"/>
                <w:sz w:val="18"/>
                <w:szCs w:val="18"/>
              </w:rPr>
            </w:pPr>
            <w:r>
              <w:rPr>
                <w:rFonts w:ascii="宋体" w:hAnsi="宋体" w:cs="宋体" w:eastAsia="宋体" w:hint="default"/>
                <w:sz w:val="18"/>
                <w:szCs w:val="18"/>
              </w:rPr>
              <w:t>产品研发项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内部立 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5,560,545.79</w:t>
            </w: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本项目开发面向对象是百货行业客户，为百货零售企业提供</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架构 </w:t>
            </w:r>
            <w:r>
              <w:rPr>
                <w:rFonts w:ascii="Times New Roman" w:hAnsi="Times New Roman" w:cs="Times New Roman" w:eastAsia="Times New Roman" w:hint="default"/>
                <w:sz w:val="18"/>
                <w:szCs w:val="18"/>
              </w:rPr>
              <w:t>POS-ERP </w:t>
            </w:r>
            <w:r>
              <w:rPr>
                <w:rFonts w:ascii="宋体" w:hAnsi="宋体" w:cs="宋体" w:eastAsia="宋体" w:hint="default"/>
                <w:sz w:val="18"/>
                <w:szCs w:val="18"/>
              </w:rPr>
              <w:t>系统，提供招商管理、合同管理、物业管理、自营商品管理 </w:t>
            </w:r>
            <w:r>
              <w:rPr>
                <w:rFonts w:ascii="宋体" w:hAnsi="宋体" w:cs="宋体" w:eastAsia="宋体" w:hint="default"/>
                <w:spacing w:val="-3"/>
                <w:sz w:val="18"/>
                <w:szCs w:val="18"/>
              </w:rPr>
              <w:t>等解决方案，系统采用自主研发的产品。研究阶段：</w:t>
            </w:r>
            <w:r>
              <w:rPr>
                <w:rFonts w:ascii="Times New Roman" w:hAnsi="Times New Roman" w:cs="Times New Roman" w:eastAsia="Times New Roman" w:hint="default"/>
                <w:spacing w:val="-3"/>
                <w:sz w:val="18"/>
                <w:szCs w:val="18"/>
              </w:rPr>
              <w:t>2018.1-2018.2</w:t>
            </w:r>
            <w:r>
              <w:rPr>
                <w:rFonts w:ascii="宋体" w:hAnsi="宋体" w:cs="宋体" w:eastAsia="宋体" w:hint="default"/>
                <w:spacing w:val="-3"/>
                <w:sz w:val="18"/>
                <w:szCs w:val="18"/>
              </w:rPr>
              <w:t>；开</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发阶段为：</w:t>
            </w:r>
            <w:r>
              <w:rPr>
                <w:rFonts w:ascii="Times New Roman" w:hAnsi="Times New Roman" w:cs="Times New Roman" w:eastAsia="Times New Roman" w:hint="default"/>
                <w:spacing w:val="-2"/>
                <w:sz w:val="18"/>
                <w:szCs w:val="18"/>
              </w:rPr>
              <w:t>2018.3-2018.11</w:t>
            </w:r>
            <w:r>
              <w:rPr>
                <w:rFonts w:ascii="宋体" w:hAnsi="宋体" w:cs="宋体" w:eastAsia="宋体" w:hint="default"/>
                <w:spacing w:val="-2"/>
                <w:sz w:val="18"/>
                <w:szCs w:val="18"/>
              </w:rPr>
              <w:t>；测试阶段：</w:t>
            </w:r>
            <w:r>
              <w:rPr>
                <w:rFonts w:ascii="Times New Roman" w:hAnsi="Times New Roman" w:cs="Times New Roman" w:eastAsia="Times New Roman" w:hint="default"/>
                <w:spacing w:val="-2"/>
                <w:sz w:val="18"/>
                <w:szCs w:val="18"/>
              </w:rPr>
              <w:t>2018.11-2018.12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2018.12</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产品</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验收及结项。</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月已完成。</w:t>
            </w:r>
          </w:p>
        </w:tc>
      </w:tr>
      <w:tr>
        <w:trPr>
          <w:trHeight w:val="133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富基信息惠</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GO V2.0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产</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品研发项目</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内部立项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4,970,630.16</w:t>
            </w:r>
          </w:p>
        </w:tc>
        <w:tc>
          <w:tcPr>
            <w:tcW w:w="5531" w:type="dxa"/>
            <w:tcBorders>
              <w:top w:val="single" w:sz="4" w:space="0" w:color="000000"/>
              <w:left w:val="single" w:sz="4" w:space="0" w:color="000000"/>
              <w:bottom w:val="single" w:sz="4" w:space="0" w:color="000000"/>
              <w:right w:val="single" w:sz="10" w:space="0" w:color="FFFFFF"/>
            </w:tcBorders>
          </w:tcPr>
          <w:p>
            <w:pPr>
              <w:pStyle w:val="TableParagraph"/>
              <w:spacing w:line="312" w:lineRule="auto" w:before="49"/>
              <w:ind w:left="23" w:right="87"/>
              <w:jc w:val="both"/>
              <w:rPr>
                <w:rFonts w:ascii="宋体" w:hAnsi="宋体" w:cs="宋体" w:eastAsia="宋体" w:hint="default"/>
                <w:sz w:val="18"/>
                <w:szCs w:val="18"/>
              </w:rPr>
            </w:pPr>
            <w:r>
              <w:rPr>
                <w:rFonts w:ascii="宋体" w:hAnsi="宋体" w:cs="宋体" w:eastAsia="宋体" w:hint="default"/>
                <w:sz w:val="18"/>
                <w:szCs w:val="18"/>
              </w:rPr>
              <w:t>本项目开发面向零售行业客户，为客户提供公有云模式的会员营销系 统，提供电子会员、电子储值卡、电子券、积分商场及停车场等解决 </w:t>
            </w:r>
            <w:r>
              <w:rPr>
                <w:rFonts w:ascii="宋体" w:hAnsi="宋体" w:cs="宋体" w:eastAsia="宋体" w:hint="default"/>
                <w:spacing w:val="-5"/>
                <w:sz w:val="18"/>
                <w:szCs w:val="18"/>
              </w:rPr>
              <w:t>方案，系统采用自主研发的产品。研究阶段：</w:t>
            </w:r>
            <w:r>
              <w:rPr>
                <w:rFonts w:ascii="Times New Roman" w:hAnsi="Times New Roman" w:cs="Times New Roman" w:eastAsia="Times New Roman" w:hint="default"/>
                <w:spacing w:val="-5"/>
                <w:sz w:val="18"/>
                <w:szCs w:val="18"/>
              </w:rPr>
              <w:t>2018.3-2018.3</w:t>
            </w:r>
            <w:r>
              <w:rPr>
                <w:rFonts w:ascii="宋体" w:hAnsi="宋体" w:cs="宋体" w:eastAsia="宋体" w:hint="default"/>
                <w:spacing w:val="-5"/>
                <w:sz w:val="18"/>
                <w:szCs w:val="18"/>
              </w:rPr>
              <w:t>；开发阶段</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Times New Roman" w:hAnsi="Times New Roman" w:cs="Times New Roman" w:eastAsia="Times New Roman" w:hint="default"/>
                <w:spacing w:val="-4"/>
                <w:sz w:val="18"/>
                <w:szCs w:val="18"/>
              </w:rPr>
              <w:t>2018.4-2018.10</w:t>
            </w:r>
            <w:r>
              <w:rPr>
                <w:rFonts w:ascii="宋体" w:hAnsi="宋体" w:cs="宋体" w:eastAsia="宋体" w:hint="default"/>
                <w:spacing w:val="-4"/>
                <w:sz w:val="18"/>
                <w:szCs w:val="18"/>
              </w:rPr>
              <w:t>；测试阶段：</w:t>
            </w:r>
            <w:r>
              <w:rPr>
                <w:rFonts w:ascii="Times New Roman" w:hAnsi="Times New Roman" w:cs="Times New Roman" w:eastAsia="Times New Roman" w:hint="default"/>
                <w:spacing w:val="-4"/>
                <w:sz w:val="18"/>
                <w:szCs w:val="18"/>
              </w:rPr>
              <w:t>2018.11-2018.12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完成验收及结项</w:t>
            </w:r>
          </w:p>
        </w:tc>
        <w:tc>
          <w:tcPr>
            <w:tcW w:w="177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月完成，著</w:t>
            </w:r>
          </w:p>
          <w:p>
            <w:pPr>
              <w:pStyle w:val="TableParagraph"/>
              <w:spacing w:line="203" w:lineRule="exact" w:before="63"/>
              <w:ind w:left="16" w:right="0"/>
              <w:jc w:val="left"/>
              <w:rPr>
                <w:rFonts w:ascii="宋体" w:hAnsi="宋体" w:cs="宋体" w:eastAsia="宋体" w:hint="default"/>
                <w:sz w:val="18"/>
                <w:szCs w:val="18"/>
              </w:rPr>
            </w:pPr>
            <w:r>
              <w:rPr>
                <w:rFonts w:ascii="宋体" w:hAnsi="宋体" w:cs="宋体" w:eastAsia="宋体" w:hint="default"/>
                <w:sz w:val="18"/>
                <w:szCs w:val="18"/>
              </w:rPr>
              <w:t>作权证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月取</w:t>
            </w:r>
          </w:p>
          <w:p>
            <w:pPr>
              <w:pStyle w:val="TableParagraph"/>
              <w:spacing w:line="149"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56" w:lineRule="exact"/>
              <w:ind w:left="16" w:right="0"/>
              <w:jc w:val="left"/>
              <w:rPr>
                <w:rFonts w:ascii="宋体" w:hAnsi="宋体" w:cs="宋体" w:eastAsia="宋体" w:hint="default"/>
                <w:sz w:val="18"/>
                <w:szCs w:val="18"/>
              </w:rPr>
            </w:pPr>
            <w:r>
              <w:rPr>
                <w:rFonts w:ascii="宋体" w:hAnsi="宋体" w:cs="宋体" w:eastAsia="宋体" w:hint="default"/>
                <w:sz w:val="18"/>
                <w:szCs w:val="18"/>
              </w:rPr>
              <w:t>得。</w:t>
            </w:r>
          </w:p>
          <w:p>
            <w:pPr>
              <w:pStyle w:val="TableParagraph"/>
              <w:spacing w:line="19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65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富基信息自 助收银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产品研 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内 部立项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2,832,617.20</w:t>
            </w:r>
          </w:p>
        </w:tc>
        <w:tc>
          <w:tcPr>
            <w:tcW w:w="5531"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56"/>
              <w:ind w:left="23" w:right="26"/>
              <w:jc w:val="left"/>
              <w:rPr>
                <w:rFonts w:ascii="宋体" w:hAnsi="宋体" w:cs="宋体" w:eastAsia="宋体" w:hint="default"/>
                <w:sz w:val="18"/>
                <w:szCs w:val="18"/>
              </w:rPr>
            </w:pPr>
            <w:r>
              <w:rPr>
                <w:rFonts w:ascii="宋体" w:hAnsi="宋体" w:cs="宋体" w:eastAsia="宋体" w:hint="default"/>
                <w:sz w:val="18"/>
                <w:szCs w:val="18"/>
              </w:rPr>
              <w:t>本项目开发面向连锁商超客户，为客户提供自助收银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系统，系统 采用自主研发的产品。研究阶段：</w:t>
            </w:r>
            <w:r>
              <w:rPr>
                <w:rFonts w:ascii="Times New Roman" w:hAnsi="Times New Roman" w:cs="Times New Roman" w:eastAsia="Times New Roman" w:hint="default"/>
                <w:sz w:val="18"/>
                <w:szCs w:val="18"/>
              </w:rPr>
              <w:t>2018.4-2018.4</w:t>
            </w:r>
            <w:r>
              <w:rPr>
                <w:rFonts w:ascii="宋体" w:hAnsi="宋体" w:cs="宋体" w:eastAsia="宋体" w:hint="default"/>
                <w:sz w:val="18"/>
                <w:szCs w:val="18"/>
              </w:rPr>
              <w:t>；开发阶段：</w:t>
            </w:r>
          </w:p>
          <w:p>
            <w:pPr>
              <w:pStyle w:val="TableParagraph"/>
              <w:spacing w:line="240" w:lineRule="auto" w:before="15"/>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2018.5-2018.10</w:t>
            </w:r>
            <w:r>
              <w:rPr>
                <w:rFonts w:ascii="宋体" w:hAnsi="宋体" w:cs="宋体" w:eastAsia="宋体" w:hint="default"/>
                <w:sz w:val="18"/>
                <w:szCs w:val="18"/>
              </w:rPr>
              <w:t>；测试阶段</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2018.11-2018.11</w:t>
            </w:r>
            <w:r>
              <w:rPr>
                <w:rFonts w:ascii="宋体" w:hAnsi="宋体" w:cs="宋体" w:eastAsia="宋体" w:hint="default"/>
                <w:sz w:val="18"/>
                <w:szCs w:val="18"/>
              </w:rPr>
              <w:t>；</w:t>
            </w:r>
            <w:r>
              <w:rPr>
                <w:rFonts w:ascii="Times New Roman" w:hAnsi="Times New Roman" w:cs="Times New Roman" w:eastAsia="Times New Roman" w:hint="default"/>
                <w:sz w:val="18"/>
                <w:szCs w:val="18"/>
              </w:rPr>
              <w:t>2018.12</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完成验收及结项。</w:t>
            </w:r>
            <w:r>
              <w:rPr>
                <w:rFonts w:ascii="宋体" w:hAnsi="宋体" w:cs="宋体" w:eastAsia="宋体" w:hint="default"/>
                <w:sz w:val="18"/>
                <w:szCs w:val="18"/>
              </w:rPr>
            </w:r>
          </w:p>
        </w:tc>
        <w:tc>
          <w:tcPr>
            <w:tcW w:w="177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月完成，著</w:t>
            </w:r>
          </w:p>
          <w:p>
            <w:pPr>
              <w:pStyle w:val="TableParagraph"/>
              <w:spacing w:line="300" w:lineRule="auto" w:before="60"/>
              <w:ind w:left="16" w:right="23"/>
              <w:jc w:val="left"/>
              <w:rPr>
                <w:rFonts w:ascii="宋体" w:hAnsi="宋体" w:cs="宋体" w:eastAsia="宋体" w:hint="default"/>
                <w:sz w:val="18"/>
                <w:szCs w:val="18"/>
              </w:rPr>
            </w:pPr>
            <w:r>
              <w:rPr>
                <w:rFonts w:ascii="宋体" w:hAnsi="宋体" w:cs="宋体" w:eastAsia="宋体" w:hint="default"/>
                <w:sz w:val="18"/>
                <w:szCs w:val="18"/>
              </w:rPr>
              <w:t>作权证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月取 得。</w:t>
            </w:r>
          </w:p>
        </w:tc>
      </w:tr>
      <w:tr>
        <w:trPr>
          <w:trHeight w:val="133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8"/>
              <w:jc w:val="left"/>
              <w:rPr>
                <w:rFonts w:ascii="宋体" w:hAnsi="宋体" w:cs="宋体" w:eastAsia="宋体" w:hint="default"/>
                <w:sz w:val="18"/>
                <w:szCs w:val="18"/>
              </w:rPr>
            </w:pPr>
            <w:r>
              <w:rPr>
                <w:rFonts w:ascii="宋体" w:hAnsi="宋体" w:cs="宋体" w:eastAsia="宋体" w:hint="default"/>
                <w:sz w:val="18"/>
                <w:szCs w:val="18"/>
              </w:rPr>
              <w:t>建材商超门 店系统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1,229,310.38</w:t>
            </w: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本项目目标是研发出来一款适合市场家装商超门店的产品。系统采用 自主研发，研究阶段：</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2017.10.01-2018.1.29</w:t>
            </w:r>
            <w:r>
              <w:rPr>
                <w:rFonts w:ascii="宋体" w:hAnsi="宋体" w:cs="宋体" w:eastAsia="宋体" w:hint="default"/>
                <w:sz w:val="18"/>
                <w:szCs w:val="18"/>
              </w:rPr>
              <w:t>，开发第一阶段： </w:t>
            </w:r>
            <w:r>
              <w:rPr>
                <w:rFonts w:ascii="Times New Roman" w:hAnsi="Times New Roman" w:cs="Times New Roman" w:eastAsia="Times New Roman" w:hint="default"/>
                <w:sz w:val="18"/>
                <w:szCs w:val="18"/>
              </w:rPr>
              <w:t>2018.1.30-2018.8.26  </w:t>
            </w:r>
            <w:r>
              <w:rPr>
                <w:rFonts w:ascii="宋体" w:hAnsi="宋体" w:cs="宋体" w:eastAsia="宋体" w:hint="default"/>
                <w:spacing w:val="-5"/>
                <w:sz w:val="18"/>
                <w:szCs w:val="18"/>
              </w:rPr>
              <w:t>开发阶段；开发第二阶段：</w:t>
            </w:r>
            <w:r>
              <w:rPr>
                <w:rFonts w:ascii="Times New Roman" w:hAnsi="Times New Roman" w:cs="Times New Roman" w:eastAsia="Times New Roman" w:hint="default"/>
                <w:spacing w:val="-5"/>
                <w:sz w:val="18"/>
                <w:szCs w:val="18"/>
              </w:rPr>
              <w:t>2018.8.27-2018.11.30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测</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试阶段；开发第三阶段：</w:t>
            </w:r>
            <w:r>
              <w:rPr>
                <w:rFonts w:ascii="Times New Roman" w:hAnsi="Times New Roman" w:cs="Times New Roman" w:eastAsia="Times New Roman" w:hint="default"/>
                <w:sz w:val="18"/>
                <w:szCs w:val="18"/>
              </w:rPr>
              <w:t>2018.12.1-2018.12.21</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集成测试阶段及结项。</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月份底已按 计划完成开发实施并 </w:t>
            </w:r>
            <w:r>
              <w:rPr>
                <w:rFonts w:ascii="宋体" w:hAnsi="宋体" w:cs="宋体" w:eastAsia="宋体" w:hint="default"/>
                <w:spacing w:val="-9"/>
                <w:sz w:val="18"/>
                <w:szCs w:val="18"/>
              </w:rPr>
              <w:t>结项。目前在申办软件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著作权中。</w:t>
            </w:r>
          </w:p>
        </w:tc>
      </w:tr>
      <w:tr>
        <w:trPr>
          <w:trHeight w:val="134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建材市场</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758,206.06</w:t>
            </w: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本项目目标是研发出来一款适合家装市场的收银系统的产品。系统采 用自主研发，研究阶段： </w:t>
            </w:r>
            <w:r>
              <w:rPr>
                <w:rFonts w:ascii="Times New Roman" w:hAnsi="Times New Roman" w:cs="Times New Roman" w:eastAsia="Times New Roman" w:hint="default"/>
                <w:sz w:val="18"/>
                <w:szCs w:val="18"/>
              </w:rPr>
              <w:t>2018.01.02-2018.1.31</w:t>
            </w:r>
            <w:r>
              <w:rPr>
                <w:rFonts w:ascii="宋体" w:hAnsi="宋体" w:cs="宋体" w:eastAsia="宋体" w:hint="default"/>
                <w:sz w:val="18"/>
                <w:szCs w:val="18"/>
              </w:rPr>
              <w:t>，开发第一阶段： </w:t>
            </w:r>
            <w:r>
              <w:rPr>
                <w:rFonts w:ascii="Times New Roman" w:hAnsi="Times New Roman" w:cs="Times New Roman" w:eastAsia="Times New Roman" w:hint="default"/>
                <w:sz w:val="18"/>
                <w:szCs w:val="18"/>
              </w:rPr>
              <w:t>2018.2.1-2018.7.6  </w:t>
            </w:r>
            <w:r>
              <w:rPr>
                <w:rFonts w:ascii="宋体" w:hAnsi="宋体" w:cs="宋体" w:eastAsia="宋体" w:hint="default"/>
                <w:sz w:val="18"/>
                <w:szCs w:val="18"/>
              </w:rPr>
              <w:t>开发阶段；开发第二阶段：</w:t>
            </w:r>
            <w:r>
              <w:rPr>
                <w:rFonts w:ascii="Times New Roman" w:hAnsi="Times New Roman" w:cs="Times New Roman" w:eastAsia="Times New Roman" w:hint="default"/>
                <w:sz w:val="18"/>
                <w:szCs w:val="18"/>
              </w:rPr>
              <w:t>2018.7.7-2018.10.30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测试</w:t>
            </w:r>
          </w:p>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阶段；开发第三阶段：</w:t>
            </w:r>
            <w:r>
              <w:rPr>
                <w:rFonts w:ascii="Times New Roman" w:hAnsi="Times New Roman" w:cs="Times New Roman" w:eastAsia="Times New Roman" w:hint="default"/>
                <w:sz w:val="18"/>
                <w:szCs w:val="18"/>
              </w:rPr>
              <w:t>2018.11.1-2018.12.20</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集成测试阶段及结项。</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月份底已按 计划完成开发实施并 </w:t>
            </w:r>
            <w:r>
              <w:rPr>
                <w:rFonts w:ascii="宋体" w:hAnsi="宋体" w:cs="宋体" w:eastAsia="宋体" w:hint="default"/>
                <w:spacing w:val="-9"/>
                <w:sz w:val="18"/>
                <w:szCs w:val="18"/>
              </w:rPr>
              <w:t>结项。目前在申办软件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著作权中。</w:t>
            </w:r>
          </w:p>
        </w:tc>
      </w:tr>
      <w:tr>
        <w:trPr>
          <w:trHeight w:val="133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8"/>
              <w:jc w:val="left"/>
              <w:rPr>
                <w:rFonts w:ascii="宋体" w:hAnsi="宋体" w:cs="宋体" w:eastAsia="宋体" w:hint="default"/>
                <w:sz w:val="18"/>
                <w:szCs w:val="18"/>
              </w:rPr>
            </w:pPr>
            <w:r>
              <w:rPr>
                <w:rFonts w:ascii="宋体" w:hAnsi="宋体" w:cs="宋体" w:eastAsia="宋体" w:hint="default"/>
                <w:sz w:val="18"/>
                <w:szCs w:val="18"/>
              </w:rPr>
              <w:t>建材市场管 理系统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1,297,569.52</w:t>
            </w: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本项目目标是研发出来一款适合家装市场租赁管理的产品。系统采用 自主研发，研究阶段：</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2018.01.02-2018.1.31</w:t>
            </w:r>
            <w:r>
              <w:rPr>
                <w:rFonts w:ascii="宋体" w:hAnsi="宋体" w:cs="宋体" w:eastAsia="宋体" w:hint="default"/>
                <w:sz w:val="18"/>
                <w:szCs w:val="18"/>
              </w:rPr>
              <w:t>，开发第一阶段： </w:t>
            </w:r>
            <w:r>
              <w:rPr>
                <w:rFonts w:ascii="Times New Roman" w:hAnsi="Times New Roman" w:cs="Times New Roman" w:eastAsia="Times New Roman" w:hint="default"/>
                <w:sz w:val="18"/>
                <w:szCs w:val="18"/>
              </w:rPr>
              <w:t>2018.2.27-2018.9.1 </w:t>
            </w:r>
            <w:r>
              <w:rPr>
                <w:rFonts w:ascii="宋体" w:hAnsi="宋体" w:cs="宋体" w:eastAsia="宋体" w:hint="default"/>
                <w:sz w:val="18"/>
                <w:szCs w:val="18"/>
              </w:rPr>
              <w:t>开发阶段；开发第二阶段：</w:t>
            </w:r>
            <w:r>
              <w:rPr>
                <w:rFonts w:ascii="Times New Roman" w:hAnsi="Times New Roman" w:cs="Times New Roman" w:eastAsia="Times New Roman" w:hint="default"/>
                <w:sz w:val="18"/>
                <w:szCs w:val="18"/>
              </w:rPr>
              <w:t>2018.9.2-2018.11.4</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测试</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阶段；开发第三阶段：</w:t>
            </w:r>
            <w:r>
              <w:rPr>
                <w:rFonts w:ascii="Times New Roman" w:hAnsi="Times New Roman" w:cs="Times New Roman" w:eastAsia="Times New Roman" w:hint="default"/>
                <w:sz w:val="18"/>
                <w:szCs w:val="18"/>
              </w:rPr>
              <w:t>2018.11.5-2018.12.31</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集成测试阶段及结项。</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月份底已按 计划完成开发实施并 </w:t>
            </w:r>
            <w:r>
              <w:rPr>
                <w:rFonts w:ascii="宋体" w:hAnsi="宋体" w:cs="宋体" w:eastAsia="宋体" w:hint="default"/>
                <w:spacing w:val="-9"/>
                <w:sz w:val="18"/>
                <w:szCs w:val="18"/>
              </w:rPr>
              <w:t>结项。目前在申办软件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著作权中。</w:t>
            </w: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数字门店项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内部研 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1,560,997.47</w:t>
            </w: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本项目开发面向连锁商超客户，为客户提供人脸识别客流、 </w:t>
            </w:r>
            <w:r>
              <w:rPr>
                <w:rFonts w:ascii="宋体" w:hAnsi="宋体" w:cs="宋体" w:eastAsia="宋体" w:hint="default"/>
                <w:spacing w:val="-3"/>
                <w:sz w:val="18"/>
                <w:szCs w:val="18"/>
              </w:rPr>
              <w:t>云货架、人脸领券及用券等新技术体验。研究阶段：</w:t>
            </w:r>
            <w:r>
              <w:rPr>
                <w:rFonts w:ascii="Times New Roman" w:hAnsi="Times New Roman" w:cs="Times New Roman" w:eastAsia="Times New Roman" w:hint="default"/>
                <w:spacing w:val="-3"/>
                <w:sz w:val="18"/>
                <w:szCs w:val="18"/>
              </w:rPr>
              <w:t>2018.6-2018.6</w:t>
            </w:r>
            <w:r>
              <w:rPr>
                <w:rFonts w:ascii="宋体" w:hAnsi="宋体" w:cs="宋体" w:eastAsia="宋体" w:hint="default"/>
                <w:spacing w:val="-3"/>
                <w:sz w:val="18"/>
                <w:szCs w:val="18"/>
              </w:rPr>
              <w:t>；开</w:t>
            </w:r>
            <w:r>
              <w:rPr>
                <w:rFonts w:ascii="宋体" w:hAnsi="宋体" w:cs="宋体" w:eastAsia="宋体" w:hint="default"/>
                <w:spacing w:val="-76"/>
                <w:sz w:val="18"/>
                <w:szCs w:val="18"/>
              </w:rPr>
              <w:t> </w:t>
            </w:r>
            <w:r>
              <w:rPr>
                <w:rFonts w:ascii="宋体" w:hAnsi="宋体" w:cs="宋体" w:eastAsia="宋体" w:hint="default"/>
                <w:sz w:val="18"/>
                <w:szCs w:val="18"/>
              </w:rPr>
              <w:t>发阶段</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2018.7-2018.11</w:t>
            </w:r>
            <w:r>
              <w:rPr>
                <w:rFonts w:ascii="宋体" w:hAnsi="宋体" w:cs="宋体" w:eastAsia="宋体" w:hint="default"/>
                <w:sz w:val="18"/>
                <w:szCs w:val="18"/>
              </w:rPr>
              <w:t>；测试阶段：</w:t>
            </w:r>
            <w:r>
              <w:rPr>
                <w:rFonts w:ascii="Times New Roman" w:hAnsi="Times New Roman" w:cs="Times New Roman" w:eastAsia="Times New Roman" w:hint="default"/>
                <w:sz w:val="18"/>
                <w:szCs w:val="18"/>
              </w:rPr>
              <w:t>2018.11-2018.12</w:t>
            </w:r>
            <w:r>
              <w:rPr>
                <w:rFonts w:ascii="宋体" w:hAnsi="宋体" w:cs="宋体" w:eastAsia="宋体" w:hint="default"/>
                <w:sz w:val="18"/>
                <w:szCs w:val="18"/>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88.15pt;height:15.6pt;mso-position-horizontal-relative:char;mso-position-vertical-relative:line" coordorigin="0,0" coordsize="1763,312">
                  <v:group style="position:absolute;left:0;top:0;width:1763;height:312" coordorigin="0,0" coordsize="1763,312">
                    <v:shape style="position:absolute;left:0;top:0;width:1763;height:312" coordorigin="0,0" coordsize="1763,312" path="m0,312l1762,312,1762,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3"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月已完成。</w:t>
            </w:r>
          </w:p>
        </w:tc>
      </w:tr>
      <w:tr>
        <w:trPr>
          <w:trHeight w:val="164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新一代 </w:t>
            </w:r>
            <w:r>
              <w:rPr>
                <w:rFonts w:ascii="Times New Roman" w:hAnsi="Times New Roman" w:cs="Times New Roman" w:eastAsia="Times New Roman" w:hint="default"/>
                <w:spacing w:val="-12"/>
                <w:sz w:val="18"/>
                <w:szCs w:val="18"/>
              </w:rPr>
              <w:t>JAVA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富客 户端技术在 公寓长租业 务中的应用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150,376.36</w:t>
            </w: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本项目开发面对对象是公寓式酒店行业客户，为酒店提供前台客房预 订、客房信息管理的经营管理数据，系统采用自主研发的产品。研究 阶段：</w:t>
            </w:r>
            <w:r>
              <w:rPr>
                <w:rFonts w:ascii="Times New Roman" w:hAnsi="Times New Roman" w:cs="Times New Roman" w:eastAsia="Times New Roman" w:hint="default"/>
                <w:sz w:val="18"/>
                <w:szCs w:val="18"/>
              </w:rPr>
              <w:t>2018.08.28-2018.09.21</w:t>
            </w:r>
            <w:r>
              <w:rPr>
                <w:rFonts w:ascii="宋体" w:hAnsi="宋体" w:cs="宋体" w:eastAsia="宋体" w:hint="default"/>
                <w:sz w:val="18"/>
                <w:szCs w:val="18"/>
              </w:rPr>
              <w:t>。开发第一阶段：</w:t>
            </w:r>
            <w:r>
              <w:rPr>
                <w:rFonts w:ascii="Times New Roman" w:hAnsi="Times New Roman" w:cs="Times New Roman" w:eastAsia="Times New Roman" w:hint="default"/>
                <w:sz w:val="18"/>
                <w:szCs w:val="18"/>
              </w:rPr>
              <w:t>2018.10-2018.11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产品研</w:t>
            </w:r>
          </w:p>
          <w:p>
            <w:pPr>
              <w:pStyle w:val="TableParagraph"/>
              <w:spacing w:line="300" w:lineRule="auto"/>
              <w:ind w:left="23" w:right="21"/>
              <w:jc w:val="both"/>
              <w:rPr>
                <w:rFonts w:ascii="宋体" w:hAnsi="宋体" w:cs="宋体" w:eastAsia="宋体" w:hint="default"/>
                <w:sz w:val="18"/>
                <w:szCs w:val="18"/>
              </w:rPr>
            </w:pPr>
            <w:r>
              <w:rPr>
                <w:rFonts w:ascii="宋体" w:hAnsi="宋体" w:cs="宋体" w:eastAsia="宋体" w:hint="default"/>
                <w:spacing w:val="-3"/>
                <w:sz w:val="18"/>
                <w:szCs w:val="18"/>
              </w:rPr>
              <w:t>发；第二阶段：</w:t>
            </w:r>
            <w:r>
              <w:rPr>
                <w:rFonts w:ascii="Times New Roman" w:hAnsi="Times New Roman" w:cs="Times New Roman" w:eastAsia="Times New Roman" w:hint="default"/>
                <w:spacing w:val="-3"/>
                <w:sz w:val="18"/>
                <w:szCs w:val="18"/>
              </w:rPr>
              <w:t>2018.11-2018.11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产品测试；第三阶段：</w:t>
            </w:r>
            <w:r>
              <w:rPr>
                <w:rFonts w:ascii="Times New Roman" w:hAnsi="Times New Roman" w:cs="Times New Roman" w:eastAsia="Times New Roman" w:hint="default"/>
                <w:sz w:val="18"/>
                <w:szCs w:val="18"/>
              </w:rPr>
              <w:t>2018.12-2018.12 </w:t>
            </w:r>
            <w:r>
              <w:rPr>
                <w:rFonts w:ascii="宋体" w:hAnsi="宋体" w:cs="宋体" w:eastAsia="宋体" w:hint="default"/>
                <w:sz w:val="18"/>
                <w:szCs w:val="18"/>
              </w:rPr>
              <w:t>产品验收及结项。</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2"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月份底已按 计划完成开发实施并 </w:t>
            </w:r>
            <w:r>
              <w:rPr>
                <w:rFonts w:ascii="宋体" w:hAnsi="宋体" w:cs="宋体" w:eastAsia="宋体" w:hint="default"/>
                <w:spacing w:val="-9"/>
                <w:sz w:val="18"/>
                <w:szCs w:val="18"/>
              </w:rPr>
              <w:t>结项。目前在申办软件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著作权中。</w:t>
            </w:r>
          </w:p>
        </w:tc>
      </w:tr>
      <w:tr>
        <w:trPr>
          <w:trHeight w:val="67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服务 平台</w:t>
            </w:r>
            <w:r>
              <w:rPr>
                <w:rFonts w:ascii="Times New Roman" w:hAnsi="Times New Roman" w:cs="Times New Roman" w:eastAsia="Times New Roman" w:hint="default"/>
                <w:sz w:val="18"/>
                <w:szCs w:val="18"/>
              </w:rPr>
              <w:t>-</w:t>
            </w:r>
            <w:r>
              <w:rPr>
                <w:rFonts w:ascii="宋体" w:hAnsi="宋体" w:cs="宋体" w:eastAsia="宋体" w:hint="default"/>
                <w:sz w:val="18"/>
                <w:szCs w:val="18"/>
              </w:rPr>
              <w:t>内部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14,464,619.47</w:t>
            </w: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作为新零售形势下零售企业全渠道经营的核心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系统，能够帮</w:t>
            </w:r>
            <w:r>
              <w:rPr>
                <w:rFonts w:ascii="宋体" w:hAnsi="宋体" w:cs="宋体" w:eastAsia="宋体" w:hint="default"/>
                <w:sz w:val="18"/>
                <w:szCs w:val="18"/>
              </w:rPr>
              <w:t> 助零售企业快速部署、并获得全渠道一致的顾客体验，是下一代零售</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月份底已按 计划完成开发实施并</w:t>
            </w:r>
          </w:p>
        </w:tc>
      </w:tr>
    </w:tbl>
    <w:p>
      <w:pPr>
        <w:spacing w:after="0" w:line="297"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404.654022pt;margin-top:105.749985pt;width:130.3pt;height:187.25pt;mso-position-horizontal-relative:page;mso-position-vertical-relative:page;z-index:-13844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0"/>
                    <w:ind w:left="0" w:right="0" w:firstLine="0"/>
                    <w:jc w:val="left"/>
                    <w:rPr>
                      <w:rFonts w:ascii="宋体" w:hAnsi="宋体" w:cs="宋体" w:eastAsia="宋体" w:hint="default"/>
                      <w:sz w:val="18"/>
                      <w:szCs w:val="18"/>
                    </w:rPr>
                  </w:pPr>
                  <w:r>
                    <w:rPr>
                      <w:rFonts w:ascii="宋体" w:hAnsi="宋体" w:cs="宋体" w:eastAsia="宋体" w:hint="default"/>
                      <w:sz w:val="18"/>
                      <w:szCs w:val="18"/>
                    </w:rPr>
                    <w:t>键定义等）</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994"/>
        <w:gridCol w:w="1274"/>
        <w:gridCol w:w="5531"/>
        <w:gridCol w:w="1772"/>
      </w:tblGrid>
      <w:tr>
        <w:trPr>
          <w:trHeight w:val="441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立项</w:t>
            </w:r>
          </w:p>
        </w:tc>
        <w:tc>
          <w:tcPr>
            <w:tcW w:w="1274" w:type="dxa"/>
            <w:tcBorders>
              <w:top w:val="single" w:sz="4" w:space="0" w:color="000000"/>
              <w:left w:val="single" w:sz="4" w:space="0" w:color="000000"/>
              <w:bottom w:val="single" w:sz="4" w:space="0" w:color="000000"/>
              <w:right w:val="single" w:sz="4" w:space="0" w:color="000000"/>
            </w:tcBorders>
          </w:tcPr>
          <w:p>
            <w:pP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8"/>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系统的核心系统之一。云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服务平台是云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项目的子项目之 一，其包含：</w:t>
            </w:r>
            <w:r>
              <w:rPr>
                <w:rFonts w:ascii="Times New Roman" w:hAnsi="Times New Roman" w:cs="Times New Roman" w:eastAsia="Times New Roman" w:hint="default"/>
                <w:sz w:val="18"/>
                <w:szCs w:val="18"/>
              </w:rPr>
              <w:t>1</w:t>
            </w:r>
            <w:r>
              <w:rPr>
                <w:rFonts w:ascii="宋体" w:hAnsi="宋体" w:cs="宋体" w:eastAsia="宋体" w:hint="default"/>
                <w:sz w:val="18"/>
                <w:szCs w:val="18"/>
              </w:rPr>
              <w:t>、与销售业务相关的核心业务中台研发：其中主数据中 心、订单中心、履约中心、库存中心包含在本次立项中，营促销中心 采用原有系统集成；</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管理后台：完成集中的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终端定义以 及各种业务规则（如电子秤规则、各种小票打印格式、快捷 的定义，</w:t>
            </w:r>
            <w:r>
              <w:rPr>
                <w:rFonts w:ascii="Times New Roman" w:hAnsi="Times New Roman" w:cs="Times New Roman" w:eastAsia="Times New Roman" w:hint="default"/>
                <w:sz w:val="18"/>
                <w:szCs w:val="18"/>
              </w:rPr>
              <w:t>POS </w:t>
            </w:r>
            <w:r>
              <w:rPr>
                <w:rFonts w:ascii="宋体" w:hAnsi="宋体" w:cs="宋体" w:eastAsia="宋体" w:hint="default"/>
                <w:sz w:val="18"/>
                <w:szCs w:val="18"/>
              </w:rPr>
              <w:t>终端的监控，</w:t>
            </w:r>
            <w:r>
              <w:rPr>
                <w:rFonts w:ascii="Times New Roman" w:hAnsi="Times New Roman" w:cs="Times New Roman" w:eastAsia="Times New Roman" w:hint="default"/>
                <w:sz w:val="18"/>
                <w:szCs w:val="18"/>
              </w:rPr>
              <w:t>POS </w:t>
            </w:r>
            <w:r>
              <w:rPr>
                <w:rFonts w:ascii="宋体" w:hAnsi="宋体" w:cs="宋体" w:eastAsia="宋体" w:hint="default"/>
                <w:sz w:val="18"/>
                <w:szCs w:val="18"/>
              </w:rPr>
              <w:t>相关管理报表，</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版本更新等；</w:t>
            </w:r>
            <w:r>
              <w:rPr>
                <w:rFonts w:ascii="Times New Roman" w:hAnsi="Times New Roman" w:cs="Times New Roman" w:eastAsia="Times New Roman" w:hint="default"/>
                <w:sz w:val="18"/>
                <w:szCs w:val="18"/>
              </w:rPr>
              <w:t>3</w:t>
            </w:r>
            <w:r>
              <w:rPr>
                <w:rFonts w:ascii="宋体" w:hAnsi="宋体" w:cs="宋体" w:eastAsia="宋体" w:hint="default"/>
                <w:sz w:val="18"/>
                <w:szCs w:val="18"/>
              </w:rPr>
              <w:t>、 支持全渠道销售的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API </w:t>
            </w:r>
            <w:r>
              <w:rPr>
                <w:rFonts w:ascii="宋体" w:hAnsi="宋体" w:cs="宋体" w:eastAsia="宋体" w:hint="default"/>
                <w:sz w:val="18"/>
                <w:szCs w:val="18"/>
              </w:rPr>
              <w:t>接入服务</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、共享购物车的开发。本项目分为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w w:val="99"/>
                <w:sz w:val="18"/>
                <w:szCs w:val="18"/>
              </w:rPr>
              <w:t> </w:t>
            </w:r>
            <w:r>
              <w:rPr>
                <w:rFonts w:ascii="宋体" w:hAnsi="宋体" w:cs="宋体" w:eastAsia="宋体" w:hint="default"/>
                <w:spacing w:val="-5"/>
                <w:sz w:val="18"/>
                <w:szCs w:val="18"/>
              </w:rPr>
              <w:t>个阶段：</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月：产品规划研讨阶段，确定技术</w:t>
            </w:r>
            <w:r>
              <w:rPr>
                <w:rFonts w:ascii="宋体" w:hAnsi="宋体" w:cs="宋体" w:eastAsia="宋体" w:hint="default"/>
                <w:w w:val="99"/>
                <w:sz w:val="18"/>
                <w:szCs w:val="18"/>
              </w:rPr>
              <w:t> </w:t>
            </w:r>
            <w:r>
              <w:rPr>
                <w:rFonts w:ascii="宋体" w:hAnsi="宋体" w:cs="宋体" w:eastAsia="宋体" w:hint="default"/>
                <w:sz w:val="18"/>
                <w:szCs w:val="18"/>
              </w:rPr>
              <w:t>方案、功能规划，提供云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产品技术方案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月：完成产品原型设计</w:t>
            </w:r>
            <w:r>
              <w:rPr>
                <w:rFonts w:ascii="宋体" w:hAnsi="宋体" w:cs="宋体" w:eastAsia="宋体" w:hint="default"/>
                <w:spacing w:val="-47"/>
                <w:sz w:val="18"/>
                <w:szCs w:val="18"/>
              </w:rPr>
              <w:t> </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月：完成云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服务平台的产品开发和测试</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月：与云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前端产品、全渠道会员营销产品、试点项目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产品的集成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月：完成试点项目的上线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 产品发布评审并申请著作权。</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结项</w:t>
            </w:r>
            <w:r>
              <w:rPr>
                <w:rFonts w:ascii="宋体" w:hAnsi="宋体" w:cs="宋体" w:eastAsia="宋体" w:hint="default"/>
                <w:spacing w:val="-85"/>
                <w:sz w:val="18"/>
                <w:szCs w:val="18"/>
              </w:rPr>
              <w:t>。</w:t>
            </w:r>
            <w:r>
              <w:rPr>
                <w:rFonts w:ascii="宋体" w:hAnsi="宋体" w:cs="宋体" w:eastAsia="宋体" w:hint="default"/>
                <w:sz w:val="18"/>
                <w:szCs w:val="18"/>
              </w:rPr>
              <w:t>著作权证已经在</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月取得。</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74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4"/>
                <w:sz w:val="20"/>
                <w:szCs w:val="20"/>
              </w:rPr>
              <w:pict>
                <v:group style="width:88.15pt;height:187.25pt;mso-position-horizontal-relative:char;mso-position-vertical-relative:line" coordorigin="0,0" coordsize="1763,3745">
                  <v:group style="position:absolute;left:0;top:0;width:1763;height:3745" coordorigin="0,0" coordsize="1763,3745">
                    <v:shape style="position:absolute;left:0;top:0;width:1763;height:3745" coordorigin="0,0" coordsize="1763,3745" path="m0,3744l1762,3744,1762,0,0,0,0,3744xe" filled="true" fillcolor="#ffffff" stroked="false">
                      <v:path arrowok="t"/>
                      <v:fill type="solid"/>
                    </v:shape>
                  </v:group>
                </v:group>
              </w:pict>
            </w:r>
            <w:r>
              <w:rPr>
                <w:rFonts w:ascii="Times New Roman" w:hAnsi="Times New Roman" w:cs="Times New Roman" w:eastAsia="Times New Roman" w:hint="default"/>
                <w:position w:val="-74"/>
                <w:sz w:val="20"/>
                <w:szCs w:val="20"/>
              </w:rPr>
            </w:r>
          </w:p>
        </w:tc>
      </w:tr>
      <w:tr>
        <w:trPr>
          <w:trHeight w:val="383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0" w:lineRule="auto"/>
              <w:ind w:left="24" w:right="19"/>
              <w:jc w:val="left"/>
              <w:rPr>
                <w:rFonts w:ascii="宋体" w:hAnsi="宋体" w:cs="宋体" w:eastAsia="宋体" w:hint="default"/>
                <w:sz w:val="18"/>
                <w:szCs w:val="18"/>
              </w:rPr>
            </w:pPr>
            <w:r>
              <w:rPr>
                <w:rFonts w:ascii="宋体" w:hAnsi="宋体" w:cs="宋体" w:eastAsia="宋体" w:hint="default"/>
                <w:sz w:val="18"/>
                <w:szCs w:val="18"/>
              </w:rPr>
              <w:t>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移动 端</w:t>
            </w:r>
            <w:r>
              <w:rPr>
                <w:rFonts w:ascii="Times New Roman" w:hAnsi="Times New Roman" w:cs="Times New Roman" w:eastAsia="Times New Roman" w:hint="default"/>
                <w:sz w:val="18"/>
                <w:szCs w:val="18"/>
              </w:rPr>
              <w:t>-</w:t>
            </w:r>
            <w:r>
              <w:rPr>
                <w:rFonts w:ascii="宋体" w:hAnsi="宋体" w:cs="宋体" w:eastAsia="宋体" w:hint="default"/>
                <w:sz w:val="18"/>
                <w:szCs w:val="18"/>
              </w:rPr>
              <w:t>内部立 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2,069,112.36</w:t>
            </w: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移动端是云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项目的子项目之一，利用移动设备完成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收款工作，并与云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服务平台对接，使得零售企业可以有效提高收 款机设备占有场地和人员的利用率。在营业高峰，可以利用非收款员 和移动设备接入云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服务平台，解决高峰期排队问题，而在闲时安 排少量的固定收款通道和人员。本项目分为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个阶段：</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月：产品规划研讨阶段，确定技术方案、功能规划，提 供云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产品技术方案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月：完成产品原 型设计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月：完成云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服务平台的产品 开发和测试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月：与云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前端产品、全 渠道会员营销产品、试点项目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产品的集成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月：完成试点项目的上线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月：完成产品发布评审 并申请著作权。</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2"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月份底已按 计划完成开发实施并 </w:t>
            </w:r>
            <w:r>
              <w:rPr>
                <w:rFonts w:ascii="宋体" w:hAnsi="宋体" w:cs="宋体" w:eastAsia="宋体" w:hint="default"/>
                <w:spacing w:val="-9"/>
                <w:sz w:val="18"/>
                <w:szCs w:val="18"/>
              </w:rPr>
              <w:t>结项。著作权证已经在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月取得。</w:t>
            </w:r>
          </w:p>
        </w:tc>
      </w:tr>
      <w:tr>
        <w:trPr>
          <w:trHeight w:val="289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24" w:right="19"/>
              <w:jc w:val="left"/>
              <w:rPr>
                <w:rFonts w:ascii="宋体" w:hAnsi="宋体" w:cs="宋体" w:eastAsia="宋体" w:hint="default"/>
                <w:sz w:val="18"/>
                <w:szCs w:val="18"/>
              </w:rPr>
            </w:pPr>
            <w:r>
              <w:rPr>
                <w:rFonts w:ascii="宋体" w:hAnsi="宋体" w:cs="宋体" w:eastAsia="宋体" w:hint="default"/>
                <w:sz w:val="18"/>
                <w:szCs w:val="18"/>
              </w:rPr>
              <w:t>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专业 款机端</w:t>
            </w:r>
            <w:r>
              <w:rPr>
                <w:rFonts w:ascii="Times New Roman" w:hAnsi="Times New Roman" w:cs="Times New Roman" w:eastAsia="Times New Roman" w:hint="default"/>
                <w:sz w:val="18"/>
                <w:szCs w:val="18"/>
              </w:rPr>
              <w:t>-</w:t>
            </w:r>
            <w:r>
              <w:rPr>
                <w:rFonts w:ascii="宋体" w:hAnsi="宋体" w:cs="宋体" w:eastAsia="宋体" w:hint="default"/>
                <w:sz w:val="18"/>
                <w:szCs w:val="18"/>
              </w:rPr>
              <w:t>内 部立项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2,751,154.57</w:t>
            </w: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专业款机端也是云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项目的子项目之一，利用全新的技术架</w:t>
            </w:r>
            <w:r>
              <w:rPr>
                <w:rFonts w:ascii="宋体" w:hAnsi="宋体" w:cs="宋体" w:eastAsia="宋体" w:hint="default"/>
                <w:sz w:val="18"/>
                <w:szCs w:val="18"/>
              </w:rPr>
              <w:t> 构重新实现传统专业款机的功能，并且支持线上线下一体化的需求。 本项目分为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个阶段：</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月：产品规划研讨 阶段，确定技术方案、功能规划，提供云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产品技术方案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月：完成产品原形设计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月：完成云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服务平台的产品开发和测试</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09 </w:t>
            </w:r>
            <w:r>
              <w:rPr>
                <w:rFonts w:ascii="宋体" w:hAnsi="宋体" w:cs="宋体" w:eastAsia="宋体" w:hint="default"/>
                <w:sz w:val="18"/>
                <w:szCs w:val="18"/>
              </w:rPr>
              <w:t>月：与云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前端产品、全渠道会员营销产品、试点项目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 品的集成</w:t>
            </w:r>
            <w:r>
              <w:rPr>
                <w:rFonts w:ascii="宋体" w:hAnsi="宋体" w:cs="宋体" w:eastAsia="宋体" w:hint="default"/>
                <w:spacing w:val="-44"/>
                <w:sz w:val="18"/>
                <w:szCs w:val="18"/>
              </w:rPr>
              <w:t> </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月：完成试点项目的上线</w:t>
            </w:r>
            <w:r>
              <w:rPr>
                <w:rFonts w:ascii="宋体" w:hAnsi="宋体" w:cs="宋体" w:eastAsia="宋体" w:hint="default"/>
                <w:spacing w:val="-44"/>
                <w:sz w:val="18"/>
                <w:szCs w:val="18"/>
              </w:rPr>
              <w:t> </w:t>
            </w:r>
            <w:r>
              <w:rPr>
                <w:rFonts w:ascii="Times New Roman" w:hAnsi="Times New Roman" w:cs="Times New Roman" w:eastAsia="Times New Roman" w:hint="default"/>
                <w:spacing w:val="-10"/>
                <w:sz w:val="18"/>
                <w:szCs w:val="18"/>
              </w:rPr>
              <w:t>6</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月：完成产品发布评审。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2"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月份底已按 计划完成开发实施并 </w:t>
            </w:r>
            <w:r>
              <w:rPr>
                <w:rFonts w:ascii="宋体" w:hAnsi="宋体" w:cs="宋体" w:eastAsia="宋体" w:hint="default"/>
                <w:spacing w:val="-9"/>
                <w:sz w:val="18"/>
                <w:szCs w:val="18"/>
              </w:rPr>
              <w:t>结项。考虑到公司传统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POS </w:t>
            </w:r>
            <w:r>
              <w:rPr>
                <w:rFonts w:ascii="宋体" w:hAnsi="宋体" w:cs="宋体" w:eastAsia="宋体" w:hint="default"/>
                <w:sz w:val="18"/>
                <w:szCs w:val="18"/>
              </w:rPr>
              <w:t>已经有著作权， 所以未做新的著作权 申请。</w:t>
            </w:r>
          </w:p>
        </w:tc>
      </w:tr>
      <w:tr>
        <w:trPr>
          <w:trHeight w:val="133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中台</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业 务拓展</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V1.0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5,295,498.83</w:t>
            </w:r>
          </w:p>
        </w:tc>
        <w:tc>
          <w:tcPr>
            <w:tcW w:w="5531"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49"/>
              <w:ind w:left="23" w:right="87"/>
              <w:jc w:val="both"/>
              <w:rPr>
                <w:rFonts w:ascii="宋体" w:hAnsi="宋体" w:cs="宋体" w:eastAsia="宋体" w:hint="default"/>
                <w:sz w:val="18"/>
                <w:szCs w:val="18"/>
              </w:rPr>
            </w:pPr>
            <w:r>
              <w:rPr>
                <w:rFonts w:ascii="宋体" w:hAnsi="宋体" w:cs="宋体" w:eastAsia="宋体" w:hint="default"/>
                <w:sz w:val="18"/>
                <w:szCs w:val="18"/>
              </w:rPr>
              <w:t>本项目开发面向连锁商超客户，为客户提供外卖到家的整套解决方案 为客户提供线上外卖渠道开店、选品、营销、订单及履约管理。研究 阶段：</w:t>
            </w:r>
            <w:r>
              <w:rPr>
                <w:rFonts w:ascii="Times New Roman" w:hAnsi="Times New Roman" w:cs="Times New Roman" w:eastAsia="Times New Roman" w:hint="default"/>
                <w:sz w:val="18"/>
                <w:szCs w:val="18"/>
              </w:rPr>
              <w:t>2018.6-2018.6</w:t>
            </w:r>
            <w:r>
              <w:rPr>
                <w:rFonts w:ascii="宋体" w:hAnsi="宋体" w:cs="宋体" w:eastAsia="宋体" w:hint="default"/>
                <w:sz w:val="18"/>
                <w:szCs w:val="18"/>
              </w:rPr>
              <w:t>；开发阶段</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7-2018.11</w:t>
            </w:r>
            <w:r>
              <w:rPr>
                <w:rFonts w:ascii="宋体" w:hAnsi="宋体" w:cs="宋体" w:eastAsia="宋体" w:hint="default"/>
                <w:sz w:val="18"/>
                <w:szCs w:val="18"/>
              </w:rPr>
              <w:t>；测试阶段</w:t>
            </w:r>
          </w:p>
          <w:p>
            <w:pPr>
              <w:pStyle w:val="TableParagraph"/>
              <w:spacing w:line="246"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2018.12-2018.12</w:t>
            </w:r>
            <w:r>
              <w:rPr>
                <w:rFonts w:ascii="宋体" w:hAnsi="宋体" w:cs="宋体" w:eastAsia="宋体" w:hint="default"/>
                <w:sz w:val="18"/>
                <w:szCs w:val="18"/>
              </w:rPr>
              <w:t>；</w:t>
            </w:r>
          </w:p>
        </w:tc>
        <w:tc>
          <w:tcPr>
            <w:tcW w:w="1772" w:type="dxa"/>
            <w:tcBorders>
              <w:top w:val="single" w:sz="4" w:space="0" w:color="000000"/>
              <w:left w:val="single" w:sz="10" w:space="0" w:color="FFFFFF"/>
              <w:bottom w:val="single" w:sz="4" w:space="0" w:color="000000"/>
              <w:right w:val="single" w:sz="4" w:space="0" w:color="000000"/>
            </w:tcBorders>
          </w:tcPr>
          <w:p>
            <w:pPr>
              <w:pStyle w:val="TableParagraph"/>
              <w:spacing w:line="196" w:lineRule="exact" w:before="49"/>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月完成，著</w:t>
            </w:r>
          </w:p>
          <w:p>
            <w:pPr>
              <w:pStyle w:val="TableParagraph"/>
              <w:spacing w:line="300" w:lineRule="auto" w:before="63"/>
              <w:ind w:left="16" w:right="23"/>
              <w:jc w:val="left"/>
              <w:rPr>
                <w:rFonts w:ascii="宋体" w:hAnsi="宋体" w:cs="宋体" w:eastAsia="宋体" w:hint="default"/>
                <w:sz w:val="18"/>
                <w:szCs w:val="18"/>
              </w:rPr>
            </w:pPr>
            <w:r>
              <w:rPr>
                <w:rFonts w:ascii="宋体" w:hAnsi="宋体" w:cs="宋体" w:eastAsia="宋体" w:hint="default"/>
                <w:sz w:val="18"/>
                <w:szCs w:val="18"/>
              </w:rPr>
              <w:t>作权证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月取 得</w:t>
            </w:r>
          </w:p>
          <w:p>
            <w:pPr>
              <w:pStyle w:val="TableParagraph"/>
              <w:spacing w:line="508" w:lineRule="exact"/>
              <w:ind w:left="-8"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pict>
                <v:group style="width:88.15pt;height:25.45pt;mso-position-horizontal-relative:char;mso-position-vertical-relative:line" coordorigin="0,0" coordsize="1763,509">
                  <v:group style="position:absolute;left:0;top:0;width:1763;height:156" coordorigin="0,0" coordsize="1763,156">
                    <v:shape style="position:absolute;left:0;top:0;width:1763;height:156" coordorigin="0,0" coordsize="1763,156" path="m0,156l1762,156,1762,0,0,0,0,156xe" filled="true" fillcolor="#ffffff" stroked="false">
                      <v:path arrowok="t"/>
                      <v:fill type="solid"/>
                    </v:shape>
                  </v:group>
                  <v:group style="position:absolute;left:24;top:156;width:1715;height:353" coordorigin="24,156" coordsize="1715,353">
                    <v:shape style="position:absolute;left:24;top:156;width:1715;height:353" coordorigin="24,156" coordsize="1715,353" path="m24,509l1738,509,1738,156,24,156,24,509xe" filled="true" fillcolor="#ffffff" stroked="false">
                      <v:path arrowok="t"/>
                      <v:fill type="solid"/>
                    </v:shape>
                  </v:group>
                </v:group>
              </w:pict>
            </w:r>
            <w:r>
              <w:rPr>
                <w:rFonts w:ascii="Times New Roman" w:hAnsi="Times New Roman" w:cs="Times New Roman" w:eastAsia="Times New Roman" w:hint="default"/>
                <w:position w:val="-9"/>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238,070,545.86</w:t>
            </w: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73" w:lineRule="auto"/>
        <w:ind w:right="1133" w:firstLine="439"/>
        <w:jc w:val="left"/>
      </w:pPr>
      <w:r>
        <w:rPr>
          <w:spacing w:val="-3"/>
        </w:rPr>
        <w:t>开发阶段的支出同时满足下列条件的，确认为无形资产，不能满足下述条件的开发阶段的支出计入当</w:t>
      </w:r>
      <w:r>
        <w:rPr>
          <w:w w:val="100"/>
        </w:rPr>
        <w:t> </w:t>
      </w:r>
      <w:r>
        <w:rPr/>
        <w:t>期损益：</w:t>
      </w:r>
    </w:p>
    <w:p>
      <w:pPr>
        <w:pStyle w:val="BodyText"/>
        <w:spacing w:line="240" w:lineRule="auto" w:before="7"/>
        <w:ind w:left="592" w:right="1133"/>
        <w:jc w:val="left"/>
      </w:pPr>
      <w:r>
        <w:rPr/>
        <w:t>（</w:t>
      </w:r>
      <w:r>
        <w:rPr>
          <w:rFonts w:ascii="Times New Roman" w:hAnsi="Times New Roman" w:cs="Times New Roman" w:eastAsia="Times New Roman" w:hint="default"/>
        </w:rPr>
        <w:t>1</w:t>
      </w:r>
      <w:r>
        <w:rPr/>
        <w:t>）完成该无形资产以使其能够使用或出售在技术上具有可行性；</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40" w:lineRule="auto" w:before="36"/>
        <w:ind w:left="592" w:right="1133"/>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56" w:lineRule="auto" w:before="21"/>
        <w:ind w:right="1133" w:firstLine="439"/>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w:t>
      </w:r>
      <w:r>
        <w:rPr>
          <w:w w:val="100"/>
        </w:rPr>
        <w:t> </w:t>
      </w:r>
      <w:r>
        <w:rPr/>
        <w:t>自身存在市场，无形资产将在内部使用的，能够证明其有用性；</w:t>
      </w:r>
    </w:p>
    <w:p>
      <w:pPr>
        <w:pStyle w:val="BodyText"/>
        <w:spacing w:line="256" w:lineRule="auto" w:before="22"/>
        <w:ind w:right="1133" w:firstLine="439"/>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w:t>
      </w:r>
      <w:r>
        <w:rPr>
          <w:w w:val="100"/>
        </w:rPr>
        <w:t> </w:t>
      </w:r>
      <w:r>
        <w:rPr/>
        <w:t>无形资产；</w:t>
      </w:r>
    </w:p>
    <w:p>
      <w:pPr>
        <w:pStyle w:val="BodyText"/>
        <w:spacing w:line="256" w:lineRule="auto" w:before="22"/>
        <w:ind w:right="1133" w:firstLine="439"/>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2"/>
        </w:rPr>
        <w:t>无法区分研究阶段支出和开发阶段支出的，将发生的研发支出全部计入当期损益。</w:t>
      </w:r>
    </w:p>
    <w:p>
      <w:pPr>
        <w:spacing w:line="240" w:lineRule="auto" w:before="8"/>
        <w:rPr>
          <w:rFonts w:ascii="宋体" w:hAnsi="宋体" w:cs="宋体" w:eastAsia="宋体" w:hint="default"/>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4"/>
        <w:gridCol w:w="2279"/>
        <w:gridCol w:w="2268"/>
        <w:gridCol w:w="2057"/>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3,658,670,691.42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3,386,741,010.37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3,159,331,182.95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2,873,678,780.15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499,339,508.47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513,062,230.22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3,665,086,589.35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3,613,787,792.45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2,839,892,500.22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5,244,085,265.04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-45.85%</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825,194,089.13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-1,630,297,472.59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150.62%</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3,285,579,167.01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242,287,536.94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1,256.07%</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354,510,826.02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297,621,284.62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19.11%</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2,931,068,340.99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-55,333,747.68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5,397.07%</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4,305,097,762.58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-1,171,236,361.93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467.57%</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6" w:lineRule="auto" w:before="83"/>
        <w:ind w:right="1142" w:firstLine="434"/>
        <w:jc w:val="left"/>
      </w:pPr>
      <w:r>
        <w:rPr/>
        <w:t>注</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投资活动产生的现金流量净额本期较上年同期增长</w:t>
      </w:r>
      <w:r>
        <w:rPr>
          <w:rFonts w:ascii="Times New Roman" w:hAnsi="Times New Roman" w:cs="Times New Roman" w:eastAsia="Times New Roman" w:hint="default"/>
        </w:rPr>
        <w:t>150.62%</w:t>
      </w:r>
      <w:r>
        <w:rPr/>
        <w:t>，主要系本期较上年同期购买的理财</w:t>
      </w:r>
      <w:r>
        <w:rPr>
          <w:w w:val="100"/>
        </w:rPr>
        <w:t> </w:t>
      </w:r>
      <w:r>
        <w:rPr/>
        <w:t>产品较少，而取得的投资收益较多共同所致；</w:t>
      </w:r>
    </w:p>
    <w:p>
      <w:pPr>
        <w:pStyle w:val="BodyText"/>
        <w:spacing w:line="240" w:lineRule="auto" w:before="22"/>
        <w:ind w:left="587" w:right="1133"/>
        <w:jc w:val="left"/>
      </w:pPr>
      <w:r>
        <w:rPr/>
        <w:t>注</w:t>
      </w:r>
      <w:r>
        <w:rPr>
          <w:rFonts w:ascii="Times New Roman" w:hAnsi="Times New Roman" w:cs="Times New Roman" w:eastAsia="Times New Roman" w:hint="default"/>
        </w:rPr>
        <w:t>2</w:t>
      </w:r>
      <w:r>
        <w:rPr/>
        <w:t>：投资活动现金流出本期比上年同期下降</w:t>
      </w:r>
      <w:r>
        <w:rPr>
          <w:rFonts w:ascii="Times New Roman" w:hAnsi="Times New Roman" w:cs="Times New Roman" w:eastAsia="Times New Roman" w:hint="default"/>
        </w:rPr>
        <w:t>45.85%</w:t>
      </w:r>
      <w:r>
        <w:rPr/>
        <w:t>，主要系本期较上年同期购买的理财产品较少所</w:t>
      </w:r>
    </w:p>
    <w:p>
      <w:pPr>
        <w:pStyle w:val="BodyText"/>
        <w:spacing w:line="240" w:lineRule="auto" w:before="21"/>
        <w:ind w:right="1133"/>
        <w:jc w:val="left"/>
      </w:pPr>
      <w:r>
        <w:rPr/>
        <w:t>致；</w:t>
      </w:r>
    </w:p>
    <w:p>
      <w:pPr>
        <w:pStyle w:val="BodyText"/>
        <w:spacing w:line="240" w:lineRule="auto" w:before="37"/>
        <w:ind w:left="587" w:right="1133"/>
        <w:jc w:val="left"/>
      </w:pPr>
      <w:r>
        <w:rPr/>
        <w:t>注</w:t>
      </w:r>
      <w:r>
        <w:rPr>
          <w:rFonts w:ascii="Times New Roman" w:hAnsi="Times New Roman" w:cs="Times New Roman" w:eastAsia="Times New Roman" w:hint="default"/>
        </w:rPr>
        <w:t>3</w:t>
      </w:r>
      <w:r>
        <w:rPr/>
        <w:t>：筹资活动产生的现金流量净额本期比上年同期增长</w:t>
      </w:r>
      <w:r>
        <w:rPr>
          <w:rFonts w:ascii="Times New Roman" w:hAnsi="Times New Roman" w:cs="Times New Roman" w:eastAsia="Times New Roman" w:hint="default"/>
        </w:rPr>
        <w:t>5397.07%</w:t>
      </w:r>
      <w:r>
        <w:rPr/>
        <w:t>，主要系公司全资子公司石基（香</w:t>
      </w:r>
    </w:p>
    <w:p>
      <w:pPr>
        <w:pStyle w:val="BodyText"/>
        <w:spacing w:line="256" w:lineRule="auto" w:before="21"/>
        <w:ind w:right="1133"/>
        <w:jc w:val="left"/>
      </w:pPr>
      <w:r>
        <w:rPr/>
        <w:t>港）将其持有的</w:t>
      </w:r>
      <w:r>
        <w:rPr>
          <w:rFonts w:ascii="Times New Roman" w:hAnsi="Times New Roman" w:cs="Times New Roman" w:eastAsia="Times New Roman" w:hint="default"/>
        </w:rPr>
        <w:t>Shiji Retail 38%</w:t>
      </w:r>
      <w:r>
        <w:rPr/>
        <w:t>的股权以</w:t>
      </w:r>
      <w:r>
        <w:rPr>
          <w:rFonts w:ascii="Times New Roman" w:hAnsi="Times New Roman" w:cs="Times New Roman" w:eastAsia="Times New Roman" w:hint="default"/>
        </w:rPr>
        <w:t>4.86</w:t>
      </w:r>
      <w:r>
        <w:rPr/>
        <w:t>亿美元的价格转让给</w:t>
      </w:r>
      <w:r>
        <w:rPr>
          <w:rFonts w:ascii="Times New Roman" w:hAnsi="Times New Roman" w:cs="Times New Roman" w:eastAsia="Times New Roman" w:hint="default"/>
        </w:rPr>
        <w:t>Alibaba</w:t>
      </w:r>
      <w:r>
        <w:rPr>
          <w:rFonts w:ascii="Times New Roman" w:hAnsi="Times New Roman" w:cs="Times New Roman" w:eastAsia="Times New Roman" w:hint="default"/>
          <w:spacing w:val="-15"/>
        </w:rPr>
        <w:t> </w:t>
      </w:r>
      <w:r>
        <w:rPr>
          <w:rFonts w:ascii="Times New Roman" w:hAnsi="Times New Roman" w:cs="Times New Roman" w:eastAsia="Times New Roman" w:hint="default"/>
        </w:rPr>
        <w:t>SJ</w:t>
      </w:r>
      <w:r>
        <w:rPr/>
        <w:t>公司，已收到全部股权转让款</w:t>
      </w:r>
      <w:r>
        <w:rPr>
          <w:w w:val="100"/>
        </w:rPr>
        <w:t> </w:t>
      </w:r>
      <w:r>
        <w:rPr/>
        <w:t>所致；</w:t>
      </w:r>
    </w:p>
    <w:p>
      <w:pPr>
        <w:pStyle w:val="BodyText"/>
        <w:spacing w:line="256" w:lineRule="auto" w:before="22"/>
        <w:ind w:right="1133" w:firstLine="434"/>
        <w:jc w:val="left"/>
      </w:pPr>
      <w:r>
        <w:rPr>
          <w:spacing w:val="-2"/>
        </w:rPr>
        <w:t>注</w:t>
      </w:r>
      <w:r>
        <w:rPr>
          <w:rFonts w:ascii="Times New Roman" w:hAnsi="Times New Roman" w:cs="Times New Roman" w:eastAsia="Times New Roman" w:hint="default"/>
          <w:spacing w:val="-2"/>
        </w:rPr>
        <w:t>4</w:t>
      </w:r>
      <w:r>
        <w:rPr>
          <w:spacing w:val="-2"/>
        </w:rPr>
        <w:t>：筹资活动现金流入本期比上年同期增长</w:t>
      </w:r>
      <w:r>
        <w:rPr>
          <w:rFonts w:ascii="Times New Roman" w:hAnsi="Times New Roman" w:cs="Times New Roman" w:eastAsia="Times New Roman" w:hint="default"/>
          <w:spacing w:val="-2"/>
        </w:rPr>
        <w:t>1256.07%</w:t>
      </w:r>
      <w:r>
        <w:rPr>
          <w:spacing w:val="-2"/>
        </w:rPr>
        <w:t>，主要系公司全资子公司石基（香港）将其持</w:t>
      </w:r>
      <w:r>
        <w:rPr>
          <w:w w:val="100"/>
        </w:rPr>
        <w:t> </w:t>
      </w:r>
      <w:r>
        <w:rPr/>
        <w:t>有的</w:t>
      </w:r>
      <w:r>
        <w:rPr>
          <w:rFonts w:ascii="Times New Roman" w:hAnsi="Times New Roman" w:cs="Times New Roman" w:eastAsia="Times New Roman" w:hint="default"/>
        </w:rPr>
        <w:t>Shiji Retail </w:t>
      </w:r>
      <w:r>
        <w:rPr/>
        <w:t>的股权以</w:t>
      </w:r>
      <w:r>
        <w:rPr>
          <w:rFonts w:ascii="Times New Roman" w:hAnsi="Times New Roman" w:cs="Times New Roman" w:eastAsia="Times New Roman" w:hint="default"/>
        </w:rPr>
        <w:t>4.86</w:t>
      </w:r>
      <w:r>
        <w:rPr/>
        <w:t>亿美元的价格转让给</w:t>
      </w:r>
      <w:r>
        <w:rPr>
          <w:rFonts w:ascii="Times New Roman" w:hAnsi="Times New Roman" w:cs="Times New Roman" w:eastAsia="Times New Roman" w:hint="default"/>
        </w:rPr>
        <w:t>Alibaba</w:t>
      </w:r>
      <w:r>
        <w:rPr>
          <w:rFonts w:ascii="Times New Roman" w:hAnsi="Times New Roman" w:cs="Times New Roman" w:eastAsia="Times New Roman" w:hint="default"/>
          <w:spacing w:val="16"/>
        </w:rPr>
        <w:t> </w:t>
      </w:r>
      <w:r>
        <w:rPr>
          <w:rFonts w:ascii="Times New Roman" w:hAnsi="Times New Roman" w:cs="Times New Roman" w:eastAsia="Times New Roman" w:hint="default"/>
        </w:rPr>
        <w:t>SJ</w:t>
      </w:r>
      <w:r>
        <w:rPr/>
        <w:t>公司，已收到全部股权转让款所致；</w:t>
      </w:r>
    </w:p>
    <w:p>
      <w:pPr>
        <w:pStyle w:val="BodyText"/>
        <w:spacing w:line="259" w:lineRule="auto" w:before="5"/>
        <w:ind w:right="1133" w:firstLine="434"/>
        <w:jc w:val="left"/>
      </w:pPr>
      <w:r>
        <w:rPr>
          <w:spacing w:val="-2"/>
        </w:rPr>
        <w:t>注</w:t>
      </w:r>
      <w:r>
        <w:rPr>
          <w:rFonts w:ascii="Times New Roman" w:hAnsi="Times New Roman" w:cs="Times New Roman" w:eastAsia="Times New Roman" w:hint="default"/>
          <w:spacing w:val="-2"/>
        </w:rPr>
        <w:t>5</w:t>
      </w:r>
      <w:r>
        <w:rPr>
          <w:spacing w:val="-2"/>
        </w:rPr>
        <w:t>：现金及现金等价物净增加额本期较上年同期增长</w:t>
      </w:r>
      <w:r>
        <w:rPr>
          <w:rFonts w:ascii="Times New Roman" w:hAnsi="Times New Roman" w:cs="Times New Roman" w:eastAsia="Times New Roman" w:hint="default"/>
          <w:spacing w:val="-2"/>
        </w:rPr>
        <w:t>467.57%</w:t>
      </w:r>
      <w:r>
        <w:rPr>
          <w:spacing w:val="-2"/>
        </w:rPr>
        <w:t>，主要系公司全资子公司石基（香港）</w:t>
      </w:r>
      <w:r>
        <w:rPr>
          <w:w w:val="100"/>
        </w:rPr>
        <w:t> </w:t>
      </w:r>
      <w:r>
        <w:rPr/>
        <w:t>将其持有的</w:t>
      </w:r>
      <w:r>
        <w:rPr>
          <w:rFonts w:ascii="Times New Roman" w:hAnsi="Times New Roman" w:cs="Times New Roman" w:eastAsia="Times New Roman" w:hint="default"/>
        </w:rPr>
        <w:t>Shiji Retail </w:t>
      </w:r>
      <w:r>
        <w:rPr/>
        <w:t>的股权以</w:t>
      </w:r>
      <w:r>
        <w:rPr>
          <w:rFonts w:ascii="Times New Roman" w:hAnsi="Times New Roman" w:cs="Times New Roman" w:eastAsia="Times New Roman" w:hint="default"/>
        </w:rPr>
        <w:t>4.86</w:t>
      </w:r>
      <w:r>
        <w:rPr/>
        <w:t>亿美元的价格转让给</w:t>
      </w:r>
      <w:r>
        <w:rPr>
          <w:rFonts w:ascii="Times New Roman" w:hAnsi="Times New Roman" w:cs="Times New Roman" w:eastAsia="Times New Roman" w:hint="default"/>
        </w:rPr>
        <w:t>Alibaba</w:t>
      </w:r>
      <w:r>
        <w:rPr>
          <w:rFonts w:ascii="Times New Roman" w:hAnsi="Times New Roman" w:cs="Times New Roman" w:eastAsia="Times New Roman" w:hint="default"/>
          <w:spacing w:val="16"/>
        </w:rPr>
        <w:t> </w:t>
      </w:r>
      <w:r>
        <w:rPr>
          <w:rFonts w:ascii="Times New Roman" w:hAnsi="Times New Roman" w:cs="Times New Roman" w:eastAsia="Times New Roman" w:hint="default"/>
        </w:rPr>
        <w:t>SJ</w:t>
      </w:r>
      <w:r>
        <w:rPr/>
        <w:t>公司，已收到全部股权转让款所致。</w:t>
      </w:r>
    </w:p>
    <w:p>
      <w:pPr>
        <w:spacing w:line="240" w:lineRule="auto" w:before="10"/>
        <w:rPr>
          <w:rFonts w:ascii="宋体" w:hAnsi="宋体" w:cs="宋体" w:eastAsia="宋体" w:hint="default"/>
          <w:sz w:val="28"/>
          <w:szCs w:val="28"/>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3"/>
        <w:spacing w:line="240" w:lineRule="auto" w:before="26"/>
        <w:ind w:right="1133"/>
        <w:jc w:val="left"/>
        <w:rPr>
          <w:b w:val="0"/>
          <w:bCs w:val="0"/>
        </w:rPr>
      </w:pPr>
      <w:r>
        <w:rPr/>
        <w:t>三、非主营业务分析</w:t>
      </w:r>
      <w:r>
        <w:rPr>
          <w:b w:val="0"/>
          <w:bCs w:val="0"/>
        </w:rPr>
      </w:r>
    </w:p>
    <w:p>
      <w:pPr>
        <w:spacing w:line="240" w:lineRule="auto" w:before="7"/>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1418"/>
        <w:gridCol w:w="1275"/>
        <w:gridCol w:w="1274"/>
        <w:gridCol w:w="1277"/>
        <w:gridCol w:w="850"/>
        <w:gridCol w:w="2199"/>
      </w:tblGrid>
      <w:tr>
        <w:trPr>
          <w:trHeight w:val="206"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5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277" w:type="dxa"/>
            <w:vMerge w:val="restart"/>
            <w:tcBorders>
              <w:top w:val="nil" w:sz="6" w:space="0" w:color="auto"/>
              <w:left w:val="single" w:sz="4" w:space="0" w:color="000000"/>
              <w:right w:val="single" w:sz="4" w:space="0" w:color="000000"/>
            </w:tcBorders>
            <w:shd w:val="clear" w:color="auto" w:fill="D2D2D2"/>
          </w:tcPr>
          <w:p>
            <w:pPr/>
          </w:p>
        </w:tc>
        <w:tc>
          <w:tcPr>
            <w:tcW w:w="2693" w:type="dxa"/>
            <w:gridSpan w:val="2"/>
            <w:vMerge/>
            <w:tcBorders>
              <w:left w:val="single" w:sz="4" w:space="0" w:color="000000"/>
              <w:bottom w:val="single" w:sz="4" w:space="0" w:color="000000"/>
              <w:right w:val="single" w:sz="4" w:space="0" w:color="000000"/>
            </w:tcBorders>
            <w:shd w:val="clear" w:color="auto" w:fill="D2D2D2"/>
          </w:tcPr>
          <w:p>
            <w:pPr/>
          </w:p>
        </w:tc>
        <w:tc>
          <w:tcPr>
            <w:tcW w:w="2552"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1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2" w:hRule="exact"/>
        </w:trPr>
        <w:tc>
          <w:tcPr>
            <w:tcW w:w="1277"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850" w:type="dxa"/>
            <w:vMerge/>
            <w:tcBorders>
              <w:left w:val="single" w:sz="4" w:space="0" w:color="000000"/>
              <w:bottom w:val="nil" w:sz="6" w:space="0" w:color="auto"/>
              <w:right w:val="single" w:sz="4" w:space="0" w:color="000000"/>
            </w:tcBorders>
            <w:shd w:val="clear" w:color="auto" w:fill="D2D2D2"/>
          </w:tcPr>
          <w:p>
            <w:pPr/>
          </w:p>
        </w:tc>
        <w:tc>
          <w:tcPr>
            <w:tcW w:w="2199"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97"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5,767,644,803.85</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56.39%</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1,714,961,087.8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91" w:right="0"/>
              <w:jc w:val="left"/>
              <w:rPr>
                <w:rFonts w:ascii="Times New Roman" w:hAnsi="Times New Roman" w:cs="Times New Roman" w:eastAsia="Times New Roman" w:hint="default"/>
                <w:sz w:val="18"/>
                <w:szCs w:val="18"/>
              </w:rPr>
            </w:pPr>
            <w:r>
              <w:rPr>
                <w:rFonts w:ascii="Times New Roman"/>
                <w:sz w:val="18"/>
              </w:rPr>
              <w:t>25.27%</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31.12%</w:t>
            </w:r>
          </w:p>
        </w:tc>
        <w:tc>
          <w:tcPr>
            <w:tcW w:w="2199" w:type="dxa"/>
            <w:vMerge w:val="restart"/>
            <w:tcBorders>
              <w:top w:val="single" w:sz="4" w:space="0" w:color="000000"/>
              <w:left w:val="single" w:sz="4" w:space="0" w:color="000000"/>
              <w:right w:val="single" w:sz="4" w:space="0" w:color="000000"/>
            </w:tcBorders>
          </w:tcPr>
          <w:p>
            <w:pPr>
              <w:pStyle w:val="TableParagraph"/>
              <w:spacing w:line="304"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货币资金本期比期初增长 </w:t>
            </w:r>
            <w:r>
              <w:rPr>
                <w:rFonts w:ascii="Times New Roman" w:hAnsi="Times New Roman" w:cs="Times New Roman" w:eastAsia="Times New Roman" w:hint="default"/>
                <w:sz w:val="18"/>
                <w:szCs w:val="18"/>
              </w:rPr>
              <w:t>236.31%</w:t>
            </w:r>
            <w:r>
              <w:rPr>
                <w:rFonts w:ascii="宋体" w:hAnsi="宋体" w:cs="宋体" w:eastAsia="宋体" w:hint="default"/>
                <w:sz w:val="18"/>
                <w:szCs w:val="18"/>
              </w:rPr>
              <w:t>，主要系公司全资 </w:t>
            </w:r>
            <w:r>
              <w:rPr>
                <w:rFonts w:ascii="宋体" w:hAnsi="宋体" w:cs="宋体" w:eastAsia="宋体" w:hint="default"/>
                <w:spacing w:val="-2"/>
                <w:sz w:val="18"/>
                <w:szCs w:val="18"/>
              </w:rPr>
              <w:t>子公司石基（香港）将其全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资持有的石基零售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38%</w:t>
            </w:r>
            <w:r>
              <w:rPr>
                <w:rFonts w:ascii="宋体" w:hAnsi="宋体" w:cs="宋体" w:eastAsia="宋体" w:hint="default"/>
                <w:sz w:val="18"/>
                <w:szCs w:val="18"/>
              </w:rPr>
              <w:t>的 股权以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亿美元的价格 转让给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Alibaba</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SJ</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Investment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已收到 全部股权转让款所致。</w:t>
            </w:r>
          </w:p>
        </w:tc>
      </w:tr>
      <w:tr>
        <w:trPr>
          <w:trHeight w:val="394"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8" w:type="dxa"/>
            <w:vMerge/>
            <w:tcBorders>
              <w:left w:val="single" w:sz="10" w:space="0" w:color="D2D2D2"/>
              <w:right w:val="single" w:sz="4" w:space="0" w:color="000000"/>
            </w:tcBorders>
          </w:tcPr>
          <w:p>
            <w:pPr/>
          </w:p>
        </w:tc>
        <w:tc>
          <w:tcPr>
            <w:tcW w:w="127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199" w:type="dxa"/>
            <w:vMerge/>
            <w:tcBorders>
              <w:left w:val="single" w:sz="4" w:space="0" w:color="000000"/>
              <w:right w:val="single" w:sz="4" w:space="0" w:color="000000"/>
            </w:tcBorders>
          </w:tcPr>
          <w:p>
            <w:pPr/>
          </w:p>
        </w:tc>
      </w:tr>
      <w:tr>
        <w:trPr>
          <w:trHeight w:val="1097"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10" w:space="0" w:color="D2D2D2"/>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199" w:type="dxa"/>
            <w:vMerge/>
            <w:tcBorders>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465,204,002.88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441,234,382.22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332,529,942.87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271,557,513.71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-0.75%</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52,245,113.70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56,328,348.58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426,420,725.56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353,173,204.23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320,198,940.86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328,105,170.26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80,128,551.80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52,062,798.61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8" w:type="dxa"/>
            <w:tcBorders>
              <w:top w:val="single" w:sz="4" w:space="0" w:color="000000"/>
              <w:left w:val="single" w:sz="13" w:space="0" w:color="D2D2D2"/>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16,384,830.73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8" w:type="dxa"/>
            <w:tcBorders>
              <w:top w:val="single" w:sz="4" w:space="0" w:color="000000"/>
              <w:left w:val="single" w:sz="13" w:space="0" w:color="D2D2D2"/>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208,467,614.63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112,994,984.90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59,938,225.32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665,367,512.13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420,020,093.50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13,383,741.22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72,734,817.91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-0.94%</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164,160,629.06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97,730,575.25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180,858,297.95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87,565,813.01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0.48%</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255,058,287.34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114,200,855.20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0.81%</w:t>
            </w:r>
          </w:p>
        </w:tc>
        <w:tc>
          <w:tcPr>
            <w:tcW w:w="21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113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835"/>
        <w:gridCol w:w="2410"/>
        <w:gridCol w:w="3971"/>
      </w:tblGrid>
      <w:tr>
        <w:trPr>
          <w:trHeight w:val="334" w:hRule="exact"/>
        </w:trPr>
        <w:tc>
          <w:tcPr>
            <w:tcW w:w="28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22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658" w:right="0"/>
              <w:jc w:val="left"/>
              <w:rPr>
                <w:rFonts w:ascii="宋体" w:hAnsi="宋体" w:cs="宋体" w:eastAsia="宋体" w:hint="default"/>
                <w:sz w:val="18"/>
                <w:szCs w:val="18"/>
              </w:rPr>
            </w:pPr>
            <w:r>
              <w:rPr>
                <w:rFonts w:ascii="宋体" w:hAnsi="宋体" w:cs="宋体" w:eastAsia="宋体" w:hint="default"/>
                <w:b/>
                <w:bCs/>
                <w:sz w:val="18"/>
                <w:szCs w:val="18"/>
              </w:rPr>
              <w:t>年末账面价值</w:t>
            </w:r>
            <w:r>
              <w:rPr>
                <w:rFonts w:ascii="宋体" w:hAnsi="宋体" w:cs="宋体" w:eastAsia="宋体" w:hint="default"/>
                <w:sz w:val="18"/>
                <w:szCs w:val="18"/>
              </w:rPr>
            </w:r>
          </w:p>
        </w:tc>
        <w:tc>
          <w:tcPr>
            <w:tcW w:w="39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60" w:hRule="exact"/>
        </w:trPr>
        <w:tc>
          <w:tcPr>
            <w:tcW w:w="283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1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9"/>
              <w:ind w:right="-1"/>
              <w:jc w:val="right"/>
              <w:rPr>
                <w:rFonts w:ascii="Times New Roman" w:hAnsi="Times New Roman" w:cs="Times New Roman" w:eastAsia="Times New Roman" w:hint="default"/>
                <w:sz w:val="18"/>
                <w:szCs w:val="18"/>
              </w:rPr>
            </w:pPr>
            <w:r>
              <w:rPr>
                <w:rFonts w:ascii="Times New Roman"/>
                <w:spacing w:val="-1"/>
                <w:sz w:val="18"/>
              </w:rPr>
              <w:t>7,033,497.80</w:t>
            </w:r>
          </w:p>
        </w:tc>
        <w:tc>
          <w:tcPr>
            <w:tcW w:w="397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票据及保函保证金</w:t>
            </w: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1,200,000.00</w:t>
            </w: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第三方支付业务的风险保证金</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471,200.00</w:t>
            </w: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共管账户</w:t>
            </w:r>
          </w:p>
        </w:tc>
      </w:tr>
      <w:tr>
        <w:trPr>
          <w:trHeight w:val="427"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9,468,813.97</w:t>
            </w: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抵押担保</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223"/>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18,173,511.77</w:t>
            </w:r>
            <w:r>
              <w:rPr>
                <w:rFonts w:ascii="Times New Roman"/>
                <w:spacing w:val="-1"/>
                <w:sz w:val="18"/>
              </w:rPr>
            </w: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3"/>
        <w:spacing w:line="240" w:lineRule="auto" w:before="26"/>
        <w:ind w:right="1133"/>
        <w:jc w:val="left"/>
        <w:rPr>
          <w:b w:val="0"/>
          <w:bCs w:val="0"/>
        </w:rPr>
      </w:pPr>
      <w:r>
        <w:rPr/>
        <w:t>五、投资状况分析</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337,836,833.51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501,959,399.73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-32.700%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7"/>
        <w:spacing w:line="240" w:lineRule="auto"/>
        <w:ind w:left="140"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29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44"/>
        <w:ind w:left="0" w:right="104" w:firstLine="0"/>
        <w:jc w:val="right"/>
        <w:rPr>
          <w:rFonts w:ascii="宋体" w:hAnsi="宋体" w:cs="宋体" w:eastAsia="宋体" w:hint="default"/>
          <w:sz w:val="18"/>
          <w:szCs w:val="18"/>
        </w:rPr>
      </w:pPr>
      <w:r>
        <w:rPr/>
        <w:pict>
          <v:shape style="position:absolute;margin-left:71.760002pt;margin-top:-75.518295pt;width:700.2pt;height:402.1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850"/>
                    <w:gridCol w:w="427"/>
                    <w:gridCol w:w="1274"/>
                    <w:gridCol w:w="709"/>
                    <w:gridCol w:w="425"/>
                    <w:gridCol w:w="994"/>
                    <w:gridCol w:w="566"/>
                    <w:gridCol w:w="569"/>
                    <w:gridCol w:w="1983"/>
                    <w:gridCol w:w="425"/>
                    <w:gridCol w:w="1277"/>
                    <w:gridCol w:w="425"/>
                    <w:gridCol w:w="853"/>
                    <w:gridCol w:w="1795"/>
                  </w:tblGrid>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被投资公司名称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8" w:right="2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57" w:right="80"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8" w:right="2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98" w:right="98"/>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15" w:right="87" w:hanging="632"/>
                          <w:jc w:val="left"/>
                          <w:rPr>
                            <w:rFonts w:ascii="宋体" w:hAnsi="宋体" w:cs="宋体" w:eastAsia="宋体" w:hint="default"/>
                            <w:sz w:val="18"/>
                            <w:szCs w:val="18"/>
                          </w:rPr>
                        </w:pPr>
                        <w:r>
                          <w:rPr>
                            <w:rFonts w:ascii="宋体" w:hAnsi="宋体" w:cs="宋体" w:eastAsia="宋体" w:hint="default"/>
                            <w:sz w:val="18"/>
                            <w:szCs w:val="18"/>
                          </w:rPr>
                          <w:t>截至资产负债表日的进 展情况</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
                          <w:jc w:val="left"/>
                          <w:rPr>
                            <w:rFonts w:ascii="宋体" w:hAnsi="宋体" w:cs="宋体" w:eastAsia="宋体" w:hint="default"/>
                            <w:sz w:val="18"/>
                            <w:szCs w:val="18"/>
                          </w:rPr>
                        </w:pPr>
                        <w:r>
                          <w:rPr>
                            <w:rFonts w:ascii="宋体" w:hAnsi="宋体" w:cs="宋体" w:eastAsia="宋体" w:hint="default"/>
                            <w:spacing w:val="9"/>
                            <w:sz w:val="18"/>
                            <w:szCs w:val="18"/>
                          </w:rPr>
                          <w:t>预计 </w:t>
                        </w:r>
                        <w:r>
                          <w:rPr>
                            <w:rFonts w:ascii="宋体" w:hAnsi="宋体" w:cs="宋体" w:eastAsia="宋体" w:hint="default"/>
                            <w:sz w:val="18"/>
                            <w:szCs w:val="18"/>
                          </w:rPr>
                          <w:t>收益</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本期投资盈亏</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8" w:right="24"/>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4"/>
                          <w:ind w:left="60"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1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196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StayNTouch</w:t>
                        </w:r>
                        <w:r>
                          <w:rPr>
                            <w:rFonts w:ascii="Times New Roman"/>
                            <w:spacing w:val="-17"/>
                            <w:sz w:val="18"/>
                          </w:rPr>
                          <w:t> </w:t>
                        </w:r>
                        <w:r>
                          <w:rPr>
                            <w:rFonts w:ascii="Times New Roman"/>
                            <w:sz w:val="18"/>
                          </w:rPr>
                          <w:t>Inc.</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1" w:right="96"/>
                          <w:jc w:val="both"/>
                          <w:rPr>
                            <w:rFonts w:ascii="宋体" w:hAnsi="宋体" w:cs="宋体" w:eastAsia="宋体" w:hint="default"/>
                            <w:sz w:val="18"/>
                            <w:szCs w:val="18"/>
                          </w:rPr>
                        </w:pPr>
                        <w:r>
                          <w:rPr>
                            <w:rFonts w:ascii="宋体" w:hAnsi="宋体" w:cs="宋体" w:eastAsia="宋体" w:hint="default"/>
                            <w:sz w:val="18"/>
                            <w:szCs w:val="18"/>
                          </w:rPr>
                          <w:t>酒店管理 系统开发 与销售</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7"/>
                          <w:jc w:val="center"/>
                          <w:rPr>
                            <w:rFonts w:ascii="宋体" w:hAnsi="宋体" w:cs="宋体" w:eastAsia="宋体" w:hint="default"/>
                            <w:sz w:val="18"/>
                            <w:szCs w:val="18"/>
                          </w:rPr>
                        </w:pPr>
                        <w:r>
                          <w:rPr>
                            <w:rFonts w:ascii="宋体" w:hAnsi="宋体" w:cs="宋体" w:eastAsia="宋体" w:hint="default"/>
                            <w:sz w:val="18"/>
                            <w:szCs w:val="18"/>
                          </w:rPr>
                          <w:t>收购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208,524,775.03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62" w:lineRule="auto"/>
                          <w:ind w:left="24" w:right="64"/>
                          <w:jc w:val="left"/>
                          <w:rPr>
                            <w:rFonts w:ascii="Times New Roman" w:hAnsi="Times New Roman" w:cs="Times New Roman" w:eastAsia="Times New Roman" w:hint="default"/>
                            <w:sz w:val="18"/>
                            <w:szCs w:val="18"/>
                          </w:rPr>
                        </w:pPr>
                        <w:r>
                          <w:rPr>
                            <w:rFonts w:ascii="Times New Roman"/>
                            <w:spacing w:val="-2"/>
                            <w:sz w:val="18"/>
                          </w:rPr>
                          <w:t>StayNTouch</w:t>
                        </w:r>
                        <w:r>
                          <w:rPr>
                            <w:rFonts w:ascii="Times New Roman"/>
                            <w:sz w:val="18"/>
                          </w:rPr>
                          <w:t> Inc.</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73"/>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23"/>
                          <w:jc w:val="left"/>
                          <w:rPr>
                            <w:rFonts w:ascii="宋体" w:hAnsi="宋体" w:cs="宋体" w:eastAsia="宋体" w:hint="default"/>
                            <w:sz w:val="18"/>
                            <w:szCs w:val="18"/>
                          </w:rPr>
                        </w:pPr>
                        <w:r>
                          <w:rPr>
                            <w:rFonts w:ascii="宋体" w:hAnsi="宋体" w:cs="宋体" w:eastAsia="宋体" w:hint="default"/>
                            <w:spacing w:val="-5"/>
                            <w:sz w:val="18"/>
                            <w:szCs w:val="18"/>
                          </w:rPr>
                          <w:t>截止资产负债表日，本报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告期标的公司持有的由 </w:t>
                        </w:r>
                        <w:r>
                          <w:rPr>
                            <w:rFonts w:ascii="Times New Roman" w:hAnsi="Times New Roman" w:cs="Times New Roman" w:eastAsia="Times New Roman" w:hint="default"/>
                            <w:sz w:val="18"/>
                            <w:szCs w:val="18"/>
                          </w:rPr>
                          <w:t>18.32%</w:t>
                        </w:r>
                        <w:r>
                          <w:rPr>
                            <w:rFonts w:ascii="宋体" w:hAnsi="宋体" w:cs="宋体" w:eastAsia="宋体" w:hint="default"/>
                            <w:sz w:val="18"/>
                            <w:szCs w:val="18"/>
                          </w:rPr>
                          <w:t>增加至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所涉 及的股权产权已全部过 </w:t>
                        </w:r>
                        <w:r>
                          <w:rPr>
                            <w:rFonts w:ascii="宋体" w:hAnsi="宋体" w:cs="宋体" w:eastAsia="宋体" w:hint="default"/>
                            <w:spacing w:val="-5"/>
                            <w:sz w:val="18"/>
                            <w:szCs w:val="18"/>
                          </w:rPr>
                          <w:t>户，所涉及的债权债务已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全部转移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1"/>
                          <w:jc w:val="left"/>
                          <w:rPr>
                            <w:rFonts w:ascii="宋体" w:hAnsi="宋体" w:cs="宋体" w:eastAsia="宋体" w:hint="default"/>
                            <w:sz w:val="18"/>
                            <w:szCs w:val="18"/>
                          </w:rPr>
                        </w:pPr>
                        <w:r>
                          <w:rPr>
                            <w:rFonts w:ascii="宋体" w:hAnsi="宋体" w:cs="宋体" w:eastAsia="宋体" w:hint="default"/>
                            <w:spacing w:val="9"/>
                            <w:sz w:val="18"/>
                            <w:szCs w:val="18"/>
                          </w:rPr>
                          <w:t>无法 </w:t>
                        </w:r>
                        <w:r>
                          <w:rPr>
                            <w:rFonts w:ascii="宋体" w:hAnsi="宋体" w:cs="宋体" w:eastAsia="宋体" w:hint="default"/>
                            <w:sz w:val="18"/>
                            <w:szCs w:val="18"/>
                          </w:rPr>
                          <w:t>预计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-11,327,890.06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1" w:right="19"/>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 刊登于巨潮资讯网的</w:t>
                        </w:r>
                      </w:p>
                      <w:p>
                        <w:pPr>
                          <w:pStyle w:val="TableParagraph"/>
                          <w:spacing w:line="309" w:lineRule="auto" w:before="32"/>
                          <w:ind w:left="21" w:right="-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年半年度报告 中关于标的公司持有 </w:t>
                        </w:r>
                        <w:r>
                          <w:rPr>
                            <w:rFonts w:ascii="Times New Roman" w:hAnsi="Times New Roman" w:cs="Times New Roman" w:eastAsia="Times New Roman" w:hint="default"/>
                            <w:sz w:val="18"/>
                            <w:szCs w:val="18"/>
                          </w:rPr>
                          <w:t>18%</w:t>
                        </w:r>
                        <w:r>
                          <w:rPr>
                            <w:rFonts w:ascii="宋体" w:hAnsi="宋体" w:cs="宋体" w:eastAsia="宋体" w:hint="default"/>
                            <w:sz w:val="18"/>
                            <w:szCs w:val="18"/>
                          </w:rPr>
                          <w:t>股权的公告内容。</w:t>
                        </w:r>
                      </w:p>
                    </w:tc>
                  </w:tr>
                  <w:tr>
                    <w:trPr>
                      <w:trHeight w:val="133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175"/>
                          <w:jc w:val="both"/>
                          <w:rPr>
                            <w:rFonts w:ascii="Times New Roman" w:hAnsi="Times New Roman" w:cs="Times New Roman" w:eastAsia="Times New Roman" w:hint="default"/>
                            <w:sz w:val="18"/>
                            <w:szCs w:val="18"/>
                          </w:rPr>
                        </w:pPr>
                        <w:r>
                          <w:rPr>
                            <w:rFonts w:ascii="Times New Roman" w:hAnsi="Times New Roman"/>
                            <w:sz w:val="18"/>
                          </w:rPr>
                          <w:t>CONCEPTEK - SISTEMAS</w:t>
                        </w:r>
                        <w:r>
                          <w:rPr>
                            <w:rFonts w:ascii="Times New Roman" w:hAnsi="Times New Roman"/>
                            <w:spacing w:val="-2"/>
                            <w:sz w:val="18"/>
                          </w:rPr>
                          <w:t> </w:t>
                        </w:r>
                        <w:r>
                          <w:rPr>
                            <w:rFonts w:ascii="Times New Roman" w:hAnsi="Times New Roman"/>
                            <w:sz w:val="18"/>
                          </w:rPr>
                          <w:t>DE</w:t>
                        </w:r>
                        <w:r>
                          <w:rPr>
                            <w:rFonts w:ascii="Times New Roman" w:hAnsi="Times New Roman"/>
                            <w:w w:val="99"/>
                            <w:sz w:val="18"/>
                          </w:rPr>
                          <w:t> </w:t>
                        </w:r>
                        <w:r>
                          <w:rPr>
                            <w:rFonts w:ascii="Times New Roman" w:hAnsi="Times New Roman"/>
                            <w:sz w:val="18"/>
                          </w:rPr>
                          <w:t>INFORMAÇÃO</w:t>
                        </w:r>
                        <w:r>
                          <w:rPr>
                            <w:rFonts w:ascii="Times New Roman" w:hAnsi="Times New Roman"/>
                            <w:w w:val="99"/>
                            <w:sz w:val="18"/>
                          </w:rPr>
                          <w:t> </w:t>
                        </w:r>
                        <w:r>
                          <w:rPr>
                            <w:rFonts w:ascii="Times New Roman" w:hAnsi="Times New Roman"/>
                            <w:sz w:val="18"/>
                          </w:rPr>
                          <w:t>S.A.</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 w:right="96"/>
                          <w:jc w:val="both"/>
                          <w:rPr>
                            <w:rFonts w:ascii="宋体" w:hAnsi="宋体" w:cs="宋体" w:eastAsia="宋体" w:hint="default"/>
                            <w:sz w:val="18"/>
                            <w:szCs w:val="18"/>
                          </w:rPr>
                        </w:pPr>
                        <w:r>
                          <w:rPr>
                            <w:rFonts w:ascii="宋体" w:hAnsi="宋体" w:cs="宋体" w:eastAsia="宋体" w:hint="default"/>
                            <w:sz w:val="18"/>
                            <w:szCs w:val="18"/>
                          </w:rPr>
                          <w:t>高尔夫及 水疗管理 解决方案</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收购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37,752,058.48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2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0" w:lineRule="auto"/>
                          <w:ind w:left="24" w:right="2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CONCEPTE K</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SISTEM</w:t>
                        </w:r>
                      </w:p>
                      <w:p>
                        <w:pPr>
                          <w:pStyle w:val="TableParagraph"/>
                          <w:spacing w:line="21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原股东</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73"/>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22"/>
                          <w:jc w:val="left"/>
                          <w:rPr>
                            <w:rFonts w:ascii="宋体" w:hAnsi="宋体" w:cs="宋体" w:eastAsia="宋体" w:hint="default"/>
                            <w:sz w:val="18"/>
                            <w:szCs w:val="18"/>
                          </w:rPr>
                        </w:pPr>
                        <w:r>
                          <w:rPr>
                            <w:rFonts w:ascii="宋体" w:hAnsi="宋体" w:cs="宋体" w:eastAsia="宋体" w:hint="default"/>
                            <w:spacing w:val="-5"/>
                            <w:sz w:val="18"/>
                            <w:szCs w:val="18"/>
                          </w:rPr>
                          <w:t>截止资产负债表日，所涉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及的股权产权已全部过 </w:t>
                        </w:r>
                        <w:r>
                          <w:rPr>
                            <w:rFonts w:ascii="宋体" w:hAnsi="宋体" w:cs="宋体" w:eastAsia="宋体" w:hint="default"/>
                            <w:spacing w:val="-5"/>
                            <w:sz w:val="18"/>
                            <w:szCs w:val="18"/>
                          </w:rPr>
                          <w:t>户，所涉及的债权债务已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全部转移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1"/>
                          <w:jc w:val="left"/>
                          <w:rPr>
                            <w:rFonts w:ascii="宋体" w:hAnsi="宋体" w:cs="宋体" w:eastAsia="宋体" w:hint="default"/>
                            <w:sz w:val="18"/>
                            <w:szCs w:val="18"/>
                          </w:rPr>
                        </w:pPr>
                        <w:r>
                          <w:rPr>
                            <w:rFonts w:ascii="宋体" w:hAnsi="宋体" w:cs="宋体" w:eastAsia="宋体" w:hint="default"/>
                            <w:spacing w:val="9"/>
                            <w:sz w:val="18"/>
                            <w:szCs w:val="18"/>
                          </w:rPr>
                          <w:t>无法 </w:t>
                        </w:r>
                        <w:r>
                          <w:rPr>
                            <w:rFonts w:ascii="宋体" w:hAnsi="宋体" w:cs="宋体" w:eastAsia="宋体" w:hint="default"/>
                            <w:sz w:val="18"/>
                            <w:szCs w:val="18"/>
                          </w:rPr>
                          <w:t>预计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-361,652.71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1" w:right="19"/>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 刊登于巨潮资讯网的</w:t>
                        </w:r>
                      </w:p>
                      <w:p>
                        <w:pPr>
                          <w:pStyle w:val="TableParagraph"/>
                          <w:spacing w:line="240" w:lineRule="auto" w:before="33"/>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年半年度报告</w:t>
                        </w:r>
                      </w:p>
                    </w:tc>
                  </w:tr>
                  <w:tr>
                    <w:trPr>
                      <w:trHeight w:val="133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23"/>
                          <w:jc w:val="left"/>
                          <w:rPr>
                            <w:rFonts w:ascii="宋体" w:hAnsi="宋体" w:cs="宋体" w:eastAsia="宋体" w:hint="default"/>
                            <w:sz w:val="18"/>
                            <w:szCs w:val="18"/>
                          </w:rPr>
                        </w:pPr>
                        <w:r>
                          <w:rPr>
                            <w:rFonts w:ascii="宋体" w:hAnsi="宋体" w:cs="宋体" w:eastAsia="宋体" w:hint="default"/>
                            <w:sz w:val="18"/>
                            <w:szCs w:val="18"/>
                          </w:rPr>
                          <w:t>广州合光信息技 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96"/>
                          <w:jc w:val="both"/>
                          <w:rPr>
                            <w:rFonts w:ascii="宋体" w:hAnsi="宋体" w:cs="宋体" w:eastAsia="宋体" w:hint="default"/>
                            <w:sz w:val="18"/>
                            <w:szCs w:val="18"/>
                          </w:rPr>
                        </w:pPr>
                        <w:r>
                          <w:rPr>
                            <w:rFonts w:ascii="宋体" w:hAnsi="宋体" w:cs="宋体" w:eastAsia="宋体" w:hint="default"/>
                            <w:sz w:val="18"/>
                            <w:szCs w:val="18"/>
                          </w:rPr>
                          <w:t>零售管理 系统开发 与销售</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收购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19,160,000.00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2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广州合光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个原始股东</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73"/>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pacing w:val="-5"/>
                            <w:sz w:val="18"/>
                            <w:szCs w:val="18"/>
                          </w:rPr>
                          <w:t>截止资产负债表日，所涉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及的股权产权已全部过 </w:t>
                        </w:r>
                        <w:r>
                          <w:rPr>
                            <w:rFonts w:ascii="宋体" w:hAnsi="宋体" w:cs="宋体" w:eastAsia="宋体" w:hint="default"/>
                            <w:spacing w:val="-5"/>
                            <w:sz w:val="18"/>
                            <w:szCs w:val="18"/>
                          </w:rPr>
                          <w:t>户，所涉及的债权债务已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全部转移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1"/>
                          <w:jc w:val="left"/>
                          <w:rPr>
                            <w:rFonts w:ascii="宋体" w:hAnsi="宋体" w:cs="宋体" w:eastAsia="宋体" w:hint="default"/>
                            <w:sz w:val="18"/>
                            <w:szCs w:val="18"/>
                          </w:rPr>
                        </w:pPr>
                        <w:r>
                          <w:rPr>
                            <w:rFonts w:ascii="宋体" w:hAnsi="宋体" w:cs="宋体" w:eastAsia="宋体" w:hint="default"/>
                            <w:spacing w:val="9"/>
                            <w:sz w:val="18"/>
                            <w:szCs w:val="18"/>
                          </w:rPr>
                          <w:t>无法 </w:t>
                        </w:r>
                        <w:r>
                          <w:rPr>
                            <w:rFonts w:ascii="宋体" w:hAnsi="宋体" w:cs="宋体" w:eastAsia="宋体" w:hint="default"/>
                            <w:sz w:val="18"/>
                            <w:szCs w:val="18"/>
                          </w:rPr>
                          <w:t>预计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238,247.45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1" w:right="19"/>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 刊登于巨潮资讯网的</w:t>
                        </w:r>
                      </w:p>
                      <w:p>
                        <w:pPr>
                          <w:pStyle w:val="TableParagraph"/>
                          <w:spacing w:line="240" w:lineRule="auto" w:before="31"/>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年半年度报告</w:t>
                        </w:r>
                      </w:p>
                    </w:tc>
                  </w:tr>
                  <w:tr>
                    <w:trPr>
                      <w:trHeight w:val="196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3" w:right="123"/>
                          <w:jc w:val="left"/>
                          <w:rPr>
                            <w:rFonts w:ascii="宋体" w:hAnsi="宋体" w:cs="宋体" w:eastAsia="宋体" w:hint="default"/>
                            <w:sz w:val="18"/>
                            <w:szCs w:val="18"/>
                          </w:rPr>
                        </w:pPr>
                        <w:r>
                          <w:rPr>
                            <w:rFonts w:ascii="宋体" w:hAnsi="宋体" w:cs="宋体" w:eastAsia="宋体" w:hint="default"/>
                            <w:sz w:val="18"/>
                            <w:szCs w:val="18"/>
                          </w:rPr>
                          <w:t>南京客至软件有 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1" w:right="96"/>
                          <w:jc w:val="both"/>
                          <w:rPr>
                            <w:rFonts w:ascii="宋体" w:hAnsi="宋体" w:cs="宋体" w:eastAsia="宋体" w:hint="default"/>
                            <w:sz w:val="18"/>
                            <w:szCs w:val="18"/>
                          </w:rPr>
                        </w:pPr>
                        <w:r>
                          <w:rPr>
                            <w:rFonts w:ascii="宋体" w:hAnsi="宋体" w:cs="宋体" w:eastAsia="宋体" w:hint="default"/>
                            <w:sz w:val="18"/>
                            <w:szCs w:val="18"/>
                          </w:rPr>
                          <w:t>零售管理 系统开发 与销售</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7"/>
                          <w:jc w:val="center"/>
                          <w:rPr>
                            <w:rFonts w:ascii="宋体" w:hAnsi="宋体" w:cs="宋体" w:eastAsia="宋体" w:hint="default"/>
                            <w:sz w:val="18"/>
                            <w:szCs w:val="18"/>
                          </w:rPr>
                        </w:pPr>
                        <w:r>
                          <w:rPr>
                            <w:rFonts w:ascii="宋体" w:hAnsi="宋体" w:cs="宋体" w:eastAsia="宋体" w:hint="default"/>
                            <w:sz w:val="18"/>
                            <w:szCs w:val="18"/>
                          </w:rPr>
                          <w:t>收购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12,400,000.00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55.00%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3" w:right="2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59"/>
                          <w:jc w:val="both"/>
                          <w:rPr>
                            <w:rFonts w:ascii="宋体" w:hAnsi="宋体" w:cs="宋体" w:eastAsia="宋体" w:hint="default"/>
                            <w:sz w:val="18"/>
                            <w:szCs w:val="18"/>
                          </w:rPr>
                        </w:pPr>
                        <w:r>
                          <w:rPr>
                            <w:rFonts w:ascii="宋体" w:hAnsi="宋体" w:cs="宋体" w:eastAsia="宋体" w:hint="default"/>
                            <w:sz w:val="18"/>
                            <w:szCs w:val="18"/>
                          </w:rPr>
                          <w:t>南京客至及 其一位原股 东</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4" w:right="173"/>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 w:right="22"/>
                          <w:jc w:val="left"/>
                          <w:rPr>
                            <w:rFonts w:ascii="宋体" w:hAnsi="宋体" w:cs="宋体" w:eastAsia="宋体" w:hint="default"/>
                            <w:sz w:val="18"/>
                            <w:szCs w:val="18"/>
                          </w:rPr>
                        </w:pPr>
                        <w:r>
                          <w:rPr>
                            <w:rFonts w:ascii="宋体" w:hAnsi="宋体" w:cs="宋体" w:eastAsia="宋体" w:hint="default"/>
                            <w:spacing w:val="-5"/>
                            <w:sz w:val="18"/>
                            <w:szCs w:val="18"/>
                          </w:rPr>
                          <w:t>截止资产负债表日，所涉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及的股权产权已全部过 </w:t>
                        </w:r>
                        <w:r>
                          <w:rPr>
                            <w:rFonts w:ascii="宋体" w:hAnsi="宋体" w:cs="宋体" w:eastAsia="宋体" w:hint="default"/>
                            <w:spacing w:val="-5"/>
                            <w:sz w:val="18"/>
                            <w:szCs w:val="18"/>
                          </w:rPr>
                          <w:t>户，所涉及的债权债务已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全部转移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4" w:right="11"/>
                          <w:jc w:val="left"/>
                          <w:rPr>
                            <w:rFonts w:ascii="宋体" w:hAnsi="宋体" w:cs="宋体" w:eastAsia="宋体" w:hint="default"/>
                            <w:sz w:val="18"/>
                            <w:szCs w:val="18"/>
                          </w:rPr>
                        </w:pPr>
                        <w:r>
                          <w:rPr>
                            <w:rFonts w:ascii="宋体" w:hAnsi="宋体" w:cs="宋体" w:eastAsia="宋体" w:hint="default"/>
                            <w:spacing w:val="9"/>
                            <w:sz w:val="18"/>
                            <w:szCs w:val="18"/>
                          </w:rPr>
                          <w:t>无法 </w:t>
                        </w:r>
                        <w:r>
                          <w:rPr>
                            <w:rFonts w:ascii="宋体" w:hAnsi="宋体" w:cs="宋体" w:eastAsia="宋体" w:hint="default"/>
                            <w:sz w:val="18"/>
                            <w:szCs w:val="18"/>
                          </w:rPr>
                          <w:t>预计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-1,568,892.29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1" w:right="19"/>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 刊登于全国中小企业 </w:t>
                        </w:r>
                        <w:r>
                          <w:rPr>
                            <w:rFonts w:ascii="宋体" w:hAnsi="宋体" w:cs="宋体" w:eastAsia="宋体" w:hint="default"/>
                            <w:spacing w:val="-6"/>
                            <w:sz w:val="18"/>
                            <w:szCs w:val="18"/>
                          </w:rPr>
                          <w:t>股份转让系统的《深圳</w:t>
                        </w:r>
                        <w:r>
                          <w:rPr>
                            <w:rFonts w:ascii="宋体" w:hAnsi="宋体" w:cs="宋体" w:eastAsia="宋体" w:hint="default"/>
                            <w:sz w:val="18"/>
                            <w:szCs w:val="18"/>
                          </w:rPr>
                          <w:t> 市思迅软件股份有限 公司对外投资公告》</w:t>
                        </w:r>
                      </w:p>
                      <w:p>
                        <w:pPr>
                          <w:pStyle w:val="TableParagraph"/>
                          <w:spacing w:line="240" w:lineRule="auto" w:before="23"/>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2018-29</w:t>
                        </w:r>
                        <w:r>
                          <w:rPr>
                            <w:rFonts w:ascii="宋体" w:hAnsi="宋体" w:cs="宋体" w:eastAsia="宋体" w:hint="default"/>
                            <w:sz w:val="18"/>
                            <w:szCs w:val="18"/>
                          </w:rPr>
                          <w:t>）</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3"/>
                          <w:jc w:val="left"/>
                          <w:rPr>
                            <w:rFonts w:ascii="宋体" w:hAnsi="宋体" w:cs="宋体" w:eastAsia="宋体" w:hint="default"/>
                            <w:sz w:val="18"/>
                            <w:szCs w:val="18"/>
                          </w:rPr>
                        </w:pPr>
                        <w:r>
                          <w:rPr>
                            <w:rFonts w:ascii="宋体" w:hAnsi="宋体" w:cs="宋体" w:eastAsia="宋体" w:hint="default"/>
                            <w:sz w:val="18"/>
                            <w:szCs w:val="18"/>
                          </w:rPr>
                          <w:t>北京宝库在线网 络技术有限公司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6"/>
                          <w:jc w:val="left"/>
                          <w:rPr>
                            <w:rFonts w:ascii="宋体" w:hAnsi="宋体" w:cs="宋体" w:eastAsia="宋体" w:hint="default"/>
                            <w:sz w:val="18"/>
                            <w:szCs w:val="18"/>
                          </w:rPr>
                        </w:pPr>
                        <w:r>
                          <w:rPr>
                            <w:rFonts w:ascii="宋体" w:hAnsi="宋体" w:cs="宋体" w:eastAsia="宋体" w:hint="default"/>
                            <w:sz w:val="18"/>
                            <w:szCs w:val="18"/>
                          </w:rPr>
                          <w:t>软件开发 与销售</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收购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60,000,000.00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85.00%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宝库在线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个原始股东</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1" w:right="22"/>
                          <w:jc w:val="left"/>
                          <w:rPr>
                            <w:rFonts w:ascii="宋体" w:hAnsi="宋体" w:cs="宋体" w:eastAsia="宋体" w:hint="default"/>
                            <w:sz w:val="18"/>
                            <w:szCs w:val="18"/>
                          </w:rPr>
                        </w:pPr>
                        <w:r>
                          <w:rPr>
                            <w:rFonts w:ascii="宋体" w:hAnsi="宋体" w:cs="宋体" w:eastAsia="宋体" w:hint="default"/>
                            <w:spacing w:val="-5"/>
                            <w:sz w:val="18"/>
                            <w:szCs w:val="18"/>
                          </w:rPr>
                          <w:t>截止资产负债表日，所涉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及的股权产权已全部过</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pacing w:val="9"/>
                            <w:sz w:val="18"/>
                            <w:szCs w:val="18"/>
                          </w:rPr>
                          <w:t>无法 </w:t>
                        </w:r>
                        <w:r>
                          <w:rPr>
                            <w:rFonts w:ascii="宋体" w:hAnsi="宋体" w:cs="宋体" w:eastAsia="宋体" w:hint="default"/>
                            <w:sz w:val="18"/>
                            <w:szCs w:val="18"/>
                          </w:rPr>
                          <w:t>预计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-4,264,532.04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44"/>
        <w:ind w:left="0" w:right="10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before="44"/>
        <w:ind w:left="0" w:right="10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headerReference w:type="default" r:id="rId18"/>
          <w:footerReference w:type="default" r:id="rId19"/>
          <w:pgSz w:w="16840" w:h="11910" w:orient="landscape"/>
          <w:pgMar w:header="867" w:footer="980" w:top="1060" w:bottom="1160" w:left="1300" w:right="1240"/>
          <w:pgNumType w:start="4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19"/>
        <w:gridCol w:w="850"/>
        <w:gridCol w:w="427"/>
        <w:gridCol w:w="1274"/>
        <w:gridCol w:w="709"/>
        <w:gridCol w:w="425"/>
        <w:gridCol w:w="994"/>
        <w:gridCol w:w="566"/>
        <w:gridCol w:w="569"/>
        <w:gridCol w:w="1983"/>
        <w:gridCol w:w="425"/>
        <w:gridCol w:w="1277"/>
        <w:gridCol w:w="425"/>
        <w:gridCol w:w="853"/>
        <w:gridCol w:w="1795"/>
      </w:tblGrid>
      <w:tr>
        <w:trPr>
          <w:trHeight w:val="689" w:hRule="exact"/>
        </w:trPr>
        <w:tc>
          <w:tcPr>
            <w:tcW w:w="1419"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4" w:right="59"/>
              <w:jc w:val="left"/>
              <w:rPr>
                <w:rFonts w:ascii="宋体" w:hAnsi="宋体" w:cs="宋体" w:eastAsia="宋体" w:hint="default"/>
                <w:sz w:val="18"/>
                <w:szCs w:val="18"/>
              </w:rPr>
            </w:pPr>
            <w:r>
              <w:rPr>
                <w:rFonts w:ascii="宋体" w:hAnsi="宋体" w:cs="宋体" w:eastAsia="宋体" w:hint="default"/>
                <w:sz w:val="18"/>
                <w:szCs w:val="18"/>
              </w:rPr>
              <w:t>及宝库在线 增资</w:t>
            </w:r>
          </w:p>
        </w:tc>
        <w:tc>
          <w:tcPr>
            <w:tcW w:w="566"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1983"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1" w:right="22"/>
              <w:jc w:val="left"/>
              <w:rPr>
                <w:rFonts w:ascii="宋体" w:hAnsi="宋体" w:cs="宋体" w:eastAsia="宋体" w:hint="default"/>
                <w:sz w:val="18"/>
                <w:szCs w:val="18"/>
              </w:rPr>
            </w:pPr>
            <w:r>
              <w:rPr>
                <w:rFonts w:ascii="宋体" w:hAnsi="宋体" w:cs="宋体" w:eastAsia="宋体" w:hint="default"/>
                <w:spacing w:val="-5"/>
                <w:sz w:val="18"/>
                <w:szCs w:val="18"/>
              </w:rPr>
              <w:t>户，所涉及的债权债务已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全部转移</w:t>
            </w:r>
          </w:p>
        </w:tc>
        <w:tc>
          <w:tcPr>
            <w:tcW w:w="42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853" w:type="dxa"/>
            <w:tcBorders>
              <w:top w:val="single" w:sz="15" w:space="0" w:color="000000"/>
              <w:left w:val="single" w:sz="4" w:space="0" w:color="000000"/>
              <w:bottom w:val="single" w:sz="4" w:space="0" w:color="000000"/>
              <w:right w:val="single" w:sz="4" w:space="0" w:color="000000"/>
            </w:tcBorders>
          </w:tcPr>
          <w:p>
            <w:pPr/>
          </w:p>
        </w:tc>
        <w:tc>
          <w:tcPr>
            <w:tcW w:w="1795"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337,836,833.51</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-24,187,827.64</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7" w:footer="980" w:top="1060" w:bottom="1160" w:left="1320" w:right="1280"/>
        </w:sectPr>
      </w:pPr>
    </w:p>
    <w:p>
      <w:pPr>
        <w:spacing w:line="240" w:lineRule="auto" w:before="8"/>
        <w:rPr>
          <w:rFonts w:ascii="Times New Roman" w:hAnsi="Times New Roman" w:cs="Times New Roman" w:eastAsia="Times New Roman" w:hint="default"/>
          <w:sz w:val="23"/>
          <w:szCs w:val="23"/>
        </w:rPr>
      </w:pPr>
    </w:p>
    <w:p>
      <w:pPr>
        <w:pStyle w:val="Heading7"/>
        <w:spacing w:line="240" w:lineRule="auto" w:before="36"/>
        <w:ind w:right="11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40" w:lineRule="auto"/>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95"/>
        <w:gridCol w:w="845"/>
        <w:gridCol w:w="869"/>
        <w:gridCol w:w="871"/>
        <w:gridCol w:w="869"/>
        <w:gridCol w:w="872"/>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95"/>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5"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9"/>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3"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238,887.93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59,691.78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238,887.93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56,616.66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131,344.92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238,887.93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center"/>
              <w:rPr>
                <w:rFonts w:ascii="Times New Roman" w:hAnsi="Times New Roman" w:cs="Times New Roman" w:eastAsia="Times New Roman" w:hint="default"/>
                <w:sz w:val="18"/>
                <w:szCs w:val="18"/>
              </w:rPr>
            </w:pPr>
            <w:r>
              <w:rPr>
                <w:rFonts w:ascii="Times New Roman"/>
                <w:sz w:val="18"/>
              </w:rPr>
              <w:t>59,691.78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238,887.93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56,616.66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131,344.92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54.98%</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943" w:hRule="exact"/>
        </w:trPr>
        <w:tc>
          <w:tcPr>
            <w:tcW w:w="9566" w:type="dxa"/>
            <w:gridSpan w:val="11"/>
            <w:tcBorders>
              <w:top w:val="single" w:sz="4" w:space="0" w:color="000000"/>
              <w:left w:val="single" w:sz="4" w:space="0" w:color="000000"/>
              <w:bottom w:val="single" w:sz="6" w:space="0" w:color="000000"/>
              <w:right w:val="single" w:sz="4" w:space="0" w:color="000000"/>
            </w:tcBorders>
          </w:tcPr>
          <w:p>
            <w:pPr>
              <w:pStyle w:val="TableParagraph"/>
              <w:spacing w:line="307" w:lineRule="auto" w:before="51"/>
              <w:ind w:left="24" w:right="21"/>
              <w:jc w:val="both"/>
              <w:rPr>
                <w:rFonts w:ascii="宋体" w:hAnsi="宋体" w:cs="宋体" w:eastAsia="宋体" w:hint="default"/>
                <w:sz w:val="18"/>
                <w:szCs w:val="18"/>
              </w:rPr>
            </w:pPr>
            <w:r>
              <w:rPr>
                <w:rFonts w:ascii="宋体" w:hAnsi="宋体" w:cs="宋体" w:eastAsia="宋体" w:hint="default"/>
                <w:sz w:val="18"/>
                <w:szCs w:val="18"/>
              </w:rPr>
              <w:t>（一）公司募集资金数额和资金到位时间经中国证券监督管理委员会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[2015]2456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文《中国证券监督管理委员 </w:t>
            </w:r>
            <w:r>
              <w:rPr>
                <w:rFonts w:ascii="宋体" w:hAnsi="宋体" w:cs="宋体" w:eastAsia="宋体" w:hint="default"/>
                <w:spacing w:val="-1"/>
                <w:sz w:val="18"/>
                <w:szCs w:val="18"/>
              </w:rPr>
              <w:t>会关于核准北京中长石基信息技术股份有限公司向特定对象非公开发行股票的批复》核准，并经深圳证券交易所同意，本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公司向淘宝（中国）软件有限公司非公开发行不超过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46,476,251.00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股新股，实际发行股票数量为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46,476,251.00 </w:t>
            </w:r>
            <w:r>
              <w:rPr>
                <w:rFonts w:ascii="宋体" w:hAnsi="宋体" w:cs="宋体" w:eastAsia="宋体" w:hint="default"/>
                <w:sz w:val="18"/>
                <w:szCs w:val="18"/>
              </w:rPr>
              <w:t>股，每股</w:t>
            </w:r>
          </w:p>
          <w:p>
            <w:pPr>
              <w:pStyle w:val="TableParagraph"/>
              <w:spacing w:line="240" w:lineRule="auto" w:before="7"/>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面值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元，每股发行价格为人民币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元，募集资金总额为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2,388,879,301.40 </w:t>
            </w:r>
            <w:r>
              <w:rPr>
                <w:rFonts w:ascii="宋体" w:hAnsi="宋体" w:cs="宋体" w:eastAsia="宋体" w:hint="default"/>
                <w:sz w:val="18"/>
                <w:szCs w:val="18"/>
              </w:rPr>
              <w:t>元，扣除各项发行费用人民币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16,706,875.25</w:t>
            </w:r>
          </w:p>
          <w:p>
            <w:pPr>
              <w:pStyle w:val="TableParagraph"/>
              <w:spacing w:line="300" w:lineRule="auto" w:before="63"/>
              <w:ind w:left="24" w:right="20"/>
              <w:jc w:val="both"/>
              <w:rPr>
                <w:rFonts w:ascii="宋体" w:hAnsi="宋体" w:cs="宋体" w:eastAsia="宋体" w:hint="default"/>
                <w:sz w:val="18"/>
                <w:szCs w:val="18"/>
              </w:rPr>
            </w:pPr>
            <w:r>
              <w:rPr>
                <w:rFonts w:ascii="宋体" w:hAnsi="宋体" w:cs="宋体" w:eastAsia="宋体" w:hint="default"/>
                <w:sz w:val="18"/>
                <w:szCs w:val="18"/>
              </w:rPr>
              <w:t>元，实际募集资金净额为人民币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2,372,172,426.15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元。上述资金已于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日全部到位，并业经中审众环会计师 事务所（特殊普通合伙）验证并出具了众环验字</w:t>
            </w:r>
            <w:r>
              <w:rPr>
                <w:rFonts w:ascii="Times New Roman" w:hAnsi="Times New Roman" w:cs="Times New Roman" w:eastAsia="Times New Roman" w:hint="default"/>
                <w:sz w:val="18"/>
                <w:szCs w:val="18"/>
              </w:rPr>
              <w:t>[2015]010119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号验资报告审验。</w:t>
            </w:r>
          </w:p>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sz w:val="18"/>
                <w:szCs w:val="18"/>
              </w:rPr>
              <w:t>（二）募集资金本年度使用金额及年末余额本公司募集资金净额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2,372,172,426.15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元，使用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2,492,996,960.27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元（含补充日</w:t>
            </w:r>
          </w:p>
          <w:p>
            <w:pPr>
              <w:pStyle w:val="TableParagraph"/>
              <w:spacing w:line="300" w:lineRule="auto" w:before="63"/>
              <w:ind w:left="24" w:right="17"/>
              <w:jc w:val="both"/>
              <w:rPr>
                <w:rFonts w:ascii="宋体" w:hAnsi="宋体" w:cs="宋体" w:eastAsia="宋体" w:hint="default"/>
                <w:sz w:val="18"/>
                <w:szCs w:val="18"/>
              </w:rPr>
            </w:pPr>
            <w:r>
              <w:rPr>
                <w:rFonts w:ascii="宋体" w:hAnsi="宋体" w:cs="宋体" w:eastAsia="宋体" w:hint="default"/>
                <w:spacing w:val="-5"/>
                <w:sz w:val="18"/>
                <w:szCs w:val="18"/>
              </w:rPr>
              <w:t>常流动资金项目及募集资金永久补充流动资金）。截止</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日，募集资金专户余额为</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6,343.37</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元。募集资金具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体使用情况如下：</w:t>
            </w:r>
          </w:p>
        </w:tc>
      </w:tr>
      <w:tr>
        <w:trPr>
          <w:trHeight w:val="406" w:hRule="exact"/>
        </w:trPr>
        <w:tc>
          <w:tcPr>
            <w:tcW w:w="4371" w:type="dxa"/>
            <w:gridSpan w:val="5"/>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5195" w:type="dxa"/>
            <w:gridSpan w:val="6"/>
            <w:tcBorders>
              <w:top w:val="single" w:sz="6" w:space="0" w:color="000000"/>
              <w:left w:val="single" w:sz="6" w:space="0" w:color="000000"/>
              <w:bottom w:val="single" w:sz="6"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金额</w:t>
            </w:r>
          </w:p>
        </w:tc>
      </w:tr>
      <w:tr>
        <w:trPr>
          <w:trHeight w:val="408" w:hRule="exact"/>
        </w:trPr>
        <w:tc>
          <w:tcPr>
            <w:tcW w:w="4371" w:type="dxa"/>
            <w:gridSpan w:val="5"/>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一、募集资金净额</w:t>
            </w:r>
          </w:p>
        </w:tc>
        <w:tc>
          <w:tcPr>
            <w:tcW w:w="5195" w:type="dxa"/>
            <w:gridSpan w:val="6"/>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2,372,172,426.15</w:t>
            </w:r>
          </w:p>
        </w:tc>
      </w:tr>
      <w:tr>
        <w:trPr>
          <w:trHeight w:val="406" w:hRule="exact"/>
        </w:trPr>
        <w:tc>
          <w:tcPr>
            <w:tcW w:w="4371" w:type="dxa"/>
            <w:gridSpan w:val="5"/>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加：募集资金利息收入减除手续费</w:t>
            </w:r>
          </w:p>
        </w:tc>
        <w:tc>
          <w:tcPr>
            <w:tcW w:w="5195" w:type="dxa"/>
            <w:gridSpan w:val="6"/>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120,830,877.49</w:t>
            </w:r>
          </w:p>
        </w:tc>
      </w:tr>
      <w:tr>
        <w:trPr>
          <w:trHeight w:val="420" w:hRule="exact"/>
        </w:trPr>
        <w:tc>
          <w:tcPr>
            <w:tcW w:w="4371" w:type="dxa"/>
            <w:gridSpan w:val="5"/>
            <w:tcBorders>
              <w:top w:val="single" w:sz="6" w:space="0" w:color="000000"/>
              <w:left w:val="single" w:sz="4" w:space="0" w:color="000000"/>
              <w:bottom w:val="single" w:sz="6" w:space="0" w:color="000000"/>
              <w:right w:val="single" w:sz="6"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二、募集资金使用</w:t>
            </w:r>
          </w:p>
        </w:tc>
        <w:tc>
          <w:tcPr>
            <w:tcW w:w="5195" w:type="dxa"/>
            <w:gridSpan w:val="6"/>
            <w:tcBorders>
              <w:top w:val="single" w:sz="6" w:space="0" w:color="000000"/>
              <w:left w:val="single" w:sz="6" w:space="0" w:color="000000"/>
              <w:bottom w:val="single" w:sz="6"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2,492,996,960.27</w:t>
            </w:r>
          </w:p>
        </w:tc>
      </w:tr>
      <w:tr>
        <w:trPr>
          <w:trHeight w:val="408" w:hRule="exact"/>
        </w:trPr>
        <w:tc>
          <w:tcPr>
            <w:tcW w:w="4371" w:type="dxa"/>
            <w:gridSpan w:val="5"/>
            <w:tcBorders>
              <w:top w:val="single" w:sz="6" w:space="0" w:color="000000"/>
              <w:left w:val="single" w:sz="4"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5195" w:type="dxa"/>
            <w:gridSpan w:val="6"/>
            <w:tcBorders>
              <w:top w:val="single" w:sz="6" w:space="0" w:color="000000"/>
              <w:left w:val="single" w:sz="6" w:space="0" w:color="000000"/>
              <w:bottom w:val="single" w:sz="6" w:space="0" w:color="000000"/>
              <w:right w:val="single" w:sz="4" w:space="0" w:color="000000"/>
            </w:tcBorders>
          </w:tcPr>
          <w:p>
            <w:pPr/>
          </w:p>
        </w:tc>
      </w:tr>
      <w:tr>
        <w:trPr>
          <w:trHeight w:val="408" w:hRule="exact"/>
        </w:trPr>
        <w:tc>
          <w:tcPr>
            <w:tcW w:w="4371" w:type="dxa"/>
            <w:gridSpan w:val="5"/>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利用募投资金永久补充流动资金</w:t>
            </w:r>
          </w:p>
        </w:tc>
        <w:tc>
          <w:tcPr>
            <w:tcW w:w="5195" w:type="dxa"/>
            <w:gridSpan w:val="6"/>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1,417,566,750.24</w:t>
            </w:r>
          </w:p>
        </w:tc>
      </w:tr>
      <w:tr>
        <w:trPr>
          <w:trHeight w:val="406" w:hRule="exact"/>
        </w:trPr>
        <w:tc>
          <w:tcPr>
            <w:tcW w:w="4371" w:type="dxa"/>
            <w:gridSpan w:val="5"/>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利用募投资金偿还银行贷款</w:t>
            </w:r>
          </w:p>
        </w:tc>
        <w:tc>
          <w:tcPr>
            <w:tcW w:w="5195" w:type="dxa"/>
            <w:gridSpan w:val="6"/>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headerReference w:type="default" r:id="rId20"/>
          <w:footerReference w:type="default" r:id="rId21"/>
          <w:pgSz w:w="11910" w:h="16840"/>
          <w:pgMar w:header="877" w:footer="980" w:top="1100" w:bottom="1160" w:left="980" w:right="0"/>
          <w:pgNumType w:start="4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44"/>
        <w:ind w:left="152" w:right="1146" w:firstLine="0"/>
        <w:jc w:val="right"/>
        <w:rPr>
          <w:rFonts w:ascii="宋体" w:hAnsi="宋体" w:cs="宋体" w:eastAsia="宋体" w:hint="default"/>
          <w:sz w:val="18"/>
          <w:szCs w:val="18"/>
        </w:rPr>
      </w:pPr>
      <w:r>
        <w:rPr/>
        <w:pict>
          <v:shape style="position:absolute;margin-left:56.400002pt;margin-top:-269.098297pt;width:479.05pt;height:460.9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4"/>
                    <w:gridCol w:w="991"/>
                    <w:gridCol w:w="857"/>
                    <w:gridCol w:w="1964"/>
                    <w:gridCol w:w="2350"/>
                  </w:tblGrid>
                  <w:tr>
                    <w:trPr>
                      <w:trHeight w:val="408" w:hRule="exact"/>
                    </w:trPr>
                    <w:tc>
                      <w:tcPr>
                        <w:tcW w:w="4395" w:type="dxa"/>
                        <w:gridSpan w:val="2"/>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募集资金到位后募集资金项目使用募集资金</w:t>
                        </w:r>
                      </w:p>
                    </w:tc>
                    <w:tc>
                      <w:tcPr>
                        <w:tcW w:w="5171" w:type="dxa"/>
                        <w:gridSpan w:val="3"/>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1,075,430,210.03</w:t>
                        </w:r>
                      </w:p>
                    </w:tc>
                  </w:tr>
                  <w:tr>
                    <w:trPr>
                      <w:trHeight w:val="406" w:hRule="exact"/>
                    </w:trPr>
                    <w:tc>
                      <w:tcPr>
                        <w:tcW w:w="4395" w:type="dxa"/>
                        <w:gridSpan w:val="2"/>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利用超募资金进行对外投资</w:t>
                        </w:r>
                      </w:p>
                    </w:tc>
                    <w:tc>
                      <w:tcPr>
                        <w:tcW w:w="5171" w:type="dxa"/>
                        <w:gridSpan w:val="3"/>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66" w:hRule="exact"/>
                    </w:trPr>
                    <w:tc>
                      <w:tcPr>
                        <w:tcW w:w="4395" w:type="dxa"/>
                        <w:gridSpan w:val="2"/>
                        <w:tcBorders>
                          <w:top w:val="single" w:sz="6" w:space="0" w:color="000000"/>
                          <w:left w:val="single" w:sz="4" w:space="0" w:color="000000"/>
                          <w:bottom w:val="single" w:sz="6" w:space="0" w:color="000000"/>
                          <w:right w:val="single" w:sz="6"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变更募集资金使用项目对外投资金额</w:t>
                        </w:r>
                      </w:p>
                    </w:tc>
                    <w:tc>
                      <w:tcPr>
                        <w:tcW w:w="5171" w:type="dxa"/>
                        <w:gridSpan w:val="3"/>
                        <w:tcBorders>
                          <w:top w:val="single" w:sz="6" w:space="0" w:color="000000"/>
                          <w:left w:val="single" w:sz="6" w:space="0" w:color="000000"/>
                          <w:bottom w:val="single" w:sz="6"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20" w:hRule="exact"/>
                    </w:trPr>
                    <w:tc>
                      <w:tcPr>
                        <w:tcW w:w="4395" w:type="dxa"/>
                        <w:gridSpan w:val="2"/>
                        <w:tcBorders>
                          <w:top w:val="single" w:sz="6" w:space="0" w:color="000000"/>
                          <w:left w:val="single" w:sz="4" w:space="0" w:color="000000"/>
                          <w:bottom w:val="single" w:sz="6" w:space="0" w:color="000000"/>
                          <w:right w:val="single" w:sz="6"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三、尚未使用的募集资金余额</w:t>
                        </w:r>
                      </w:p>
                    </w:tc>
                    <w:tc>
                      <w:tcPr>
                        <w:tcW w:w="5171" w:type="dxa"/>
                        <w:gridSpan w:val="3"/>
                        <w:tcBorders>
                          <w:top w:val="single" w:sz="6" w:space="0" w:color="000000"/>
                          <w:left w:val="single" w:sz="6" w:space="0" w:color="000000"/>
                          <w:bottom w:val="single" w:sz="6"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8" w:hRule="exact"/>
                    </w:trPr>
                    <w:tc>
                      <w:tcPr>
                        <w:tcW w:w="4395" w:type="dxa"/>
                        <w:gridSpan w:val="2"/>
                        <w:tcBorders>
                          <w:top w:val="single" w:sz="6" w:space="0" w:color="000000"/>
                          <w:left w:val="single" w:sz="4"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四、募集资金专户实际余额</w:t>
                        </w:r>
                      </w:p>
                    </w:tc>
                    <w:tc>
                      <w:tcPr>
                        <w:tcW w:w="5171" w:type="dxa"/>
                        <w:gridSpan w:val="3"/>
                        <w:tcBorders>
                          <w:top w:val="single" w:sz="6" w:space="0" w:color="000000"/>
                          <w:left w:val="single" w:sz="6" w:space="0" w:color="000000"/>
                          <w:bottom w:val="single" w:sz="6"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6,343.37</w:t>
                        </w:r>
                      </w:p>
                    </w:tc>
                  </w:tr>
                  <w:tr>
                    <w:trPr>
                      <w:trHeight w:val="406" w:hRule="exact"/>
                    </w:trPr>
                    <w:tc>
                      <w:tcPr>
                        <w:tcW w:w="4395" w:type="dxa"/>
                        <w:gridSpan w:val="2"/>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五、差异</w:t>
                        </w:r>
                      </w:p>
                    </w:tc>
                    <w:tc>
                      <w:tcPr>
                        <w:tcW w:w="5171" w:type="dxa"/>
                        <w:gridSpan w:val="3"/>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232" w:hRule="exact"/>
                    </w:trPr>
                    <w:tc>
                      <w:tcPr>
                        <w:tcW w:w="9566" w:type="dxa"/>
                        <w:gridSpan w:val="5"/>
                        <w:tcBorders>
                          <w:top w:val="single" w:sz="6" w:space="0" w:color="000000"/>
                          <w:left w:val="single" w:sz="4" w:space="0" w:color="000000"/>
                          <w:bottom w:val="single" w:sz="6"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募集资金到位后募集资金项目使用募集资金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2,492,996,960.27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元，包括使用募集资金项目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1,075,430,210.03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元，募投资金永</w:t>
                        </w:r>
                      </w:p>
                      <w:p>
                        <w:pPr>
                          <w:pStyle w:val="TableParagraph"/>
                          <w:spacing w:line="300" w:lineRule="auto" w:before="60"/>
                          <w:ind w:left="24" w:right="17"/>
                          <w:jc w:val="both"/>
                          <w:rPr>
                            <w:rFonts w:ascii="宋体" w:hAnsi="宋体" w:cs="宋体" w:eastAsia="宋体" w:hint="default"/>
                            <w:sz w:val="18"/>
                            <w:szCs w:val="18"/>
                          </w:rPr>
                        </w:pPr>
                        <w:r>
                          <w:rPr>
                            <w:rFonts w:ascii="宋体" w:hAnsi="宋体" w:cs="宋体" w:eastAsia="宋体" w:hint="default"/>
                            <w:sz w:val="18"/>
                            <w:szCs w:val="18"/>
                          </w:rPr>
                          <w:t>久补充流动资金项目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1,417,566,750.24 </w:t>
                        </w:r>
                        <w:r>
                          <w:rPr>
                            <w:rFonts w:ascii="宋体" w:hAnsi="宋体" w:cs="宋体" w:eastAsia="宋体" w:hint="default"/>
                            <w:spacing w:val="-4"/>
                            <w:sz w:val="18"/>
                            <w:szCs w:val="18"/>
                          </w:rPr>
                          <w:t>元。截止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日，募集资金账户实际存放余额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6,343.37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元，系为募投项 目永久补充流动资金利息收入的结余。</w:t>
                        </w:r>
                      </w:p>
                      <w:p>
                        <w:pPr>
                          <w:pStyle w:val="TableParagraph"/>
                          <w:spacing w:line="309" w:lineRule="auto" w:before="72"/>
                          <w:ind w:left="24" w:right="20"/>
                          <w:jc w:val="both"/>
                          <w:rPr>
                            <w:rFonts w:ascii="宋体" w:hAnsi="宋体" w:cs="宋体" w:eastAsia="宋体" w:hint="default"/>
                            <w:sz w:val="18"/>
                            <w:szCs w:val="18"/>
                          </w:rPr>
                        </w:pPr>
                        <w:r>
                          <w:rPr>
                            <w:rFonts w:ascii="宋体" w:hAnsi="宋体" w:cs="宋体" w:eastAsia="宋体" w:hint="default"/>
                            <w:spacing w:val="-4"/>
                            <w:sz w:val="18"/>
                            <w:szCs w:val="18"/>
                          </w:rPr>
                          <w:t>（三）</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日，本公司第六届董事会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年第五次临时会议审议通过了《关于公司使用部分闲置募集资金购买 </w:t>
                        </w:r>
                        <w:r>
                          <w:rPr>
                            <w:rFonts w:ascii="宋体" w:hAnsi="宋体" w:cs="宋体" w:eastAsia="宋体" w:hint="default"/>
                            <w:spacing w:val="-2"/>
                            <w:sz w:val="18"/>
                            <w:szCs w:val="18"/>
                          </w:rPr>
                          <w:t>银行保本理财产品的议案》，同意公司在不影响正常经营，不影响募投项目建设和募集资金正常使用的情况下，使用闲置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项目募集资金不超过人民币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亿元（含</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亿元）择机购买保本浮动收益型银行理财产品及其它保本型理财产品。依据前述</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决议公司与桂林银行股份有限公司北海分行分别签署《桂林银行漓江理财</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期协</w:t>
                        </w:r>
                        <w:r>
                          <w:rPr>
                            <w:rFonts w:ascii="宋体" w:hAnsi="宋体" w:cs="宋体" w:eastAsia="宋体" w:hint="default"/>
                            <w:spacing w:val="-3"/>
                            <w:sz w:val="18"/>
                            <w:szCs w:val="18"/>
                          </w:rPr>
                          <w:t>议</w:t>
                        </w:r>
                        <w:r>
                          <w:rPr>
                            <w:rFonts w:ascii="宋体" w:hAnsi="宋体" w:cs="宋体" w:eastAsia="宋体" w:hint="default"/>
                            <w:sz w:val="18"/>
                            <w:szCs w:val="18"/>
                          </w:rPr>
                          <w:t>书（保本型</w:t>
                        </w:r>
                        <w:r>
                          <w:rPr>
                            <w:rFonts w:ascii="宋体" w:hAnsi="宋体" w:cs="宋体" w:eastAsia="宋体" w:hint="default"/>
                            <w:spacing w:val="-92"/>
                            <w:sz w:val="18"/>
                            <w:szCs w:val="18"/>
                          </w:rPr>
                          <w:t>）</w:t>
                        </w:r>
                        <w:r>
                          <w:rPr>
                            <w:rFonts w:ascii="宋体" w:hAnsi="宋体" w:cs="宋体" w:eastAsia="宋体" w:hint="default"/>
                            <w:sz w:val="18"/>
                            <w:szCs w:val="18"/>
                          </w:rPr>
                          <w:t>》及《桂林银行漓</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江理财</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2017-324</w:t>
                        </w:r>
                        <w:r>
                          <w:rPr>
                            <w:rFonts w:ascii="Times New Roman" w:hAnsi="Times New Roman" w:cs="Times New Roman" w:eastAsia="Times New Roman" w:hint="default"/>
                            <w:spacing w:val="12"/>
                            <w:sz w:val="18"/>
                            <w:szCs w:val="18"/>
                          </w:rPr>
                          <w:t> </w:t>
                        </w:r>
                        <w:r>
                          <w:rPr>
                            <w:rFonts w:ascii="宋体" w:hAnsi="宋体" w:cs="宋体" w:eastAsia="宋体" w:hint="default"/>
                            <w:spacing w:val="-9"/>
                            <w:sz w:val="18"/>
                            <w:szCs w:val="18"/>
                          </w:rPr>
                          <w:t>期协议书（保本型）》，以闲置募集资金各人民币</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亿元（共计人民币</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亿元）购买银行保本理财产品，</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起息日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日，到期日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日，预计年化收益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日，公司召开第六届董事会第</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四次会议对上述理财事项进行续期</w:t>
                        </w:r>
                        <w:r>
                          <w:rPr>
                            <w:rFonts w:ascii="宋体" w:hAnsi="宋体" w:cs="宋体" w:eastAsia="宋体" w:hint="default"/>
                            <w:spacing w:val="-32"/>
                            <w:sz w:val="18"/>
                            <w:szCs w:val="18"/>
                          </w:rPr>
                          <w:t>，</w:t>
                        </w:r>
                        <w:r>
                          <w:rPr>
                            <w:rFonts w:ascii="宋体" w:hAnsi="宋体" w:cs="宋体" w:eastAsia="宋体" w:hint="default"/>
                            <w:sz w:val="18"/>
                            <w:szCs w:val="18"/>
                          </w:rPr>
                          <w:t>公司与桂林银行北海分行分别签</w:t>
                        </w:r>
                        <w:r>
                          <w:rPr>
                            <w:rFonts w:ascii="宋体" w:hAnsi="宋体" w:cs="宋体" w:eastAsia="宋体" w:hint="default"/>
                            <w:spacing w:val="-32"/>
                            <w:sz w:val="18"/>
                            <w:szCs w:val="18"/>
                          </w:rPr>
                          <w:t>署</w:t>
                        </w:r>
                        <w:r>
                          <w:rPr>
                            <w:rFonts w:ascii="宋体" w:hAnsi="宋体" w:cs="宋体" w:eastAsia="宋体" w:hint="default"/>
                            <w:sz w:val="18"/>
                            <w:szCs w:val="18"/>
                          </w:rPr>
                          <w:t>《桂林银行漓江理财</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期协议</w:t>
                        </w:r>
                        <w:r>
                          <w:rPr>
                            <w:rFonts w:ascii="宋体" w:hAnsi="宋体" w:cs="宋体" w:eastAsia="宋体" w:hint="default"/>
                            <w:spacing w:val="-32"/>
                            <w:sz w:val="18"/>
                            <w:szCs w:val="18"/>
                          </w:rPr>
                          <w:t>书</w:t>
                        </w:r>
                        <w:r>
                          <w:rPr>
                            <w:rFonts w:ascii="宋体" w:hAnsi="宋体" w:cs="宋体" w:eastAsia="宋体" w:hint="default"/>
                            <w:sz w:val="18"/>
                            <w:szCs w:val="18"/>
                          </w:rPr>
                          <w:t>（保本</w:t>
                        </w:r>
                        <w:r>
                          <w:rPr>
                            <w:rFonts w:ascii="宋体" w:hAnsi="宋体" w:cs="宋体" w:eastAsia="宋体" w:hint="default"/>
                            <w:spacing w:val="-3"/>
                            <w:sz w:val="18"/>
                            <w:szCs w:val="18"/>
                          </w:rPr>
                          <w:t>型</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pacing w:val="-10"/>
                            <w:sz w:val="18"/>
                            <w:szCs w:val="18"/>
                          </w:rPr>
                          <w:t>及</w:t>
                        </w:r>
                        <w:r>
                          <w:rPr>
                            <w:rFonts w:ascii="宋体" w:hAnsi="宋体" w:cs="宋体" w:eastAsia="宋体" w:hint="default"/>
                            <w:sz w:val="18"/>
                            <w:szCs w:val="18"/>
                          </w:rPr>
                          <w:t>《桂林银行漓江理财</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期协议</w:t>
                        </w:r>
                        <w:r>
                          <w:rPr>
                            <w:rFonts w:ascii="宋体" w:hAnsi="宋体" w:cs="宋体" w:eastAsia="宋体" w:hint="default"/>
                            <w:spacing w:val="-10"/>
                            <w:sz w:val="18"/>
                            <w:szCs w:val="18"/>
                          </w:rPr>
                          <w:t>书</w:t>
                        </w:r>
                        <w:r>
                          <w:rPr>
                            <w:rFonts w:ascii="宋体" w:hAnsi="宋体" w:cs="宋体" w:eastAsia="宋体" w:hint="default"/>
                            <w:sz w:val="18"/>
                            <w:szCs w:val="18"/>
                          </w:rPr>
                          <w:t>（保本型</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以闲置募集资金各人民币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r>
                          <w:rPr>
                            <w:rFonts w:ascii="宋体" w:hAnsi="宋体" w:cs="宋体" w:eastAsia="宋体" w:hint="default"/>
                            <w:spacing w:val="-13"/>
                            <w:sz w:val="18"/>
                            <w:szCs w:val="18"/>
                          </w:rPr>
                          <w:t>元</w:t>
                        </w:r>
                        <w:r>
                          <w:rPr>
                            <w:rFonts w:ascii="宋体" w:hAnsi="宋体" w:cs="宋体" w:eastAsia="宋体" w:hint="default"/>
                            <w:sz w:val="18"/>
                            <w:szCs w:val="18"/>
                          </w:rPr>
                          <w:t>（共计人民币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w:t>
                        </w:r>
                        <w:r>
                          <w:rPr>
                            <w:rFonts w:ascii="宋体" w:hAnsi="宋体" w:cs="宋体" w:eastAsia="宋体" w:hint="default"/>
                            <w:spacing w:val="-10"/>
                            <w:sz w:val="18"/>
                            <w:szCs w:val="18"/>
                          </w:rPr>
                          <w:t>）</w:t>
                        </w:r>
                        <w:r>
                          <w:rPr>
                            <w:rFonts w:ascii="宋体" w:hAnsi="宋体" w:cs="宋体" w:eastAsia="宋体" w:hint="default"/>
                            <w:sz w:val="18"/>
                            <w:szCs w:val="18"/>
                          </w:rPr>
                          <w:t>购买</w:t>
                        </w:r>
                        <w:r>
                          <w:rPr>
                            <w:rFonts w:ascii="宋体" w:hAnsi="宋体" w:cs="宋体" w:eastAsia="宋体" w:hint="default"/>
                            <w:spacing w:val="-3"/>
                            <w:sz w:val="18"/>
                            <w:szCs w:val="18"/>
                          </w:rPr>
                          <w:t>上</w:t>
                        </w:r>
                        <w:r>
                          <w:rPr>
                            <w:rFonts w:ascii="宋体" w:hAnsi="宋体" w:cs="宋体" w:eastAsia="宋体" w:hint="default"/>
                            <w:sz w:val="18"/>
                            <w:szCs w:val="18"/>
                          </w:rPr>
                          <w:t>述</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理财产品，该理财产品已于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日到期赎回，共计获得理财收益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24,826,027.38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w:t>
                        </w:r>
                      </w:p>
                      <w:p>
                        <w:pPr>
                          <w:pStyle w:val="TableParagraph"/>
                          <w:spacing w:line="240" w:lineRule="auto" w:before="103"/>
                          <w:ind w:left="24" w:right="0"/>
                          <w:jc w:val="both"/>
                          <w:rPr>
                            <w:rFonts w:ascii="宋体" w:hAnsi="宋体" w:cs="宋体" w:eastAsia="宋体" w:hint="default"/>
                            <w:sz w:val="18"/>
                            <w:szCs w:val="18"/>
                          </w:rPr>
                        </w:pPr>
                        <w:r>
                          <w:rPr>
                            <w:rFonts w:ascii="宋体" w:hAnsi="宋体" w:cs="宋体" w:eastAsia="宋体" w:hint="default"/>
                            <w:sz w:val="18"/>
                            <w:szCs w:val="18"/>
                          </w:rPr>
                          <w:t>（四）募集资金专户存储情况截至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日止，本公司募集资金专户存储情况如下：</w:t>
                        </w:r>
                      </w:p>
                    </w:tc>
                  </w:tr>
                  <w:tr>
                    <w:trPr>
                      <w:trHeight w:val="408" w:hRule="exact"/>
                    </w:trPr>
                    <w:tc>
                      <w:tcPr>
                        <w:tcW w:w="34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银行名称</w:t>
                        </w:r>
                      </w:p>
                    </w:tc>
                    <w:tc>
                      <w:tcPr>
                        <w:tcW w:w="18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账号</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账户类型</w:t>
                        </w:r>
                      </w:p>
                    </w:tc>
                    <w:tc>
                      <w:tcPr>
                        <w:tcW w:w="235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存款金额</w:t>
                        </w:r>
                      </w:p>
                    </w:tc>
                  </w:tr>
                  <w:tr>
                    <w:trPr>
                      <w:trHeight w:val="420" w:hRule="exact"/>
                    </w:trPr>
                    <w:tc>
                      <w:tcPr>
                        <w:tcW w:w="34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中国工商银行股份有限公司北海分行</w:t>
                        </w:r>
                      </w:p>
                    </w:tc>
                    <w:tc>
                      <w:tcPr>
                        <w:tcW w:w="18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1" w:right="0"/>
                          <w:jc w:val="left"/>
                          <w:rPr>
                            <w:rFonts w:ascii="Times New Roman" w:hAnsi="Times New Roman" w:cs="Times New Roman" w:eastAsia="Times New Roman" w:hint="default"/>
                            <w:sz w:val="18"/>
                            <w:szCs w:val="18"/>
                          </w:rPr>
                        </w:pPr>
                        <w:r>
                          <w:rPr>
                            <w:rFonts w:ascii="Times New Roman"/>
                            <w:sz w:val="18"/>
                          </w:rPr>
                          <w:t>2107530029300889995</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专户</w:t>
                        </w:r>
                      </w:p>
                    </w:tc>
                    <w:tc>
                      <w:tcPr>
                        <w:tcW w:w="235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8"/>
                          <w:ind w:left="851" w:right="0"/>
                          <w:jc w:val="left"/>
                          <w:rPr>
                            <w:rFonts w:ascii="Times New Roman" w:hAnsi="Times New Roman" w:cs="Times New Roman" w:eastAsia="Times New Roman" w:hint="default"/>
                            <w:sz w:val="18"/>
                            <w:szCs w:val="18"/>
                          </w:rPr>
                        </w:pPr>
                        <w:r>
                          <w:rPr>
                            <w:rFonts w:ascii="Times New Roman"/>
                            <w:sz w:val="18"/>
                          </w:rPr>
                          <w:t>1,229.29</w:t>
                        </w:r>
                      </w:p>
                    </w:tc>
                  </w:tr>
                  <w:tr>
                    <w:trPr>
                      <w:trHeight w:val="408" w:hRule="exact"/>
                    </w:trPr>
                    <w:tc>
                      <w:tcPr>
                        <w:tcW w:w="34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桂林银行股份有限公司北海分行营业部</w:t>
                        </w:r>
                      </w:p>
                    </w:tc>
                    <w:tc>
                      <w:tcPr>
                        <w:tcW w:w="18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660200057036500010</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专户</w:t>
                        </w:r>
                      </w:p>
                    </w:tc>
                    <w:tc>
                      <w:tcPr>
                        <w:tcW w:w="235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0.07</w:t>
                        </w:r>
                      </w:p>
                    </w:tc>
                  </w:tr>
                  <w:tr>
                    <w:trPr>
                      <w:trHeight w:val="406" w:hRule="exact"/>
                    </w:trPr>
                    <w:tc>
                      <w:tcPr>
                        <w:tcW w:w="34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桂林银行股份有限公司北海分行营业部</w:t>
                        </w:r>
                      </w:p>
                    </w:tc>
                    <w:tc>
                      <w:tcPr>
                        <w:tcW w:w="18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660200057036500020</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专户</w:t>
                        </w:r>
                      </w:p>
                    </w:tc>
                    <w:tc>
                      <w:tcPr>
                        <w:tcW w:w="235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left="851" w:right="0"/>
                          <w:jc w:val="left"/>
                          <w:rPr>
                            <w:rFonts w:ascii="Times New Roman" w:hAnsi="Times New Roman" w:cs="Times New Roman" w:eastAsia="Times New Roman" w:hint="default"/>
                            <w:sz w:val="18"/>
                            <w:szCs w:val="18"/>
                          </w:rPr>
                        </w:pPr>
                        <w:r>
                          <w:rPr>
                            <w:rFonts w:ascii="Times New Roman"/>
                            <w:sz w:val="18"/>
                          </w:rPr>
                          <w:t>2,565.42</w:t>
                        </w:r>
                      </w:p>
                    </w:tc>
                  </w:tr>
                  <w:tr>
                    <w:trPr>
                      <w:trHeight w:val="408" w:hRule="exact"/>
                    </w:trPr>
                    <w:tc>
                      <w:tcPr>
                        <w:tcW w:w="34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桂林银行股份有限公司北海分行营业部</w:t>
                        </w:r>
                      </w:p>
                    </w:tc>
                    <w:tc>
                      <w:tcPr>
                        <w:tcW w:w="18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660200057036500039</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专户</w:t>
                        </w:r>
                      </w:p>
                    </w:tc>
                    <w:tc>
                      <w:tcPr>
                        <w:tcW w:w="235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left="851" w:right="0"/>
                          <w:jc w:val="left"/>
                          <w:rPr>
                            <w:rFonts w:ascii="Times New Roman" w:hAnsi="Times New Roman" w:cs="Times New Roman" w:eastAsia="Times New Roman" w:hint="default"/>
                            <w:sz w:val="18"/>
                            <w:szCs w:val="18"/>
                          </w:rPr>
                        </w:pPr>
                        <w:r>
                          <w:rPr>
                            <w:rFonts w:ascii="Times New Roman"/>
                            <w:sz w:val="18"/>
                          </w:rPr>
                          <w:t>2,548.59</w:t>
                        </w:r>
                      </w:p>
                    </w:tc>
                  </w:tr>
                  <w:tr>
                    <w:trPr>
                      <w:trHeight w:val="408" w:hRule="exact"/>
                    </w:trPr>
                    <w:tc>
                      <w:tcPr>
                        <w:tcW w:w="34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5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left="851" w:right="0"/>
                          <w:jc w:val="left"/>
                          <w:rPr>
                            <w:rFonts w:ascii="Times New Roman" w:hAnsi="Times New Roman" w:cs="Times New Roman" w:eastAsia="Times New Roman" w:hint="default"/>
                            <w:sz w:val="18"/>
                            <w:szCs w:val="18"/>
                          </w:rPr>
                        </w:pPr>
                        <w:r>
                          <w:rPr>
                            <w:rFonts w:ascii="Times New Roman"/>
                            <w:sz w:val="18"/>
                          </w:rPr>
                          <w:t>6,343.37</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7"/>
        <w:spacing w:line="240" w:lineRule="auto" w:before="179"/>
        <w:ind w:right="11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8"/>
        <w:gridCol w:w="566"/>
        <w:gridCol w:w="1136"/>
        <w:gridCol w:w="991"/>
        <w:gridCol w:w="852"/>
        <w:gridCol w:w="142"/>
        <w:gridCol w:w="855"/>
        <w:gridCol w:w="708"/>
        <w:gridCol w:w="850"/>
        <w:gridCol w:w="711"/>
        <w:gridCol w:w="703"/>
        <w:gridCol w:w="646"/>
      </w:tblGrid>
      <w:tr>
        <w:trPr>
          <w:trHeight w:val="196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64" w:right="72" w:hanging="92"/>
              <w:jc w:val="left"/>
              <w:rPr>
                <w:rFonts w:ascii="宋体" w:hAnsi="宋体" w:cs="宋体" w:eastAsia="宋体" w:hint="default"/>
                <w:sz w:val="18"/>
                <w:szCs w:val="18"/>
              </w:rPr>
            </w:pPr>
            <w:r>
              <w:rPr>
                <w:rFonts w:ascii="宋体" w:hAnsi="宋体" w:cs="宋体" w:eastAsia="宋体" w:hint="default"/>
                <w:sz w:val="18"/>
                <w:szCs w:val="18"/>
              </w:rPr>
              <w:t>承诺投资项目和 超募资金投向</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9" w:right="65"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12" w:right="111"/>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06" w:right="38"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9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23" w:right="38"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62"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4" w:right="60"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9" w:right="5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79" w:right="80"/>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7" w:right="47"/>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7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、补充日常流动 资金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98,887.93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230,232.85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56,616.66</w:t>
            </w:r>
          </w:p>
        </w:tc>
        <w:tc>
          <w:tcPr>
            <w:tcW w:w="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230,232.85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167"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r>
        <w:rPr/>
        <w:pict>
          <v:shape style="position:absolute;margin-left:121.82pt;margin-top:72.47998pt;width:33.85pt;height:15.6pt;mso-position-horizontal-relative:page;mso-position-vertical-relative:page;z-index:-138426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94.806pt;margin-top:123.859985pt;width:60.9pt;height:15.6pt;mso-position-horizontal-relative:page;mso-position-vertical-relative:page;z-index:-138424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（中国）</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419"/>
        <w:gridCol w:w="566"/>
        <w:gridCol w:w="1136"/>
        <w:gridCol w:w="839"/>
        <w:gridCol w:w="152"/>
        <w:gridCol w:w="852"/>
        <w:gridCol w:w="996"/>
        <w:gridCol w:w="708"/>
        <w:gridCol w:w="850"/>
        <w:gridCol w:w="711"/>
        <w:gridCol w:w="703"/>
        <w:gridCol w:w="646"/>
      </w:tblGrid>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8"/>
              <w:jc w:val="both"/>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、与淘宝（中国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软件在酒店领域 开展业务合作</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27.85pt;height:15.6pt;mso-position-horizontal-relative:char;mso-position-vertical-relative:line" coordorigin="0,0" coordsize="557,312">
                  <v:group style="position:absolute;left:0;top:0;width:557;height:312" coordorigin="0,0" coordsize="557,312">
                    <v:shape style="position:absolute;left:0;top:0;width:557;height:312" coordorigin="0,0" coordsize="557,312" path="m0,312l557,312,557,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9" w:right="0"/>
              <w:jc w:val="left"/>
              <w:rPr>
                <w:rFonts w:ascii="Times New Roman" w:hAnsi="Times New Roman" w:cs="Times New Roman" w:eastAsia="Times New Roman" w:hint="default"/>
                <w:sz w:val="18"/>
                <w:szCs w:val="18"/>
              </w:rPr>
            </w:pPr>
            <w:r>
              <w:rPr>
                <w:rFonts w:ascii="Times New Roman"/>
                <w:sz w:val="18"/>
              </w:rPr>
              <w:t>6,392.7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2,248.7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6,392.7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23"/>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、与淘宝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软件在餐饮领域 开展业务合作</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27.85pt;height:15.6pt;mso-position-horizontal-relative:char;mso-position-vertical-relative:line" coordorigin="0,0" coordsize="557,312">
                  <v:group style="position:absolute;left:0;top:0;width:557;height:312" coordorigin="0,0" coordsize="557,312">
                    <v:shape style="position:absolute;left:0;top:0;width:557;height:312" coordorigin="0,0" coordsize="557,312" path="m0,312l557,312,557,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1,990.65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826.43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1,990.65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、与阿里巴巴在 </w:t>
            </w:r>
            <w:r>
              <w:rPr>
                <w:rFonts w:ascii="宋体" w:hAnsi="宋体" w:cs="宋体" w:eastAsia="宋体" w:hint="default"/>
                <w:spacing w:val="-10"/>
                <w:sz w:val="18"/>
                <w:szCs w:val="18"/>
              </w:rPr>
              <w:t>零售、支付领域开</w:t>
            </w:r>
            <w:r>
              <w:rPr>
                <w:rFonts w:ascii="宋体" w:hAnsi="宋体" w:cs="宋体" w:eastAsia="宋体" w:hint="default"/>
                <w:sz w:val="18"/>
                <w:szCs w:val="18"/>
              </w:rPr>
              <w:t> 展业务合作相关 支出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271.74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271.74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3"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承诺投资项目小 计</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238,887.93</w:t>
            </w:r>
          </w:p>
        </w:tc>
        <w:tc>
          <w:tcPr>
            <w:tcW w:w="991" w:type="dxa"/>
            <w:gridSpan w:val="2"/>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238,887.93</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59,691.79</w:t>
            </w:r>
          </w:p>
        </w:tc>
        <w:tc>
          <w:tcPr>
            <w:tcW w:w="996" w:type="dxa"/>
            <w:vMerge w:val="restart"/>
            <w:tcBorders>
              <w:top w:val="single" w:sz="4" w:space="0" w:color="000000"/>
              <w:left w:val="single" w:sz="4" w:space="0" w:color="000000"/>
              <w:right w:val="single" w:sz="10"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238,887.93</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10" w:space="0" w:color="D2D2D2"/>
              <w:right w:val="single" w:sz="10"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419" w:type="dxa"/>
            <w:vMerge/>
            <w:tcBorders>
              <w:left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1136" w:type="dxa"/>
            <w:vMerge/>
            <w:tcBorders>
              <w:left w:val="single" w:sz="9" w:space="0" w:color="D2D2D2"/>
              <w:right w:val="single" w:sz="4" w:space="0" w:color="000000"/>
            </w:tcBorders>
          </w:tcPr>
          <w:p>
            <w:pPr/>
          </w:p>
        </w:tc>
        <w:tc>
          <w:tcPr>
            <w:tcW w:w="991" w:type="dxa"/>
            <w:gridSpan w:val="2"/>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6" w:type="dxa"/>
            <w:vMerge/>
            <w:tcBorders>
              <w:left w:val="single" w:sz="4" w:space="0" w:color="000000"/>
              <w:right w:val="single" w:sz="10" w:space="0" w:color="D2D2D2"/>
            </w:tcBorders>
          </w:tcPr>
          <w:p>
            <w:pP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1" w:type="dxa"/>
            <w:vMerge/>
            <w:tcBorders>
              <w:left w:val="single" w:sz="10" w:space="0" w:color="D2D2D2"/>
              <w:right w:val="single" w:sz="10" w:space="0" w:color="D2D2D2"/>
            </w:tcBorders>
          </w:tcPr>
          <w:p>
            <w:pPr/>
          </w:p>
        </w:tc>
        <w:tc>
          <w:tcPr>
            <w:tcW w:w="7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57"/>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vMerge/>
            <w:tcBorders>
              <w:left w:val="single" w:sz="9" w:space="0" w:color="D2D2D2"/>
              <w:bottom w:val="single" w:sz="4" w:space="0" w:color="000000"/>
              <w:right w:val="single" w:sz="4" w:space="0" w:color="000000"/>
            </w:tcBorders>
          </w:tcPr>
          <w:p>
            <w:pPr/>
          </w:p>
        </w:tc>
        <w:tc>
          <w:tcPr>
            <w:tcW w:w="991" w:type="dxa"/>
            <w:gridSpan w:val="2"/>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6" w:type="dxa"/>
            <w:vMerge/>
            <w:tcBorders>
              <w:left w:val="single" w:sz="4" w:space="0" w:color="000000"/>
              <w:bottom w:val="single" w:sz="4" w:space="0" w:color="000000"/>
              <w:right w:val="single" w:sz="10" w:space="0" w:color="D2D2D2"/>
            </w:tcBorders>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10" w:space="0" w:color="D2D2D2"/>
              <w:bottom w:val="single" w:sz="4" w:space="0" w:color="000000"/>
              <w:right w:val="single" w:sz="10" w:space="0" w:color="D2D2D2"/>
            </w:tcBorders>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238,887.93</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238,887.93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59,691.79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238,887.93</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57"/>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未达到计划进度或预计收益的情况和原因（分具体项目）</w:t>
            </w:r>
          </w:p>
        </w:tc>
        <w:tc>
          <w:tcPr>
            <w:tcW w:w="4614" w:type="dxa"/>
            <w:gridSpan w:val="6"/>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60"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9" w:type="dxa"/>
            <w:gridSpan w:val="11"/>
            <w:vMerge w:val="restart"/>
            <w:tcBorders>
              <w:top w:val="single" w:sz="4" w:space="0" w:color="000000"/>
              <w:left w:val="single" w:sz="9" w:space="0" w:color="D2D2D2"/>
              <w:right w:val="single" w:sz="4" w:space="0" w:color="000000"/>
            </w:tcBorders>
          </w:tcPr>
          <w:p>
            <w:pPr>
              <w:pStyle w:val="TableParagraph"/>
              <w:spacing w:line="300" w:lineRule="auto" w:before="49"/>
              <w:ind w:left="18"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、公司与阿里巴巴在零售、支付领域开展业务合作的原募投项目的目标已经通过公司以自有资金收购零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售信息系统业务子公司实现，经公司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日召开的第六届董事会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年第三次临时会议以及</w:t>
            </w:r>
          </w:p>
          <w:p>
            <w:pPr>
              <w:pStyle w:val="TableParagraph"/>
              <w:spacing w:line="300" w:lineRule="auto" w:before="13"/>
              <w:ind w:left="18" w:right="18"/>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年第一次临时股东大会审议通过，公司已终止与阿里巴巴在零售、支</w:t>
            </w:r>
            <w:r>
              <w:rPr>
                <w:rFonts w:ascii="宋体" w:hAnsi="宋体" w:cs="宋体" w:eastAsia="宋体" w:hint="default"/>
                <w:sz w:val="18"/>
                <w:szCs w:val="18"/>
              </w:rPr>
              <w:t> 付领域开展业务合作项目的原募投项目，并将剩余募集资金及利息永久补充流动资金。</w:t>
            </w:r>
          </w:p>
          <w:p>
            <w:pPr>
              <w:pStyle w:val="TableParagraph"/>
              <w:spacing w:line="300" w:lineRule="auto" w:before="70"/>
              <w:ind w:left="18" w:right="1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与淘宝（中国）软件在酒店领域开展业务合作项目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与淘宝（中国）软件在餐饮领域开展业 务合作项目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的募投项目发生重大变化主要基于目前日新月异的酒店信息系统技术变革等原因原有目标 已实现，具体请参见</w:t>
            </w:r>
            <w:r>
              <w:rPr>
                <w:rFonts w:ascii="Times New Roman" w:hAnsi="Times New Roman" w:cs="Times New Roman" w:eastAsia="Times New Roman" w:hint="default"/>
                <w:sz w:val="18"/>
                <w:szCs w:val="18"/>
              </w:rPr>
              <w:t>“</w:t>
            </w:r>
            <w:r>
              <w:rPr>
                <w:rFonts w:ascii="宋体" w:hAnsi="宋体" w:cs="宋体" w:eastAsia="宋体" w:hint="default"/>
                <w:sz w:val="18"/>
                <w:szCs w:val="18"/>
              </w:rPr>
              <w:t>变更募集资金投资项目情况表</w:t>
            </w:r>
            <w:r>
              <w:rPr>
                <w:rFonts w:ascii="Times New Roman" w:hAnsi="Times New Roman" w:cs="Times New Roman" w:eastAsia="Times New Roman" w:hint="default"/>
                <w:sz w:val="18"/>
                <w:szCs w:val="18"/>
              </w:rPr>
              <w:t>”</w:t>
            </w:r>
            <w:r>
              <w:rPr>
                <w:rFonts w:ascii="宋体" w:hAnsi="宋体" w:cs="宋体" w:eastAsia="宋体" w:hint="default"/>
                <w:sz w:val="18"/>
                <w:szCs w:val="18"/>
              </w:rPr>
              <w:t>，经公司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日召开第六届董事会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p>
          <w:p>
            <w:pPr>
              <w:pStyle w:val="TableParagraph"/>
              <w:spacing w:line="300" w:lineRule="auto" w:before="13"/>
              <w:ind w:left="18" w:right="20"/>
              <w:jc w:val="left"/>
              <w:rPr>
                <w:rFonts w:ascii="宋体" w:hAnsi="宋体" w:cs="宋体" w:eastAsia="宋体" w:hint="default"/>
                <w:sz w:val="18"/>
                <w:szCs w:val="18"/>
              </w:rPr>
            </w:pPr>
            <w:r>
              <w:rPr>
                <w:rFonts w:ascii="宋体" w:hAnsi="宋体" w:cs="宋体" w:eastAsia="宋体" w:hint="default"/>
                <w:sz w:val="18"/>
                <w:szCs w:val="18"/>
              </w:rPr>
              <w:t>年第五次临时会议以及公司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年第二次临时股东大会审议通过，公司已终止</w:t>
            </w:r>
            <w:r>
              <w:rPr>
                <w:rFonts w:ascii="宋体" w:hAnsi="宋体" w:cs="宋体" w:eastAsia="宋体" w:hint="default"/>
                <w:sz w:val="18"/>
                <w:szCs w:val="18"/>
              </w:rPr>
              <w:t> 上述两个募投项目，并将剩余募集资金及利息永久补充流动资金。</w:t>
            </w:r>
          </w:p>
        </w:tc>
      </w:tr>
      <w:tr>
        <w:trPr>
          <w:trHeight w:val="1018"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项目可行性发生 重大变化的情况 说明</w:t>
            </w:r>
          </w:p>
        </w:tc>
        <w:tc>
          <w:tcPr>
            <w:tcW w:w="8159" w:type="dxa"/>
            <w:gridSpan w:val="11"/>
            <w:vMerge/>
            <w:tcBorders>
              <w:left w:val="single" w:sz="9" w:space="0" w:color="D2D2D2"/>
              <w:right w:val="single" w:sz="4" w:space="0" w:color="000000"/>
            </w:tcBorders>
          </w:tcPr>
          <w:p>
            <w:pPr/>
          </w:p>
        </w:tc>
      </w:tr>
      <w:tr>
        <w:trPr>
          <w:trHeight w:val="960"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9" w:type="dxa"/>
            <w:gridSpan w:val="11"/>
            <w:vMerge/>
            <w:tcBorders>
              <w:left w:val="single" w:sz="9" w:space="0" w:color="D2D2D2"/>
              <w:bottom w:val="single" w:sz="4" w:space="0" w:color="000000"/>
              <w:right w:val="single" w:sz="4" w:space="0" w:color="000000"/>
            </w:tcBorders>
          </w:tcPr>
          <w:p>
            <w:pPr/>
          </w:p>
        </w:tc>
      </w:tr>
      <w:tr>
        <w:trPr>
          <w:trHeight w:val="403" w:hRule="exact"/>
        </w:trPr>
        <w:tc>
          <w:tcPr>
            <w:tcW w:w="39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w:t>
            </w:r>
          </w:p>
        </w:tc>
        <w:tc>
          <w:tcPr>
            <w:tcW w:w="5618" w:type="dxa"/>
            <w:gridSpan w:val="8"/>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9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5618" w:type="dxa"/>
            <w:gridSpan w:val="8"/>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9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5618" w:type="dxa"/>
            <w:gridSpan w:val="8"/>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9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5618" w:type="dxa"/>
            <w:gridSpan w:val="8"/>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9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5618" w:type="dxa"/>
            <w:gridSpan w:val="8"/>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9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5618" w:type="dxa"/>
            <w:gridSpan w:val="8"/>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9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5618" w:type="dxa"/>
            <w:gridSpan w:val="8"/>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9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募集资金使用及披露中存在的问题或其他情况</w:t>
            </w:r>
          </w:p>
        </w:tc>
        <w:tc>
          <w:tcPr>
            <w:tcW w:w="5618" w:type="dxa"/>
            <w:gridSpan w:val="8"/>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1416"/>
        <w:gridCol w:w="995"/>
        <w:gridCol w:w="850"/>
        <w:gridCol w:w="990"/>
        <w:gridCol w:w="994"/>
        <w:gridCol w:w="991"/>
        <w:gridCol w:w="710"/>
        <w:gridCol w:w="709"/>
        <w:gridCol w:w="1066"/>
      </w:tblGrid>
      <w:tr>
        <w:trPr>
          <w:trHeight w:val="36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 w:right="0"/>
              <w:jc w:val="left"/>
              <w:rPr>
                <w:rFonts w:ascii="宋体" w:hAnsi="宋体" w:cs="宋体" w:eastAsia="宋体" w:hint="default"/>
                <w:sz w:val="18"/>
                <w:szCs w:val="18"/>
              </w:rPr>
            </w:pPr>
            <w:r>
              <w:rPr>
                <w:rFonts w:ascii="宋体" w:hAnsi="宋体" w:cs="宋体" w:eastAsia="宋体" w:hint="default"/>
                <w:sz w:val="18"/>
                <w:szCs w:val="18"/>
              </w:rPr>
              <w:t>变更后的</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对应的原承诺项</w:t>
            </w: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变更后项目</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 w:right="0"/>
              <w:jc w:val="left"/>
              <w:rPr>
                <w:rFonts w:ascii="宋体" w:hAnsi="宋体" w:cs="宋体" w:eastAsia="宋体" w:hint="default"/>
                <w:sz w:val="18"/>
                <w:szCs w:val="18"/>
              </w:rPr>
            </w:pPr>
            <w:r>
              <w:rPr>
                <w:rFonts w:ascii="宋体" w:hAnsi="宋体" w:cs="宋体" w:eastAsia="宋体" w:hint="default"/>
                <w:sz w:val="18"/>
                <w:szCs w:val="18"/>
              </w:rPr>
              <w:t>截至期末实</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截至期末投</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项目达到预</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本报告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是否达</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变更后的项</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5pt;height:683.3pt;mso-position-horizontal-relative:page;mso-position-vertical-relative:page;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1416"/>
                    <w:gridCol w:w="994"/>
                    <w:gridCol w:w="850"/>
                    <w:gridCol w:w="991"/>
                    <w:gridCol w:w="994"/>
                    <w:gridCol w:w="991"/>
                    <w:gridCol w:w="710"/>
                    <w:gridCol w:w="709"/>
                    <w:gridCol w:w="1066"/>
                  </w:tblGrid>
                  <w:tr>
                    <w:trPr>
                      <w:trHeight w:val="987"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1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6" w:right="24"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拟投入募集 资金总额</w:t>
                        </w:r>
                        <w:r>
                          <w:rPr>
                            <w:rFonts w:ascii="Times New Roman" w:hAnsi="Times New Roman" w:cs="Times New Roman" w:eastAsia="Times New Roman" w:hint="default"/>
                            <w:sz w:val="18"/>
                            <w:szCs w:val="18"/>
                          </w:rPr>
                          <w:t>(1)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40" w:right="59" w:hanging="180"/>
                          <w:jc w:val="left"/>
                          <w:rPr>
                            <w:rFonts w:ascii="宋体" w:hAnsi="宋体" w:cs="宋体" w:eastAsia="宋体" w:hint="default"/>
                            <w:sz w:val="18"/>
                            <w:szCs w:val="18"/>
                          </w:rPr>
                        </w:pPr>
                        <w:r>
                          <w:rPr>
                            <w:rFonts w:ascii="宋体" w:hAnsi="宋体" w:cs="宋体" w:eastAsia="宋体" w:hint="default"/>
                            <w:sz w:val="18"/>
                            <w:szCs w:val="18"/>
                          </w:rPr>
                          <w:t>实际投入 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06" w:right="38"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际累计投入 金额</w:t>
                        </w:r>
                        <w:r>
                          <w:rPr>
                            <w:rFonts w:ascii="Times New Roman" w:hAnsi="Times New Roman" w:cs="Times New Roman" w:eastAsia="Times New Roman" w:hint="default"/>
                            <w:sz w:val="18"/>
                            <w:szCs w:val="18"/>
                          </w:rPr>
                          <w:t>(2)</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资进度</w:t>
                        </w:r>
                      </w:p>
                      <w:p>
                        <w:pPr>
                          <w:pStyle w:val="TableParagraph"/>
                          <w:spacing w:line="240" w:lineRule="auto" w:before="119"/>
                          <w:ind w:left="1" w:right="0"/>
                          <w:jc w:val="center"/>
                          <w:rPr>
                            <w:rFonts w:ascii="Times New Roman" w:hAnsi="Times New Roman" w:cs="Times New Roman" w:eastAsia="Times New Roman" w:hint="default"/>
                            <w:sz w:val="18"/>
                            <w:szCs w:val="18"/>
                          </w:rPr>
                        </w:pPr>
                        <w:r>
                          <w:rPr>
                            <w:rFonts w:ascii="Times New Roman"/>
                            <w:sz w:val="18"/>
                          </w:rPr>
                          <w:t>(3)=(2)/(1)</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0" w:right="38" w:hanging="180"/>
                          <w:jc w:val="left"/>
                          <w:rPr>
                            <w:rFonts w:ascii="宋体" w:hAnsi="宋体" w:cs="宋体" w:eastAsia="宋体" w:hint="default"/>
                            <w:sz w:val="18"/>
                            <w:szCs w:val="18"/>
                          </w:rPr>
                        </w:pPr>
                        <w:r>
                          <w:rPr>
                            <w:rFonts w:ascii="宋体" w:hAnsi="宋体" w:cs="宋体" w:eastAsia="宋体" w:hint="default"/>
                            <w:sz w:val="18"/>
                            <w:szCs w:val="18"/>
                          </w:rPr>
                          <w:t>定可使用状 态日期</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79" w:right="79"/>
                          <w:jc w:val="left"/>
                          <w:rPr>
                            <w:rFonts w:ascii="宋体" w:hAnsi="宋体" w:cs="宋体" w:eastAsia="宋体" w:hint="default"/>
                            <w:sz w:val="18"/>
                            <w:szCs w:val="18"/>
                          </w:rPr>
                        </w:pPr>
                        <w:r>
                          <w:rPr>
                            <w:rFonts w:ascii="宋体" w:hAnsi="宋体" w:cs="宋体" w:eastAsia="宋体" w:hint="default"/>
                            <w:sz w:val="18"/>
                            <w:szCs w:val="18"/>
                          </w:rPr>
                          <w:t>期实现 的效益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70" w:right="77" w:hanging="92"/>
                          <w:jc w:val="left"/>
                          <w:rPr>
                            <w:rFonts w:ascii="宋体" w:hAnsi="宋体" w:cs="宋体" w:eastAsia="宋体" w:hint="default"/>
                            <w:sz w:val="18"/>
                            <w:szCs w:val="18"/>
                          </w:rPr>
                        </w:pPr>
                        <w:r>
                          <w:rPr>
                            <w:rFonts w:ascii="宋体" w:hAnsi="宋体" w:cs="宋体" w:eastAsia="宋体" w:hint="default"/>
                            <w:sz w:val="18"/>
                            <w:szCs w:val="18"/>
                          </w:rPr>
                          <w:t>到预计 效益</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76" w:right="77"/>
                          <w:jc w:val="center"/>
                          <w:rPr>
                            <w:rFonts w:ascii="宋体" w:hAnsi="宋体" w:cs="宋体" w:eastAsia="宋体" w:hint="default"/>
                            <w:sz w:val="18"/>
                            <w:szCs w:val="18"/>
                          </w:rPr>
                        </w:pPr>
                        <w:r>
                          <w:rPr>
                            <w:rFonts w:ascii="宋体" w:hAnsi="宋体" w:cs="宋体" w:eastAsia="宋体" w:hint="default"/>
                            <w:sz w:val="18"/>
                            <w:szCs w:val="18"/>
                          </w:rPr>
                          <w:t>目可行性是 否发生重大 变化</w:t>
                        </w:r>
                      </w:p>
                    </w:tc>
                  </w:tr>
                  <w:tr>
                    <w:trPr>
                      <w:trHeight w:val="1025"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补充流动 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与阿里巴巴在零 </w:t>
                        </w:r>
                        <w:r>
                          <w:rPr>
                            <w:rFonts w:ascii="宋体" w:hAnsi="宋体" w:cs="宋体" w:eastAsia="宋体" w:hint="default"/>
                            <w:spacing w:val="-10"/>
                            <w:sz w:val="18"/>
                            <w:szCs w:val="18"/>
                          </w:rPr>
                          <w:t>售、支付系统领域</w:t>
                        </w:r>
                        <w:r>
                          <w:rPr>
                            <w:rFonts w:ascii="宋体" w:hAnsi="宋体" w:cs="宋体" w:eastAsia="宋体" w:hint="default"/>
                            <w:sz w:val="18"/>
                            <w:szCs w:val="18"/>
                          </w:rPr>
                          <w:t> 开展业务合作</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74,728.26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74,728.26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补充流动 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pacing w:val="-10"/>
                            <w:sz w:val="18"/>
                            <w:szCs w:val="18"/>
                          </w:rPr>
                          <w:t>与淘宝（中国）软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件在酒店领域开 展业务合作</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28,607.3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28,607.3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28,607.3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补充流动 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pacing w:val="-10"/>
                            <w:sz w:val="18"/>
                            <w:szCs w:val="18"/>
                          </w:rPr>
                          <w:t>与淘宝（中国）软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件在餐饮领域开 展业务合作</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28,009.35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28,009.35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28,009.35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43" w:right="0"/>
                          <w:jc w:val="left"/>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131,344.92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56,616.65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131,344.92</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437" w:hRule="exact"/>
                    </w:trPr>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8721" w:type="dxa"/>
                        <w:gridSpan w:val="9"/>
                        <w:vMerge w:val="restart"/>
                        <w:tcBorders>
                          <w:top w:val="single" w:sz="4" w:space="0" w:color="000000"/>
                          <w:left w:val="single" w:sz="10" w:space="0" w:color="D2D2D2"/>
                          <w:right w:val="single" w:sz="4" w:space="0" w:color="000000"/>
                        </w:tcBorders>
                      </w:tcPr>
                      <w:p>
                        <w:pPr>
                          <w:pStyle w:val="TableParagraph"/>
                          <w:spacing w:line="307" w:lineRule="auto" w:before="49"/>
                          <w:ind w:left="16"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与淘宝（中国）软件在酒店领域开展业务合作</w:t>
                        </w:r>
                        <w:r>
                          <w:rPr>
                            <w:rFonts w:ascii="Times New Roman" w:hAnsi="Times New Roman" w:cs="Times New Roman" w:eastAsia="Times New Roman" w:hint="default"/>
                            <w:sz w:val="18"/>
                            <w:szCs w:val="18"/>
                          </w:rPr>
                          <w:t>”</w:t>
                        </w:r>
                        <w:r>
                          <w:rPr>
                            <w:rFonts w:ascii="宋体" w:hAnsi="宋体" w:cs="宋体" w:eastAsia="宋体" w:hint="default"/>
                            <w:sz w:val="18"/>
                            <w:szCs w:val="18"/>
                          </w:rPr>
                          <w:t>募投项目终止原因：募集资金于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月到位以来，公 司本项募集资金投资项目根据实际情况逐步进行建设，与淘宝（中国）软件在酒店领域开展了深度业务合作， 公司与阿里的酒店预订平台</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飞猪</w:t>
                        </w:r>
                        <w:r>
                          <w:rPr>
                            <w:rFonts w:ascii="Times New Roman" w:hAnsi="Times New Roman" w:cs="Times New Roman" w:eastAsia="Times New Roman" w:hint="default"/>
                            <w:sz w:val="18"/>
                            <w:szCs w:val="18"/>
                          </w:rPr>
                          <w:t>”</w:t>
                        </w:r>
                        <w:r>
                          <w:rPr>
                            <w:rFonts w:ascii="宋体" w:hAnsi="宋体" w:cs="宋体" w:eastAsia="宋体" w:hint="default"/>
                            <w:sz w:val="18"/>
                            <w:szCs w:val="18"/>
                          </w:rPr>
                          <w:t>共同推出</w:t>
                        </w:r>
                        <w:r>
                          <w:rPr>
                            <w:rFonts w:ascii="Times New Roman" w:hAnsi="Times New Roman" w:cs="Times New Roman" w:eastAsia="Times New Roman" w:hint="default"/>
                            <w:sz w:val="18"/>
                            <w:szCs w:val="18"/>
                          </w:rPr>
                          <w:t>“</w:t>
                        </w:r>
                        <w:r>
                          <w:rPr>
                            <w:rFonts w:ascii="宋体" w:hAnsi="宋体" w:cs="宋体" w:eastAsia="宋体" w:hint="default"/>
                            <w:sz w:val="18"/>
                            <w:szCs w:val="18"/>
                          </w:rPr>
                          <w:t>信用住</w:t>
                        </w:r>
                        <w:r>
                          <w:rPr>
                            <w:rFonts w:ascii="Times New Roman" w:hAnsi="Times New Roman" w:cs="Times New Roman" w:eastAsia="Times New Roman" w:hint="default"/>
                            <w:sz w:val="18"/>
                            <w:szCs w:val="18"/>
                          </w:rPr>
                          <w:t>”</w:t>
                        </w:r>
                        <w:r>
                          <w:rPr>
                            <w:rFonts w:ascii="宋体" w:hAnsi="宋体" w:cs="宋体" w:eastAsia="宋体" w:hint="default"/>
                            <w:sz w:val="18"/>
                            <w:szCs w:val="18"/>
                          </w:rPr>
                          <w:t>，开发了</w:t>
                        </w:r>
                        <w:r>
                          <w:rPr>
                            <w:rFonts w:ascii="Times New Roman" w:hAnsi="Times New Roman" w:cs="Times New Roman" w:eastAsia="Times New Roman" w:hint="default"/>
                            <w:sz w:val="18"/>
                            <w:szCs w:val="18"/>
                          </w:rPr>
                          <w:t>“</w:t>
                        </w:r>
                        <w:r>
                          <w:rPr>
                            <w:rFonts w:ascii="宋体" w:hAnsi="宋体" w:cs="宋体" w:eastAsia="宋体" w:hint="default"/>
                            <w:sz w:val="18"/>
                            <w:szCs w:val="18"/>
                          </w:rPr>
                          <w:t>未来酒店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到</w:t>
                        </w:r>
                        <w:r>
                          <w:rPr>
                            <w:rFonts w:ascii="Times New Roman" w:hAnsi="Times New Roman" w:cs="Times New Roman" w:eastAsia="Times New Roman" w:hint="default"/>
                            <w:sz w:val="18"/>
                            <w:szCs w:val="18"/>
                          </w:rPr>
                          <w:t>“</w:t>
                        </w:r>
                        <w:r>
                          <w:rPr>
                            <w:rFonts w:ascii="宋体" w:hAnsi="宋体" w:cs="宋体" w:eastAsia="宋体" w:hint="default"/>
                            <w:sz w:val="18"/>
                            <w:szCs w:val="18"/>
                          </w:rPr>
                          <w:t>未来酒店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的功能，按计划 进度完成了现有酒店信息管理系统与</w:t>
                        </w:r>
                        <w:r>
                          <w:rPr>
                            <w:rFonts w:ascii="Times New Roman" w:hAnsi="Times New Roman" w:cs="Times New Roman" w:eastAsia="Times New Roman" w:hint="default"/>
                            <w:sz w:val="18"/>
                            <w:szCs w:val="18"/>
                          </w:rPr>
                          <w:t>“</w:t>
                        </w:r>
                        <w:r>
                          <w:rPr>
                            <w:rFonts w:ascii="宋体" w:hAnsi="宋体" w:cs="宋体" w:eastAsia="宋体" w:hint="default"/>
                            <w:sz w:val="18"/>
                            <w:szCs w:val="18"/>
                          </w:rPr>
                          <w:t>飞猪</w:t>
                        </w:r>
                        <w:r>
                          <w:rPr>
                            <w:rFonts w:ascii="Times New Roman" w:hAnsi="Times New Roman" w:cs="Times New Roman" w:eastAsia="Times New Roman" w:hint="default"/>
                            <w:sz w:val="18"/>
                            <w:szCs w:val="18"/>
                          </w:rPr>
                          <w:t>”</w:t>
                        </w:r>
                        <w:r>
                          <w:rPr>
                            <w:rFonts w:ascii="宋体" w:hAnsi="宋体" w:cs="宋体" w:eastAsia="宋体" w:hint="default"/>
                            <w:sz w:val="18"/>
                            <w:szCs w:val="18"/>
                          </w:rPr>
                          <w:t>的直连、信用住、会员服务平台接入、扫码支付等功能的开发和客 </w:t>
                        </w:r>
                        <w:r>
                          <w:rPr>
                            <w:rFonts w:ascii="宋体" w:hAnsi="宋体" w:cs="宋体" w:eastAsia="宋体" w:hint="default"/>
                            <w:spacing w:val="-2"/>
                            <w:sz w:val="18"/>
                            <w:szCs w:val="18"/>
                          </w:rPr>
                          <w:t>户直连，以及包括自助选房、自助入住、离店前提前开发票以及扫脸入住等后续功能的开发。因此，公司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与淘</w:t>
                        </w:r>
                        <w:r>
                          <w:rPr>
                            <w:rFonts w:ascii="宋体" w:hAnsi="宋体" w:cs="宋体" w:eastAsia="宋体" w:hint="default"/>
                            <w:spacing w:val="-54"/>
                            <w:sz w:val="18"/>
                            <w:szCs w:val="18"/>
                          </w:rPr>
                          <w:t> </w:t>
                        </w:r>
                        <w:r>
                          <w:rPr>
                            <w:rFonts w:ascii="宋体" w:hAnsi="宋体" w:cs="宋体" w:eastAsia="宋体" w:hint="default"/>
                            <w:sz w:val="18"/>
                            <w:szCs w:val="18"/>
                          </w:rPr>
                          <w:t>宝（中国）软件在酒店领域开展业务合作</w:t>
                        </w:r>
                        <w:r>
                          <w:rPr>
                            <w:rFonts w:ascii="Times New Roman" w:hAnsi="Times New Roman" w:cs="Times New Roman" w:eastAsia="Times New Roman" w:hint="default"/>
                            <w:sz w:val="18"/>
                            <w:szCs w:val="18"/>
                          </w:rPr>
                          <w:t>”</w:t>
                        </w:r>
                        <w:r>
                          <w:rPr>
                            <w:rFonts w:ascii="宋体" w:hAnsi="宋体" w:cs="宋体" w:eastAsia="宋体" w:hint="default"/>
                            <w:sz w:val="18"/>
                            <w:szCs w:val="18"/>
                          </w:rPr>
                          <w:t>募投项目的合作目标目前已经实现。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与淘宝（中国）软件在餐饮领域开展业务合作</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募投项目终止原因：与淘宝（中国）软件在餐饮领域开展业</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务合作方面，募集资金于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月到位后，公司在餐饮领域已经打通了现有餐饮软件与阿里相关平台的接 口，成功地为社会餐厅及酒店集团用户开通了从餐位预订、预点菜、扫桌台码点菜、电子账单推送、在线支付 外卖以及会员注册、会员积分、消费券管理以及电子发票等功能的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业务闭环，有力地提高了餐厅的市场关 注度，提升了酒店餐厅的营销能力，大大降低了餐厅运营成本；同时公司配合与淘宝（中国）在餐饮领域的业 务合作进行了一定的人员招聘，提高现有人员待遇；因此本募投项目的原定目标已经实现。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与阿里巴巴在零售、支付领域开展业务合作相关支出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募投项目终止原因：因公司在与阿里的零售、支付系</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统领域合作中，共享了新收购子公司的员工、销售网络、设备和丰富客户资源，支付宝产品集成也已经主要通 过共享各子公司现有人力、物力和财力来实现，因此公司无需进行大规模投入就完成了最初的零售、支付系统 领域合作项目。</w:t>
                        </w:r>
                        <w:r>
                          <w:rPr>
                            <w:rFonts w:ascii="Times New Roman" w:hAnsi="Times New Roman" w:cs="Times New Roman" w:eastAsia="Times New Roman" w:hint="default"/>
                            <w:sz w:val="18"/>
                            <w:szCs w:val="18"/>
                          </w:rPr>
                          <w:t>4</w:t>
                        </w:r>
                        <w:r>
                          <w:rPr>
                            <w:rFonts w:ascii="宋体" w:hAnsi="宋体" w:cs="宋体" w:eastAsia="宋体" w:hint="default"/>
                            <w:sz w:val="18"/>
                            <w:szCs w:val="18"/>
                          </w:rPr>
                          <w:t>、针对上述第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两个项目终止情况本公司履行了以下程序：（</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10</w:t>
                        </w:r>
                        <w:r>
                          <w:rPr>
                            <w:rFonts w:ascii="Times New Roman" w:hAnsi="Times New Roman" w:cs="Times New Roman" w:eastAsia="Times New Roman" w:hint="default"/>
                            <w:sz w:val="18"/>
                            <w:szCs w:val="18"/>
                          </w:rPr>
                        </w:r>
                      </w:p>
                      <w:p>
                        <w:pPr>
                          <w:pStyle w:val="TableParagraph"/>
                          <w:spacing w:line="300" w:lineRule="auto" w:before="7"/>
                          <w:ind w:left="16" w:right="-44"/>
                          <w:jc w:val="left"/>
                          <w:rPr>
                            <w:rFonts w:ascii="宋体" w:hAnsi="宋体" w:cs="宋体" w:eastAsia="宋体" w:hint="default"/>
                            <w:sz w:val="18"/>
                            <w:szCs w:val="18"/>
                          </w:rPr>
                        </w:pPr>
                        <w:r>
                          <w:rPr>
                            <w:rFonts w:ascii="宋体" w:hAnsi="宋体" w:cs="宋体" w:eastAsia="宋体" w:hint="default"/>
                            <w:sz w:val="18"/>
                            <w:szCs w:val="18"/>
                          </w:rPr>
                          <w:t>日召开第六届董事会</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年第五次临时会议审议通过《关于终止公司募集资金投资项目并拟将剩余募集资金永 </w:t>
                        </w:r>
                        <w:r>
                          <w:rPr>
                            <w:rFonts w:ascii="宋体" w:hAnsi="宋体" w:cs="宋体" w:eastAsia="宋体" w:hint="default"/>
                            <w:spacing w:val="-2"/>
                            <w:sz w:val="18"/>
                            <w:szCs w:val="18"/>
                          </w:rPr>
                          <w:t>久补充流动资金的议案》，公司拟终止上述两个募投项目，并拟将部分剩余募集资金及利息永久补充流动资金。</w:t>
                        </w:r>
                      </w:p>
                      <w:p>
                        <w:pPr>
                          <w:pStyle w:val="TableParagraph"/>
                          <w:spacing w:line="240" w:lineRule="auto" w:before="31"/>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5"/>
                            <w:sz w:val="18"/>
                            <w:szCs w:val="18"/>
                          </w:rPr>
                          <w:t>，</w:t>
                        </w:r>
                        <w:r>
                          <w:rPr>
                            <w:rFonts w:ascii="宋体" w:hAnsi="宋体" w:cs="宋体" w:eastAsia="宋体" w:hint="default"/>
                            <w:sz w:val="18"/>
                            <w:szCs w:val="18"/>
                          </w:rPr>
                          <w:t>该</w:t>
                        </w:r>
                        <w:r>
                          <w:rPr>
                            <w:rFonts w:ascii="宋体" w:hAnsi="宋体" w:cs="宋体" w:eastAsia="宋体" w:hint="default"/>
                            <w:spacing w:val="-3"/>
                            <w:sz w:val="18"/>
                            <w:szCs w:val="18"/>
                          </w:rPr>
                          <w:t>议</w:t>
                        </w:r>
                        <w:r>
                          <w:rPr>
                            <w:rFonts w:ascii="宋体" w:hAnsi="宋体" w:cs="宋体" w:eastAsia="宋体" w:hint="default"/>
                            <w:sz w:val="18"/>
                            <w:szCs w:val="18"/>
                          </w:rPr>
                          <w:t>案已经公司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w:t>
                        </w:r>
                        <w:r>
                          <w:rPr>
                            <w:rFonts w:ascii="宋体" w:hAnsi="宋体" w:cs="宋体" w:eastAsia="宋体" w:hint="default"/>
                            <w:spacing w:val="-3"/>
                            <w:sz w:val="18"/>
                            <w:szCs w:val="18"/>
                          </w:rPr>
                          <w:t>时</w:t>
                        </w:r>
                        <w:r>
                          <w:rPr>
                            <w:rFonts w:ascii="宋体" w:hAnsi="宋体" w:cs="宋体" w:eastAsia="宋体" w:hint="default"/>
                            <w:sz w:val="18"/>
                            <w:szCs w:val="18"/>
                          </w:rPr>
                          <w:t>股东大会审议通过</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r>
                          <w:rPr>
                            <w:rFonts w:ascii="宋体" w:hAnsi="宋体" w:cs="宋体" w:eastAsia="宋体" w:hint="default"/>
                            <w:spacing w:val="-9"/>
                            <w:sz w:val="18"/>
                            <w:szCs w:val="18"/>
                          </w:rPr>
                          <w:t> </w:t>
                        </w:r>
                        <w:r>
                          <w:rPr>
                            <w:rFonts w:ascii="宋体" w:hAnsi="宋体" w:cs="宋体" w:eastAsia="宋体" w:hint="default"/>
                            <w:sz w:val="18"/>
                            <w:szCs w:val="18"/>
                          </w:rPr>
                          <w:t>《关于终止公司募集资</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金投资项目并拟将剩余募集资金永久补充流动资金的公告</w:t>
                        </w:r>
                        <w:r>
                          <w:rPr>
                            <w:rFonts w:ascii="宋体" w:hAnsi="宋体" w:cs="宋体" w:eastAsia="宋体" w:hint="default"/>
                            <w:spacing w:val="-82"/>
                            <w:sz w:val="18"/>
                            <w:szCs w:val="18"/>
                          </w:rPr>
                          <w:t>》及</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年第二次临时股东大会决议公告</w:t>
                        </w:r>
                        <w:r>
                          <w:rPr>
                            <w:rFonts w:ascii="宋体" w:hAnsi="宋体" w:cs="宋体" w:eastAsia="宋体" w:hint="default"/>
                            <w:spacing w:val="-82"/>
                            <w:sz w:val="18"/>
                            <w:szCs w:val="18"/>
                          </w:rPr>
                          <w:t>》</w:t>
                        </w:r>
                        <w:r>
                          <w:rPr>
                            <w:rFonts w:ascii="宋体" w:hAnsi="宋体" w:cs="宋体" w:eastAsia="宋体" w:hint="default"/>
                            <w:sz w:val="18"/>
                            <w:szCs w:val="18"/>
                          </w:rPr>
                          <w:t>详见</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日的《中国证券报</w:t>
                        </w:r>
                        <w:r>
                          <w:rPr>
                            <w:rFonts w:ascii="宋体" w:hAnsi="宋体" w:cs="宋体" w:eastAsia="宋体" w:hint="default"/>
                            <w:spacing w:val="-92"/>
                            <w:sz w:val="18"/>
                            <w:szCs w:val="18"/>
                          </w:rPr>
                          <w:t>》、</w:t>
                        </w:r>
                        <w:r>
                          <w:rPr>
                            <w:rFonts w:ascii="宋体" w:hAnsi="宋体" w:cs="宋体" w:eastAsia="宋体" w:hint="default"/>
                            <w:sz w:val="18"/>
                            <w:szCs w:val="18"/>
                          </w:rPr>
                          <w:t>《证券</w:t>
                        </w:r>
                        <w:r>
                          <w:rPr>
                            <w:rFonts w:ascii="宋体" w:hAnsi="宋体" w:cs="宋体" w:eastAsia="宋体" w:hint="default"/>
                            <w:spacing w:val="2"/>
                            <w:sz w:val="18"/>
                            <w:szCs w:val="18"/>
                          </w:rPr>
                          <w:t>时</w:t>
                        </w:r>
                        <w:r>
                          <w:rPr>
                            <w:rFonts w:ascii="宋体" w:hAnsi="宋体" w:cs="宋体" w:eastAsia="宋体" w:hint="default"/>
                            <w:sz w:val="18"/>
                            <w:szCs w:val="18"/>
                          </w:rPr>
                          <w:t>报》及巨潮资讯网</w:t>
                        </w:r>
                        <w:r>
                          <w:rPr>
                            <w:rFonts w:ascii="宋体" w:hAnsi="宋体" w:cs="宋体" w:eastAsia="宋体" w:hint="default"/>
                            <w:spacing w:val="-45"/>
                            <w:sz w:val="18"/>
                            <w:szCs w:val="18"/>
                          </w:rPr>
                          <w:t> </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2"/>
                              <w:sz w:val="18"/>
                              <w:szCs w:val="18"/>
                            </w:rPr>
                            <w:t>n</w:t>
                          </w:r>
                        </w:hyperlink>
                        <w:r>
                          <w:rPr>
                            <w:rFonts w:ascii="宋体" w:hAnsi="宋体" w:cs="宋体" w:eastAsia="宋体" w:hint="default"/>
                            <w:sz w:val="18"/>
                            <w:szCs w:val="18"/>
                          </w:rPr>
                          <w:t>。</w:t>
                        </w:r>
                      </w:p>
                      <w:p>
                        <w:pPr>
                          <w:pStyle w:val="TableParagraph"/>
                          <w:spacing w:line="307" w:lineRule="auto" w:before="63"/>
                          <w:ind w:left="16" w:right="18"/>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、针对上述第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个项目终止情况本公司履行了以下程序：（</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日召开第六届董事会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年第三次临时会议审议通过《关于公司部分募集资金投资项目终止并拟将部分剩余募集资金永久补充流动资金 </w:t>
                        </w:r>
                        <w:r>
                          <w:rPr>
                            <w:rFonts w:ascii="宋体" w:hAnsi="宋体" w:cs="宋体" w:eastAsia="宋体" w:hint="default"/>
                            <w:spacing w:val="-4"/>
                            <w:sz w:val="18"/>
                            <w:szCs w:val="18"/>
                          </w:rPr>
                          <w:t>的议案》，公司拟终止与阿里巴巴在零售、支付领域开展业务合作项目的原募投项目，并拟将剩余募集资金及利</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15"/>
                            <w:sz w:val="18"/>
                            <w:szCs w:val="18"/>
                          </w:rPr>
                          <w:t>息永久补充流动资金；（</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日，该议案已经公司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pacing w:val="-14"/>
                            <w:sz w:val="18"/>
                            <w:szCs w:val="18"/>
                          </w:rPr>
                          <w:t>年第一次临时股东大会审议通过。（</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）《关</w:t>
                        </w:r>
                        <w:r>
                          <w:rPr>
                            <w:rFonts w:ascii="宋体" w:hAnsi="宋体" w:cs="宋体" w:eastAsia="宋体" w:hint="default"/>
                            <w:sz w:val="18"/>
                            <w:szCs w:val="18"/>
                          </w:rPr>
                          <w:t> 于终止公司募集资金投资项目并拟将剩余募集资金永久补充流动资金的公告》及《</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年第一次临时股东大会 决议公告》详见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日的《中国证券报》、《证券时报》及巨潮资讯网</w:t>
                        </w:r>
                        <w:r>
                          <w:rPr>
                            <w:rFonts w:ascii="宋体" w:hAnsi="宋体" w:cs="宋体" w:eastAsia="宋体" w:hint="default"/>
                            <w:spacing w:val="-80"/>
                            <w:sz w:val="18"/>
                            <w:szCs w:val="18"/>
                          </w:rPr>
                          <w:t> </w:t>
                        </w:r>
                        <w:r>
                          <w:rPr>
                            <w:rFonts w:ascii="宋体" w:hAnsi="宋体" w:cs="宋体" w:eastAsia="宋体" w:hint="default"/>
                            <w:spacing w:val="-80"/>
                            <w:sz w:val="18"/>
                            <w:szCs w:val="18"/>
                          </w:rPr>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95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2"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变更原 因、决策 程序及信 息披露情 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 具体项目</w:t>
                        </w:r>
                        <w:r>
                          <w:rPr>
                            <w:rFonts w:ascii="Times New Roman" w:hAnsi="Times New Roman" w:cs="Times New Roman" w:eastAsia="Times New Roman" w:hint="default"/>
                            <w:sz w:val="18"/>
                            <w:szCs w:val="18"/>
                          </w:rPr>
                          <w:t>)</w:t>
                        </w:r>
                      </w:p>
                    </w:tc>
                    <w:tc>
                      <w:tcPr>
                        <w:tcW w:w="8721" w:type="dxa"/>
                        <w:gridSpan w:val="9"/>
                        <w:vMerge/>
                        <w:tcBorders>
                          <w:left w:val="single" w:sz="10" w:space="0" w:color="D2D2D2"/>
                          <w:right w:val="single" w:sz="4" w:space="0" w:color="000000"/>
                        </w:tcBorders>
                      </w:tcPr>
                      <w:p>
                        <w:pPr/>
                      </w:p>
                    </w:tc>
                  </w:tr>
                  <w:tr>
                    <w:trPr>
                      <w:trHeight w:val="3437" w:hRule="exact"/>
                    </w:trPr>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8721" w:type="dxa"/>
                        <w:gridSpan w:val="9"/>
                        <w:vMerge/>
                        <w:tcBorders>
                          <w:left w:val="single" w:sz="10" w:space="0" w:color="D2D2D2"/>
                          <w:bottom w:val="single" w:sz="4" w:space="0" w:color="000000"/>
                          <w:right w:val="single" w:sz="4" w:space="0" w:color="000000"/>
                        </w:tcBorders>
                      </w:tcPr>
                      <w:p>
                        <w:pPr/>
                      </w:p>
                    </w:tc>
                  </w:tr>
                  <w:tr>
                    <w:trPr>
                      <w:trHeight w:val="36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未达到计</w:t>
                        </w:r>
                      </w:p>
                    </w:tc>
                    <w:tc>
                      <w:tcPr>
                        <w:tcW w:w="8721"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、与淘宝（中国）软件在酒店领域开展业务合作项目本公司与淘宝（中国）软件在酒店领域开展业务合作项目</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before="44"/>
        <w:ind w:left="152"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5pt;height:691.55pt;mso-position-horizontal-relative:page;mso-position-vertical-relative:page;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8721"/>
                  </w:tblGrid>
                  <w:tr>
                    <w:trPr>
                      <w:trHeight w:val="13821"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8"/>
                          <w:ind w:left="22" w:right="36"/>
                          <w:jc w:val="both"/>
                          <w:rPr>
                            <w:rFonts w:ascii="Times New Roman" w:hAnsi="Times New Roman" w:cs="Times New Roman" w:eastAsia="Times New Roman" w:hint="default"/>
                            <w:sz w:val="18"/>
                            <w:szCs w:val="18"/>
                          </w:rPr>
                        </w:pPr>
                        <w:r>
                          <w:rPr>
                            <w:rFonts w:ascii="宋体" w:hAnsi="宋体" w:cs="宋体" w:eastAsia="宋体" w:hint="default"/>
                            <w:sz w:val="18"/>
                            <w:szCs w:val="18"/>
                          </w:rPr>
                          <w:t>划进度或 预计收益 的情况和 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 体项目</w:t>
                        </w:r>
                        <w:r>
                          <w:rPr>
                            <w:rFonts w:ascii="Times New Roman" w:hAnsi="Times New Roman" w:cs="Times New Roman" w:eastAsia="Times New Roman" w:hint="default"/>
                            <w:sz w:val="18"/>
                            <w:szCs w:val="18"/>
                          </w:rPr>
                          <w:t>)</w:t>
                        </w:r>
                      </w:p>
                    </w:tc>
                    <w:tc>
                      <w:tcPr>
                        <w:tcW w:w="872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23" w:right="-45"/>
                          <w:jc w:val="left"/>
                          <w:rPr>
                            <w:rFonts w:ascii="宋体" w:hAnsi="宋体" w:cs="宋体" w:eastAsia="宋体" w:hint="default"/>
                            <w:sz w:val="18"/>
                            <w:szCs w:val="18"/>
                          </w:rPr>
                        </w:pPr>
                        <w:r>
                          <w:rPr>
                            <w:rFonts w:ascii="宋体" w:hAnsi="宋体" w:cs="宋体" w:eastAsia="宋体" w:hint="default"/>
                            <w:spacing w:val="-2"/>
                            <w:sz w:val="18"/>
                            <w:szCs w:val="18"/>
                          </w:rPr>
                          <w:t>原计划目标已经基本实现，公司未按照《非公开发行预案》中的投资计划进行投入，原因如下：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）在募集资金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月到位后，公司本项募集资金投资项目按照实际情况逐步进行建设，与淘宝（中国）软件在酒店 领域开展了深度业务合作，公司与阿里的酒店预订平台 </w:t>
                        </w:r>
                        <w:r>
                          <w:rPr>
                            <w:rFonts w:ascii="Times New Roman" w:hAnsi="Times New Roman" w:cs="Times New Roman" w:eastAsia="Times New Roman" w:hint="default"/>
                            <w:sz w:val="18"/>
                            <w:szCs w:val="18"/>
                          </w:rPr>
                          <w:t>“</w:t>
                        </w:r>
                        <w:r>
                          <w:rPr>
                            <w:rFonts w:ascii="宋体" w:hAnsi="宋体" w:cs="宋体" w:eastAsia="宋体" w:hint="default"/>
                            <w:sz w:val="18"/>
                            <w:szCs w:val="18"/>
                          </w:rPr>
                          <w:t>飞猪</w:t>
                        </w:r>
                        <w:r>
                          <w:rPr>
                            <w:rFonts w:ascii="Times New Roman" w:hAnsi="Times New Roman" w:cs="Times New Roman" w:eastAsia="Times New Roman" w:hint="default"/>
                            <w:sz w:val="18"/>
                            <w:szCs w:val="18"/>
                          </w:rPr>
                          <w:t>”</w:t>
                        </w:r>
                        <w:r>
                          <w:rPr>
                            <w:rFonts w:ascii="宋体" w:hAnsi="宋体" w:cs="宋体" w:eastAsia="宋体" w:hint="default"/>
                            <w:sz w:val="18"/>
                            <w:szCs w:val="18"/>
                          </w:rPr>
                          <w:t>共同推出</w:t>
                        </w:r>
                        <w:r>
                          <w:rPr>
                            <w:rFonts w:ascii="Times New Roman" w:hAnsi="Times New Roman" w:cs="Times New Roman" w:eastAsia="Times New Roman" w:hint="default"/>
                            <w:sz w:val="18"/>
                            <w:szCs w:val="18"/>
                          </w:rPr>
                          <w:t>“</w:t>
                        </w:r>
                        <w:r>
                          <w:rPr>
                            <w:rFonts w:ascii="宋体" w:hAnsi="宋体" w:cs="宋体" w:eastAsia="宋体" w:hint="default"/>
                            <w:sz w:val="18"/>
                            <w:szCs w:val="18"/>
                          </w:rPr>
                          <w:t>信用住</w:t>
                        </w:r>
                        <w:r>
                          <w:rPr>
                            <w:rFonts w:ascii="Times New Roman" w:hAnsi="Times New Roman" w:cs="Times New Roman" w:eastAsia="Times New Roman" w:hint="default"/>
                            <w:sz w:val="18"/>
                            <w:szCs w:val="18"/>
                          </w:rPr>
                          <w:t>”</w:t>
                        </w:r>
                        <w:r>
                          <w:rPr>
                            <w:rFonts w:ascii="宋体" w:hAnsi="宋体" w:cs="宋体" w:eastAsia="宋体" w:hint="default"/>
                            <w:sz w:val="18"/>
                            <w:szCs w:val="18"/>
                          </w:rPr>
                          <w:t>，开发了</w:t>
                        </w:r>
                        <w:r>
                          <w:rPr>
                            <w:rFonts w:ascii="Times New Roman" w:hAnsi="Times New Roman" w:cs="Times New Roman" w:eastAsia="Times New Roman" w:hint="default"/>
                            <w:sz w:val="18"/>
                            <w:szCs w:val="18"/>
                          </w:rPr>
                          <w:t>“</w:t>
                        </w:r>
                        <w:r>
                          <w:rPr>
                            <w:rFonts w:ascii="宋体" w:hAnsi="宋体" w:cs="宋体" w:eastAsia="宋体" w:hint="default"/>
                            <w:sz w:val="18"/>
                            <w:szCs w:val="18"/>
                          </w:rPr>
                          <w:t>未来酒店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到</w:t>
                        </w:r>
                        <w:r>
                          <w:rPr>
                            <w:rFonts w:ascii="Times New Roman" w:hAnsi="Times New Roman" w:cs="Times New Roman" w:eastAsia="Times New Roman" w:hint="default"/>
                            <w:sz w:val="18"/>
                            <w:szCs w:val="18"/>
                          </w:rPr>
                          <w:t>“</w:t>
                        </w:r>
                        <w:r>
                          <w:rPr>
                            <w:rFonts w:ascii="宋体" w:hAnsi="宋体" w:cs="宋体" w:eastAsia="宋体" w:hint="default"/>
                            <w:sz w:val="18"/>
                            <w:szCs w:val="18"/>
                          </w:rPr>
                          <w:t>未 来酒店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的功能，按计划进度完成了现有酒店信息管理系统与</w:t>
                        </w:r>
                        <w:r>
                          <w:rPr>
                            <w:rFonts w:ascii="Times New Roman" w:hAnsi="Times New Roman" w:cs="Times New Roman" w:eastAsia="Times New Roman" w:hint="default"/>
                            <w:sz w:val="18"/>
                            <w:szCs w:val="18"/>
                          </w:rPr>
                          <w:t>“</w:t>
                        </w:r>
                        <w:r>
                          <w:rPr>
                            <w:rFonts w:ascii="宋体" w:hAnsi="宋体" w:cs="宋体" w:eastAsia="宋体" w:hint="default"/>
                            <w:sz w:val="18"/>
                            <w:szCs w:val="18"/>
                          </w:rPr>
                          <w:t>飞猪</w:t>
                        </w:r>
                        <w:r>
                          <w:rPr>
                            <w:rFonts w:ascii="Times New Roman" w:hAnsi="Times New Roman" w:cs="Times New Roman" w:eastAsia="Times New Roman" w:hint="default"/>
                            <w:sz w:val="18"/>
                            <w:szCs w:val="18"/>
                          </w:rPr>
                          <w:t>”</w:t>
                        </w:r>
                        <w:r>
                          <w:rPr>
                            <w:rFonts w:ascii="宋体" w:hAnsi="宋体" w:cs="宋体" w:eastAsia="宋体" w:hint="default"/>
                            <w:sz w:val="18"/>
                            <w:szCs w:val="18"/>
                          </w:rPr>
                          <w:t>的直连、信用住、会员服务平台接入、 扫码支付等功能的开发和客户直连，以及包括自助选房、自助入住、离店前提前开发票以及扫脸入住等后续功 能的开发；因此本募投项目的原定目标已经基本实现。</w:t>
                        </w:r>
                        <w:r>
                          <w:rPr>
                            <w:rFonts w:ascii="Times New Roman" w:hAnsi="Times New Roman" w:cs="Times New Roman" w:eastAsia="Times New Roman" w:hint="default"/>
                            <w:sz w:val="18"/>
                            <w:szCs w:val="18"/>
                          </w:rPr>
                          <w:t>2</w:t>
                        </w:r>
                        <w:r>
                          <w:rPr>
                            <w:rFonts w:ascii="宋体" w:hAnsi="宋体" w:cs="宋体" w:eastAsia="宋体" w:hint="default"/>
                            <w:sz w:val="18"/>
                            <w:szCs w:val="18"/>
                          </w:rPr>
                          <w:t>）考虑到新一代酒店信息管理系统技术向云化的变迁， 公司与德国领先的云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PMS/CRS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HETRAS </w:t>
                        </w:r>
                        <w:r>
                          <w:rPr>
                            <w:rFonts w:ascii="宋体" w:hAnsi="宋体" w:cs="宋体" w:eastAsia="宋体" w:hint="default"/>
                            <w:spacing w:val="-12"/>
                            <w:sz w:val="18"/>
                            <w:szCs w:val="18"/>
                          </w:rPr>
                          <w:t>洽谈，并于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年中下旬完成收购德国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HETRAS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公司全部股权 新一代酒店信息管理技术的加速变革使得公司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与淘宝（中国）软件在酒店领域开展业务合作</w:t>
                        </w:r>
                        <w:r>
                          <w:rPr>
                            <w:rFonts w:ascii="Times New Roman" w:hAnsi="Times New Roman" w:cs="Times New Roman" w:eastAsia="Times New Roman" w:hint="default"/>
                            <w:sz w:val="18"/>
                            <w:szCs w:val="18"/>
                          </w:rPr>
                          <w:t>”</w:t>
                        </w:r>
                        <w:r>
                          <w:rPr>
                            <w:rFonts w:ascii="宋体" w:hAnsi="宋体" w:cs="宋体" w:eastAsia="宋体" w:hint="default"/>
                            <w:sz w:val="18"/>
                            <w:szCs w:val="18"/>
                          </w:rPr>
                          <w:t>的募投项目无需 按照</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月公司公布的《募集资金可行性报告》的计划进行大规模投入即可实现原定目标，这是因为未来 </w:t>
                        </w:r>
                        <w:r>
                          <w:rPr>
                            <w:rFonts w:ascii="宋体" w:hAnsi="宋体" w:cs="宋体" w:eastAsia="宋体" w:hint="default"/>
                            <w:spacing w:val="-4"/>
                            <w:w w:val="99"/>
                            <w:sz w:val="18"/>
                            <w:szCs w:val="18"/>
                          </w:rPr>
                          <w:t>酒店信息系统将转向基于公有云的新一代信息系统，与酒店预订平台的接口问题将通过应用程序编程接口（</w:t>
                        </w:r>
                        <w:r>
                          <w:rPr>
                            <w:rFonts w:ascii="Times New Roman" w:hAnsi="Times New Roman" w:cs="Times New Roman" w:eastAsia="Times New Roman" w:hint="default"/>
                            <w:spacing w:val="-4"/>
                            <w:w w:val="99"/>
                            <w:sz w:val="18"/>
                            <w:szCs w:val="18"/>
                          </w:rPr>
                          <w:t>API</w:t>
                        </w:r>
                        <w:r>
                          <w:rPr>
                            <w:rFonts w:ascii="Times New Roman" w:hAnsi="Times New Roman" w:cs="Times New Roman" w:eastAsia="Times New Roman" w:hint="default"/>
                            <w:spacing w:val="-24"/>
                            <w:w w:val="99"/>
                            <w:sz w:val="18"/>
                            <w:szCs w:val="18"/>
                          </w:rPr>
                          <w:t> </w:t>
                        </w:r>
                        <w:r>
                          <w:rPr>
                            <w:rFonts w:ascii="Times New Roman" w:hAnsi="Times New Roman" w:cs="Times New Roman" w:eastAsia="Times New Roman" w:hint="default"/>
                            <w:spacing w:val="-24"/>
                            <w:w w:val="99"/>
                            <w:sz w:val="18"/>
                            <w:szCs w:val="18"/>
                          </w:rPr>
                        </w:r>
                        <w:r>
                          <w:rPr>
                            <w:rFonts w:ascii="宋体" w:hAnsi="宋体" w:cs="宋体" w:eastAsia="宋体" w:hint="default"/>
                            <w:sz w:val="18"/>
                            <w:szCs w:val="18"/>
                          </w:rPr>
                          <w:t>调用的方式解决，将无需开发、维护以及设备投入。因此，未来公司与飞猪持续进行的直连合作业务将通过新</w:t>
                        </w:r>
                        <w:r>
                          <w:rPr>
                            <w:rFonts w:ascii="宋体" w:hAnsi="宋体" w:cs="宋体" w:eastAsia="宋体" w:hint="default"/>
                            <w:w w:val="99"/>
                            <w:sz w:val="18"/>
                            <w:szCs w:val="18"/>
                          </w:rPr>
                          <w:t> </w:t>
                        </w:r>
                        <w:r>
                          <w:rPr>
                            <w:rFonts w:ascii="宋体" w:hAnsi="宋体" w:cs="宋体" w:eastAsia="宋体" w:hint="default"/>
                            <w:sz w:val="18"/>
                            <w:szCs w:val="18"/>
                          </w:rPr>
                          <w:t>的技术形式深入，但无需大规模投入。</w:t>
                        </w:r>
                      </w:p>
                      <w:p>
                        <w:pPr>
                          <w:pStyle w:val="TableParagraph"/>
                          <w:spacing w:line="307" w:lineRule="auto" w:before="68"/>
                          <w:ind w:left="23"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、与淘宝（中国）软件在餐饮领域开展业务合作项目本公司与淘宝（中国）软件在餐饮领域开展业务合作项目</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原计划目标已经实现，公司未按照《非公开发行预案》中的投资计划进行投入的原因如下：</w:t>
                        </w:r>
                        <w:r>
                          <w:rPr>
                            <w:rFonts w:ascii="Times New Roman" w:hAnsi="Times New Roman" w:cs="Times New Roman" w:eastAsia="Times New Roman" w:hint="default"/>
                            <w:sz w:val="18"/>
                            <w:szCs w:val="18"/>
                          </w:rPr>
                          <w:t>1</w:t>
                        </w:r>
                        <w:r>
                          <w:rPr>
                            <w:rFonts w:ascii="宋体" w:hAnsi="宋体" w:cs="宋体" w:eastAsia="宋体" w:hint="default"/>
                            <w:sz w:val="18"/>
                            <w:szCs w:val="18"/>
                          </w:rPr>
                          <w:t>）在募集资金于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月到位后，公司在餐饮领域已经打通了现有餐饮软件与阿里相关平台的接口，成功地为社会餐厅及 酒店集团用户开通了从餐位预订、预点菜、扫桌台码点菜、电子账单推送、在线支付、外卖以及会员注册、会 员积分、消费券管理以及电子发票等功能的</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业务闭环，有力地提高了餐厅的市场关注度，提升了酒店餐厅 的营销能力，大大降低了餐厅运营成本；同时公司配合与淘宝（中国）在餐饮领域的业务合作进行了一定的人 </w:t>
                        </w:r>
                        <w:r>
                          <w:rPr>
                            <w:rFonts w:ascii="宋体" w:hAnsi="宋体" w:cs="宋体" w:eastAsia="宋体" w:hint="default"/>
                            <w:spacing w:val="-2"/>
                            <w:sz w:val="18"/>
                            <w:szCs w:val="18"/>
                          </w:rPr>
                          <w:t>员招聘，提高现有人员待遇；因此本募投项目的原定目标已经实现。</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）目前餐饮信息管理系统技术也在向新一</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代基于云平台的技术方向加速变革，</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年公司持续大力投入下一代云平台的餐饮信息管理系统研发，不断增 强在连锁餐饮、酒店集团领域的功能，公司的新一代云平台餐饮系统</w:t>
                        </w:r>
                        <w:r>
                          <w:rPr>
                            <w:rFonts w:ascii="Times New Roman" w:hAnsi="Times New Roman" w:cs="Times New Roman" w:eastAsia="Times New Roman" w:hint="default"/>
                            <w:sz w:val="18"/>
                            <w:szCs w:val="18"/>
                          </w:rPr>
                          <w:t>“Infrasys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Cloud”</w:t>
                        </w:r>
                        <w:r>
                          <w:rPr>
                            <w:rFonts w:ascii="宋体" w:hAnsi="宋体" w:cs="宋体" w:eastAsia="宋体" w:hint="default"/>
                            <w:sz w:val="18"/>
                            <w:szCs w:val="18"/>
                          </w:rPr>
                          <w:t>经过多家全球知名国际酒 店集团的严格测试与评标认证为其下一代云餐饮管理系统，这是公司在餐饮信息管理系统技术变革方面取得的 里程碑式进展。考虑到新一代云平台餐饮信息管理系统技术的加速变迁，以及新一代云平台的餐饮系统与阿里 相关平台的直连对接将无需开发、维护以及设备投入，并且未来亦将不需要明显投入。</w:t>
                        </w:r>
                      </w:p>
                      <w:p>
                        <w:pPr>
                          <w:pStyle w:val="TableParagraph"/>
                          <w:spacing w:line="314" w:lineRule="auto" w:before="64"/>
                          <w:ind w:left="23"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、与阿里巴巴在零售、支付系统领域开展业务合作项目因下列两方面的原因本公司与阿里巴巴零售、支付系统</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领域开展业务合作项目已经完成，原计划将零售软件系统与支付宝产品接口集成的目标已经提前实现：一方面</w:t>
                        </w:r>
                        <w:r>
                          <w:rPr>
                            <w:rFonts w:ascii="宋体" w:hAnsi="宋体" w:cs="宋体" w:eastAsia="宋体" w:hint="default"/>
                            <w:sz w:val="18"/>
                            <w:szCs w:val="18"/>
                          </w:rPr>
                          <w:t> 本公司全资子公司南京银石计算机系统有限公司（以下简称南京银石）凭借自身的技术力量和行业经验，依托 公司旗下各子公司占据中国规模化零售业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6-7 </w:t>
                        </w:r>
                        <w:r>
                          <w:rPr>
                            <w:rFonts w:ascii="宋体" w:hAnsi="宋体" w:cs="宋体" w:eastAsia="宋体" w:hint="default"/>
                            <w:sz w:val="18"/>
                            <w:szCs w:val="18"/>
                          </w:rPr>
                          <w:t>成客户的庞大客户资源，开发并建成了石基一体化支付平台，能 够为商户提供集成支付宝相关产品接口的一体化的支付解决方案；另一方面，本公司从事零售信息系统业务的 </w:t>
                        </w:r>
                        <w:r>
                          <w:rPr>
                            <w:rFonts w:ascii="宋体" w:hAnsi="宋体" w:cs="宋体" w:eastAsia="宋体" w:hint="default"/>
                            <w:spacing w:val="-6"/>
                            <w:sz w:val="18"/>
                            <w:szCs w:val="18"/>
                          </w:rPr>
                          <w:t>全部子公司深圳市思迅软件股份有限公司（以下简称思迅）、北京长京益康信息科技有限公司（以下简称长益）</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北京富基融通科技有限公司（以下简称富基）以及参股公司科传计算机科技控股有限公司（以下简称科传）的</w:t>
                        </w:r>
                        <w:r>
                          <w:rPr>
                            <w:rFonts w:ascii="宋体" w:hAnsi="宋体" w:cs="宋体" w:eastAsia="宋体" w:hint="default"/>
                            <w:sz w:val="18"/>
                            <w:szCs w:val="18"/>
                          </w:rPr>
                          <w:t> 零售信息系统已经完成与南京银石一体化支付平台的直连对接，同时也直接支持与支付宝平台的直连对接。 该项目募集资金投入金额较少未达募集资金计划使用进度的原因如下：由于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年底至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年初新收购了零</w:t>
                        </w:r>
                      </w:p>
                      <w:p>
                        <w:pPr>
                          <w:pStyle w:val="TableParagraph"/>
                          <w:spacing w:line="309" w:lineRule="auto" w:before="1"/>
                          <w:ind w:left="23" w:right="-3"/>
                          <w:jc w:val="both"/>
                          <w:rPr>
                            <w:rFonts w:ascii="宋体" w:hAnsi="宋体" w:cs="宋体" w:eastAsia="宋体" w:hint="default"/>
                            <w:sz w:val="18"/>
                            <w:szCs w:val="18"/>
                          </w:rPr>
                        </w:pPr>
                        <w:r>
                          <w:rPr>
                            <w:rFonts w:ascii="宋体" w:hAnsi="宋体" w:cs="宋体" w:eastAsia="宋体" w:hint="default"/>
                            <w:sz w:val="18"/>
                            <w:szCs w:val="18"/>
                          </w:rPr>
                          <w:t>售信息系统公司，公司零售板块业务架构和在零售信息系统行业所处的地位与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月公司公布《募集资金</w:t>
                        </w:r>
                        <w:r>
                          <w:rPr>
                            <w:rFonts w:ascii="宋体" w:hAnsi="宋体" w:cs="宋体" w:eastAsia="宋体" w:hint="default"/>
                            <w:sz w:val="18"/>
                            <w:szCs w:val="18"/>
                          </w:rPr>
                          <w:t> 可行性报告》之时相比已经有了本质变化，这使得公司可以在与阿里巴巴的零售、支付系统领域开展业务合作 项目中利用零售业信息系统板块形成的行业竞争优势，共享新收购零售子公司的现有各项资源。</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公司下属零售子公司只包括控股的思迅和参股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的科传。思迅是中国标准化零售信息系统供应商的领导者， 科传是主要的规模化零售信息系统供应商之一，且公司只是参股，因此，当时本公司在中国整体零售信息系统 行业没有获得领导地位，为了实现在零售、支付系统领域与阿里的合作目的，需要通过大量投入人员和设备来 实现。而在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年初，本公司零售业务板块增加了一些重要的子公司，即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月初完成</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收购的全资子公司长益科技和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月实现控股并于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日完成私有化的全资子公司富基，以</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日完成收</w:t>
                        </w:r>
                        <w:r>
                          <w:rPr>
                            <w:rFonts w:ascii="宋体" w:hAnsi="宋体" w:cs="宋体" w:eastAsia="宋体" w:hint="default"/>
                            <w:spacing w:val="-3"/>
                            <w:sz w:val="18"/>
                            <w:szCs w:val="18"/>
                          </w:rPr>
                          <w:t>购</w:t>
                        </w: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股权的上海时运信息</w:t>
                        </w:r>
                        <w:r>
                          <w:rPr>
                            <w:rFonts w:ascii="宋体" w:hAnsi="宋体" w:cs="宋体" w:eastAsia="宋体" w:hint="default"/>
                            <w:spacing w:val="-3"/>
                            <w:sz w:val="18"/>
                            <w:szCs w:val="18"/>
                          </w:rPr>
                          <w:t>技</w:t>
                        </w:r>
                        <w:r>
                          <w:rPr>
                            <w:rFonts w:ascii="宋体" w:hAnsi="宋体" w:cs="宋体" w:eastAsia="宋体" w:hint="default"/>
                            <w:sz w:val="18"/>
                            <w:szCs w:val="18"/>
                          </w:rPr>
                          <w:t>术有限公司（以下简称时运</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长益、富基和科传为</w:t>
                        </w:r>
                      </w:p>
                      <w:p>
                        <w:pPr>
                          <w:pStyle w:val="TableParagraph"/>
                          <w:spacing w:line="300" w:lineRule="auto" w:before="62"/>
                          <w:ind w:left="23" w:right="19"/>
                          <w:jc w:val="left"/>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成的规模化零售客户提供信息化解决方案，事实上在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年初完成控股或投资长益、富基、科传、思 迅就已经基本确立了公司在中国零售业信息系统市场的领导地位。公司在与阿里的零售、支付系统领域合作中</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44"/>
        <w:ind w:left="152"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152"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before="44"/>
        <w:ind w:left="152"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44"/>
        <w:ind w:left="152"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0"/>
        <w:ind w:left="152"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51"/>
        <w:gridCol w:w="3391"/>
        <w:gridCol w:w="5330"/>
      </w:tblGrid>
      <w:tr>
        <w:trPr>
          <w:trHeight w:val="675"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44"/>
              <w:jc w:val="left"/>
              <w:rPr>
                <w:rFonts w:ascii="宋体" w:hAnsi="宋体" w:cs="宋体" w:eastAsia="宋体" w:hint="default"/>
                <w:sz w:val="18"/>
                <w:szCs w:val="18"/>
              </w:rPr>
            </w:pPr>
            <w:r>
              <w:rPr>
                <w:rFonts w:ascii="宋体" w:hAnsi="宋体" w:cs="宋体" w:eastAsia="宋体" w:hint="default"/>
                <w:sz w:val="18"/>
                <w:szCs w:val="18"/>
              </w:rPr>
              <w:t>共享了新收购子公司的员工、销售网络、设备和丰富客户资源，支付宝产品集成也已经主要通过共享各子公司 现有人力、物力和财力来实现，因此公司无需进行大规模投入就完成了最初的零售、支付系统领域合作项目。</w:t>
            </w:r>
          </w:p>
        </w:tc>
      </w:tr>
      <w:tr>
        <w:trPr>
          <w:trHeight w:val="401" w:hRule="exact"/>
        </w:trPr>
        <w:tc>
          <w:tcPr>
            <w:tcW w:w="42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变更后的项目可行性发生重大变化的情况说明</w:t>
            </w:r>
          </w:p>
        </w:tc>
        <w:tc>
          <w:tcPr>
            <w:tcW w:w="53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after="0" w:line="338"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7"/>
        <w:spacing w:line="240" w:lineRule="auto"/>
        <w:ind w:left="140"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before="44"/>
        <w:ind w:left="0" w:right="107" w:firstLine="0"/>
        <w:jc w:val="right"/>
        <w:rPr>
          <w:rFonts w:ascii="宋体" w:hAnsi="宋体" w:cs="宋体" w:eastAsia="宋体" w:hint="default"/>
          <w:sz w:val="18"/>
          <w:szCs w:val="18"/>
        </w:rPr>
      </w:pPr>
      <w:r>
        <w:rPr/>
        <w:pict>
          <v:shape style="position:absolute;margin-left:71.760002pt;margin-top:-207.998291pt;width:700.2pt;height:424.2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6"/>
                    <w:gridCol w:w="991"/>
                    <w:gridCol w:w="569"/>
                    <w:gridCol w:w="850"/>
                    <w:gridCol w:w="1133"/>
                    <w:gridCol w:w="994"/>
                    <w:gridCol w:w="850"/>
                    <w:gridCol w:w="1418"/>
                    <w:gridCol w:w="567"/>
                    <w:gridCol w:w="1133"/>
                    <w:gridCol w:w="569"/>
                    <w:gridCol w:w="991"/>
                    <w:gridCol w:w="569"/>
                    <w:gridCol w:w="2220"/>
                  </w:tblGrid>
                  <w:tr>
                    <w:trPr>
                      <w:trHeight w:val="227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被出售股权</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89" w:right="98" w:hanging="92"/>
                          <w:jc w:val="left"/>
                          <w:rPr>
                            <w:rFonts w:ascii="宋体" w:hAnsi="宋体" w:cs="宋体" w:eastAsia="宋体" w:hint="default"/>
                            <w:sz w:val="18"/>
                            <w:szCs w:val="18"/>
                          </w:rPr>
                        </w:pPr>
                        <w:r>
                          <w:rPr>
                            <w:rFonts w:ascii="宋体" w:hAnsi="宋体" w:cs="宋体" w:eastAsia="宋体" w:hint="default"/>
                            <w:sz w:val="18"/>
                            <w:szCs w:val="18"/>
                          </w:rPr>
                          <w:t>出售 日</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57"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5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20" w:firstLine="88"/>
                          <w:jc w:val="both"/>
                          <w:rPr>
                            <w:rFonts w:ascii="宋体" w:hAnsi="宋体" w:cs="宋体" w:eastAsia="宋体" w:hint="default"/>
                            <w:sz w:val="18"/>
                            <w:szCs w:val="18"/>
                          </w:rPr>
                        </w:pPr>
                        <w:r>
                          <w:rPr>
                            <w:rFonts w:ascii="宋体" w:hAnsi="宋体" w:cs="宋体" w:eastAsia="宋体" w:hint="default"/>
                            <w:sz w:val="18"/>
                            <w:szCs w:val="18"/>
                          </w:rPr>
                          <w:t>本期初起至 出售日该股 权为上市公 司贡献的净 利润（万元）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0" w:right="41" w:hanging="180"/>
                          <w:jc w:val="left"/>
                          <w:rPr>
                            <w:rFonts w:ascii="宋体" w:hAnsi="宋体" w:cs="宋体" w:eastAsia="宋体" w:hint="default"/>
                            <w:sz w:val="18"/>
                            <w:szCs w:val="18"/>
                          </w:rPr>
                        </w:pPr>
                        <w:r>
                          <w:rPr>
                            <w:rFonts w:ascii="宋体" w:hAnsi="宋体" w:cs="宋体" w:eastAsia="宋体" w:hint="default"/>
                            <w:sz w:val="18"/>
                            <w:szCs w:val="18"/>
                          </w:rPr>
                          <w:t>出售对公司 的影响</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7" w:right="60"/>
                          <w:jc w:val="both"/>
                          <w:rPr>
                            <w:rFonts w:ascii="宋体" w:hAnsi="宋体" w:cs="宋体" w:eastAsia="宋体" w:hint="default"/>
                            <w:sz w:val="18"/>
                            <w:szCs w:val="18"/>
                          </w:rPr>
                        </w:pPr>
                        <w:r>
                          <w:rPr>
                            <w:rFonts w:ascii="宋体" w:hAnsi="宋体" w:cs="宋体" w:eastAsia="宋体" w:hint="default"/>
                            <w:sz w:val="18"/>
                            <w:szCs w:val="18"/>
                          </w:rPr>
                          <w:t>股权出售 为上市公 司贡献的 净利润占 净利润总 额的比例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14" w:right="72" w:hanging="540"/>
                          <w:jc w:val="left"/>
                          <w:rPr>
                            <w:rFonts w:ascii="宋体" w:hAnsi="宋体" w:cs="宋体" w:eastAsia="宋体" w:hint="default"/>
                            <w:sz w:val="18"/>
                            <w:szCs w:val="18"/>
                          </w:rPr>
                        </w:pPr>
                        <w:r>
                          <w:rPr>
                            <w:rFonts w:ascii="宋体" w:hAnsi="宋体" w:cs="宋体" w:eastAsia="宋体" w:hint="default"/>
                            <w:sz w:val="18"/>
                            <w:szCs w:val="18"/>
                          </w:rPr>
                          <w:t>股权出售定价原 则</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6" w:right="98"/>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10" w:right="110"/>
                          <w:jc w:val="left"/>
                          <w:rPr>
                            <w:rFonts w:ascii="宋体" w:hAnsi="宋体" w:cs="宋体" w:eastAsia="宋体" w:hint="default"/>
                            <w:sz w:val="18"/>
                            <w:szCs w:val="18"/>
                          </w:rPr>
                        </w:pPr>
                        <w:r>
                          <w:rPr>
                            <w:rFonts w:ascii="宋体" w:hAnsi="宋体" w:cs="宋体" w:eastAsia="宋体" w:hint="default"/>
                            <w:sz w:val="18"/>
                            <w:szCs w:val="18"/>
                          </w:rPr>
                          <w:t>与交易对方 的关联关系</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8" w:right="98"/>
                          <w:jc w:val="both"/>
                          <w:rPr>
                            <w:rFonts w:ascii="宋体" w:hAnsi="宋体" w:cs="宋体" w:eastAsia="宋体" w:hint="default"/>
                            <w:sz w:val="18"/>
                            <w:szCs w:val="18"/>
                          </w:rPr>
                        </w:pPr>
                        <w:r>
                          <w:rPr>
                            <w:rFonts w:ascii="宋体" w:hAnsi="宋体" w:cs="宋体" w:eastAsia="宋体" w:hint="default"/>
                            <w:sz w:val="18"/>
                            <w:szCs w:val="18"/>
                          </w:rPr>
                          <w:t>所涉 及的 股权 是否 已全 部过 户</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 w:right="41"/>
                          <w:jc w:val="center"/>
                          <w:rPr>
                            <w:rFonts w:ascii="宋体" w:hAnsi="宋体" w:cs="宋体" w:eastAsia="宋体" w:hint="default"/>
                            <w:sz w:val="18"/>
                            <w:szCs w:val="18"/>
                          </w:rPr>
                        </w:pPr>
                        <w:r>
                          <w:rPr>
                            <w:rFonts w:ascii="宋体" w:hAnsi="宋体" w:cs="宋体" w:eastAsia="宋体" w:hint="default"/>
                            <w:sz w:val="18"/>
                            <w:szCs w:val="18"/>
                          </w:rPr>
                          <w:t>是否按计划 如期实施， 如未按计划 实施，应当 说明原因及 公司已采取 的措施</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8" w:right="99"/>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90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62" w:lineRule="auto"/>
                          <w:ind w:left="23" w:right="59"/>
                          <w:jc w:val="both"/>
                          <w:rPr>
                            <w:rFonts w:ascii="Times New Roman" w:hAnsi="Times New Roman" w:cs="Times New Roman" w:eastAsia="Times New Roman" w:hint="default"/>
                            <w:sz w:val="18"/>
                            <w:szCs w:val="18"/>
                          </w:rPr>
                        </w:pPr>
                        <w:r>
                          <w:rPr>
                            <w:rFonts w:ascii="Times New Roman"/>
                            <w:sz w:val="18"/>
                          </w:rPr>
                          <w:t>ALIBABA</w:t>
                        </w:r>
                        <w:r>
                          <w:rPr>
                            <w:rFonts w:ascii="Times New Roman"/>
                            <w:spacing w:val="-14"/>
                            <w:sz w:val="18"/>
                          </w:rPr>
                          <w:t> </w:t>
                        </w:r>
                        <w:r>
                          <w:rPr>
                            <w:rFonts w:ascii="Times New Roman"/>
                            <w:sz w:val="18"/>
                          </w:rPr>
                          <w:t>SJ</w:t>
                        </w:r>
                        <w:r>
                          <w:rPr>
                            <w:rFonts w:ascii="Times New Roman"/>
                            <w:w w:val="99"/>
                            <w:sz w:val="18"/>
                          </w:rPr>
                          <w:t> </w:t>
                        </w:r>
                        <w:r>
                          <w:rPr>
                            <w:rFonts w:ascii="Times New Roman"/>
                            <w:sz w:val="18"/>
                          </w:rPr>
                          <w:t>INVESTMEN</w:t>
                        </w:r>
                        <w:r>
                          <w:rPr>
                            <w:rFonts w:ascii="Times New Roman"/>
                            <w:w w:val="99"/>
                            <w:sz w:val="18"/>
                          </w:rPr>
                          <w:t> </w:t>
                        </w:r>
                        <w:r>
                          <w:rPr>
                            <w:rFonts w:ascii="Times New Roman"/>
                            <w:sz w:val="18"/>
                          </w:rPr>
                          <w:t>T</w:t>
                        </w:r>
                        <w:r>
                          <w:rPr>
                            <w:rFonts w:ascii="Times New Roman"/>
                            <w:spacing w:val="-9"/>
                            <w:sz w:val="18"/>
                          </w:rPr>
                          <w:t> </w:t>
                        </w:r>
                        <w:r>
                          <w:rPr>
                            <w:rFonts w:ascii="Times New Roman"/>
                            <w:sz w:val="18"/>
                          </w:rPr>
                          <w:t>LIMITED</w:t>
                        </w:r>
                      </w:p>
                      <w:p>
                        <w:pPr>
                          <w:pStyle w:val="TableParagraph"/>
                          <w:spacing w:line="210"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阿里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SJ</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投资</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310" w:lineRule="atLeast"/>
                          <w:ind w:left="21"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Shiji</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Retail</w:t>
                        </w:r>
                        <w:r>
                          <w:rPr>
                            <w:rFonts w:ascii="Times New Roman" w:hAnsi="Times New Roman" w:cs="Times New Roman" w:eastAsia="Times New Roman" w:hint="default"/>
                            <w:sz w:val="18"/>
                            <w:szCs w:val="18"/>
                          </w:rPr>
                          <w:t> Information Technology Co.</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4"/>
                            <w:sz w:val="18"/>
                            <w:szCs w:val="18"/>
                          </w:rPr>
                          <w:t>Ltd.</w:t>
                        </w:r>
                        <w:r>
                          <w:rPr>
                            <w:rFonts w:ascii="宋体" w:hAnsi="宋体" w:cs="宋体" w:eastAsia="宋体" w:hint="default"/>
                            <w:spacing w:val="-4"/>
                            <w:sz w:val="18"/>
                            <w:szCs w:val="18"/>
                          </w:rPr>
                          <w:t>（以</w:t>
                        </w:r>
                        <w:r>
                          <w:rPr>
                            <w:rFonts w:ascii="宋体" w:hAnsi="宋体" w:cs="宋体" w:eastAsia="宋体" w:hint="default"/>
                            <w:sz w:val="18"/>
                            <w:szCs w:val="18"/>
                          </w:rPr>
                          <w:t>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石 基零售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w:t>
                        </w:r>
                        <w:r>
                          <w:rPr>
                            <w:rFonts w:ascii="宋体" w:hAnsi="宋体" w:cs="宋体" w:eastAsia="宋体" w:hint="default"/>
                            <w:sz w:val="18"/>
                            <w:szCs w:val="18"/>
                          </w:rPr>
                          <w:t>的股权</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305,774.7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3"/>
                          <w:jc w:val="right"/>
                          <w:rPr>
                            <w:rFonts w:ascii="Times New Roman" w:hAnsi="Times New Roman" w:cs="Times New Roman" w:eastAsia="Times New Roman" w:hint="default"/>
                            <w:sz w:val="18"/>
                            <w:szCs w:val="18"/>
                          </w:rPr>
                        </w:pPr>
                        <w:r>
                          <w:rPr>
                            <w:rFonts w:ascii="Times New Roman"/>
                            <w:spacing w:val="-1"/>
                            <w:sz w:val="18"/>
                          </w:rPr>
                          <w:t>-670.49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3" w:right="19"/>
                          <w:jc w:val="both"/>
                          <w:rPr>
                            <w:rFonts w:ascii="宋体" w:hAnsi="宋体" w:cs="宋体" w:eastAsia="宋体" w:hint="default"/>
                            <w:sz w:val="18"/>
                            <w:szCs w:val="18"/>
                          </w:rPr>
                        </w:pPr>
                        <w:r>
                          <w:rPr>
                            <w:rFonts w:ascii="宋体" w:hAnsi="宋体" w:cs="宋体" w:eastAsia="宋体" w:hint="default"/>
                            <w:sz w:val="18"/>
                            <w:szCs w:val="18"/>
                          </w:rPr>
                          <w:t>本报告期增 加公司合并 报表总资产 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4.86 </w:t>
                        </w:r>
                        <w:r>
                          <w:rPr>
                            <w:rFonts w:ascii="宋体" w:hAnsi="宋体" w:cs="宋体" w:eastAsia="宋体" w:hint="default"/>
                            <w:sz w:val="18"/>
                            <w:szCs w:val="18"/>
                          </w:rPr>
                          <w:t>亿美金，增 加净资产不 超过</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4.86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 美金。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本次估值采用收 益法对石基信息 拟转让股权所涉 及的石基零售的 股东全部权益在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 的市场价值进行 </w:t>
                        </w:r>
                        <w:r>
                          <w:rPr>
                            <w:rFonts w:ascii="宋体" w:hAnsi="宋体" w:cs="宋体" w:eastAsia="宋体" w:hint="default"/>
                            <w:spacing w:val="-10"/>
                            <w:sz w:val="18"/>
                            <w:szCs w:val="18"/>
                          </w:rPr>
                          <w:t>估值，最终定价由</w:t>
                        </w:r>
                        <w:r>
                          <w:rPr>
                            <w:rFonts w:ascii="宋体" w:hAnsi="宋体" w:cs="宋体" w:eastAsia="宋体" w:hint="default"/>
                            <w:sz w:val="18"/>
                            <w:szCs w:val="18"/>
                          </w:rPr>
                          <w:t> 交易双方确定。</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9" w:lineRule="auto"/>
                          <w:ind w:left="21" w:right="19"/>
                          <w:jc w:val="left"/>
                          <w:rPr>
                            <w:rFonts w:ascii="宋体" w:hAnsi="宋体" w:cs="宋体" w:eastAsia="宋体" w:hint="default"/>
                            <w:sz w:val="18"/>
                            <w:szCs w:val="18"/>
                          </w:rPr>
                        </w:pPr>
                        <w:r>
                          <w:rPr>
                            <w:rFonts w:ascii="宋体" w:hAnsi="宋体" w:cs="宋体" w:eastAsia="宋体" w:hint="default"/>
                            <w:sz w:val="18"/>
                            <w:szCs w:val="18"/>
                          </w:rPr>
                          <w:t>与公司持股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淘宝（中国） </w:t>
                        </w:r>
                        <w:r>
                          <w:rPr>
                            <w:rFonts w:ascii="Times New Roman" w:hAnsi="Times New Roman" w:cs="Times New Roman" w:eastAsia="Times New Roman" w:hint="default"/>
                            <w:sz w:val="18"/>
                            <w:szCs w:val="18"/>
                          </w:rPr>
                          <w:t>"</w:t>
                        </w:r>
                        <w:r>
                          <w:rPr>
                            <w:rFonts w:ascii="宋体" w:hAnsi="宋体" w:cs="宋体" w:eastAsia="宋体" w:hint="default"/>
                            <w:sz w:val="18"/>
                            <w:szCs w:val="18"/>
                          </w:rPr>
                          <w:t>受同一控制 的企业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31"/>
                          <w:jc w:val="left"/>
                          <w:rPr>
                            <w:rFonts w:ascii="宋体" w:hAnsi="宋体" w:cs="宋体" w:eastAsia="宋体" w:hint="default"/>
                            <w:sz w:val="18"/>
                            <w:szCs w:val="18"/>
                          </w:rPr>
                        </w:pPr>
                        <w:r>
                          <w:rPr>
                            <w:rFonts w:ascii="宋体" w:hAnsi="宋体" w:cs="宋体" w:eastAsia="宋体" w:hint="default"/>
                            <w:sz w:val="18"/>
                            <w:szCs w:val="18"/>
                          </w:rPr>
                          <w:t>《关于向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ALIBABA</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SJ</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INVESTMENT LIMITED</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出</w:t>
                        </w:r>
                      </w:p>
                      <w:p>
                        <w:pPr>
                          <w:pStyle w:val="TableParagraph"/>
                          <w:spacing w:line="319" w:lineRule="auto" w:before="13"/>
                          <w:ind w:left="21"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售全资子公司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Shiji</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Retail</w:t>
                        </w:r>
                        <w:r>
                          <w:rPr>
                            <w:rFonts w:ascii="Times New Roman" w:hAnsi="Times New Roman" w:cs="Times New Roman" w:eastAsia="Times New Roman" w:hint="default"/>
                            <w:sz w:val="18"/>
                            <w:szCs w:val="18"/>
                          </w:rPr>
                          <w:t> Information Technology</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Co.</w:t>
                        </w:r>
                        <w:r>
                          <w:rPr>
                            <w:rFonts w:ascii="Times New Roman" w:hAnsi="Times New Roman" w:cs="Times New Roman" w:eastAsia="Times New Roman" w:hint="default"/>
                            <w:sz w:val="18"/>
                            <w:szCs w:val="18"/>
                          </w:rPr>
                          <w:t> Ltd.38%</w:t>
                        </w:r>
                        <w:r>
                          <w:rPr>
                            <w:rFonts w:ascii="宋体" w:hAnsi="宋体" w:cs="宋体" w:eastAsia="宋体" w:hint="default"/>
                            <w:sz w:val="18"/>
                            <w:szCs w:val="18"/>
                          </w:rPr>
                          <w:t>股权暨关联交易的 </w:t>
                        </w:r>
                        <w:r>
                          <w:rPr>
                            <w:rFonts w:ascii="宋体" w:hAnsi="宋体" w:cs="宋体" w:eastAsia="宋体" w:hint="default"/>
                            <w:spacing w:val="-8"/>
                            <w:sz w:val="18"/>
                            <w:szCs w:val="18"/>
                          </w:rPr>
                          <w:t>公告》（</w:t>
                        </w:r>
                        <w:r>
                          <w:rPr>
                            <w:rFonts w:ascii="Times New Roman" w:hAnsi="Times New Roman" w:cs="Times New Roman" w:eastAsia="Times New Roman" w:hint="default"/>
                            <w:spacing w:val="-8"/>
                            <w:sz w:val="18"/>
                            <w:szCs w:val="18"/>
                          </w:rPr>
                          <w:t>2018-04</w:t>
                        </w:r>
                        <w:r>
                          <w:rPr>
                            <w:rFonts w:ascii="宋体" w:hAnsi="宋体" w:cs="宋体" w:eastAsia="宋体" w:hint="default"/>
                            <w:spacing w:val="-8"/>
                            <w:sz w:val="18"/>
                            <w:szCs w:val="18"/>
                          </w:rPr>
                          <w:t>）详见</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2018</w:t>
                        </w:r>
                      </w:p>
                      <w:p>
                        <w:pPr>
                          <w:pStyle w:val="TableParagraph"/>
                          <w:spacing w:line="246" w:lineRule="exact"/>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的</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《证券时报》及巨潮资讯网</w:t>
                        </w:r>
                      </w:p>
                      <w:p>
                        <w:pPr>
                          <w:pStyle w:val="TableParagraph"/>
                          <w:spacing w:line="240" w:lineRule="auto" w:before="76"/>
                          <w:ind w:left="21" w:right="0"/>
                          <w:jc w:val="left"/>
                          <w:rPr>
                            <w:rFonts w:ascii="宋体" w:hAnsi="宋体" w:cs="宋体" w:eastAsia="宋体" w:hint="default"/>
                            <w:sz w:val="18"/>
                            <w:szCs w:val="18"/>
                          </w:rPr>
                        </w:pP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96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2"/>
                          <w:jc w:val="left"/>
                          <w:rPr>
                            <w:rFonts w:ascii="宋体" w:hAnsi="宋体" w:cs="宋体" w:eastAsia="宋体" w:hint="default"/>
                            <w:sz w:val="18"/>
                            <w:szCs w:val="18"/>
                          </w:rPr>
                        </w:pPr>
                        <w:r>
                          <w:rPr>
                            <w:rFonts w:ascii="宋体" w:hAnsi="宋体" w:cs="宋体" w:eastAsia="宋体" w:hint="default"/>
                            <w:sz w:val="18"/>
                            <w:szCs w:val="18"/>
                          </w:rPr>
                          <w:t>深圳盒子信 息科技有限 公司（以下简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深圳盒子 信息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迅付信息科 技有限公司</w:t>
                        </w:r>
                      </w:p>
                      <w:p>
                        <w:pPr>
                          <w:pStyle w:val="TableParagraph"/>
                          <w:spacing w:line="309" w:lineRule="auto" w:before="19"/>
                          <w:ind w:left="21" w:right="59"/>
                          <w:jc w:val="left"/>
                          <w:rPr>
                            <w:rFonts w:ascii="宋体" w:hAnsi="宋体" w:cs="宋体" w:eastAsia="宋体" w:hint="default"/>
                            <w:sz w:val="18"/>
                            <w:szCs w:val="18"/>
                          </w:rPr>
                        </w:pPr>
                        <w:r>
                          <w:rPr>
                            <w:rFonts w:ascii="宋体" w:hAnsi="宋体" w:cs="宋体" w:eastAsia="宋体" w:hint="default"/>
                            <w:sz w:val="18"/>
                            <w:szCs w:val="18"/>
                          </w:rPr>
                          <w:t>（以下简称 </w:t>
                        </w:r>
                        <w:r>
                          <w:rPr>
                            <w:rFonts w:ascii="Times New Roman" w:hAnsi="Times New Roman" w:cs="Times New Roman" w:eastAsia="Times New Roman" w:hint="default"/>
                            <w:sz w:val="18"/>
                            <w:szCs w:val="18"/>
                          </w:rPr>
                          <w:t>"</w:t>
                        </w:r>
                        <w:r>
                          <w:rPr>
                            <w:rFonts w:ascii="宋体" w:hAnsi="宋体" w:cs="宋体" w:eastAsia="宋体" w:hint="default"/>
                            <w:sz w:val="18"/>
                            <w:szCs w:val="18"/>
                          </w:rPr>
                          <w:t>迅付信息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22.5%</w:t>
                        </w:r>
                        <w:r>
                          <w:rPr>
                            <w:rFonts w:ascii="宋体" w:hAnsi="宋体" w:cs="宋体" w:eastAsia="宋体" w:hint="default"/>
                            <w:sz w:val="18"/>
                            <w:szCs w:val="18"/>
                          </w:rPr>
                          <w:t>股</w:t>
                        </w:r>
                      </w:p>
                      <w:p>
                        <w:pPr>
                          <w:pStyle w:val="TableParagraph"/>
                          <w:spacing w:line="240" w:lineRule="auto" w:before="4"/>
                          <w:ind w:left="21" w:right="0"/>
                          <w:jc w:val="left"/>
                          <w:rPr>
                            <w:rFonts w:ascii="宋体" w:hAnsi="宋体" w:cs="宋体" w:eastAsia="宋体" w:hint="default"/>
                            <w:sz w:val="9"/>
                            <w:szCs w:val="9"/>
                          </w:rPr>
                        </w:pPr>
                        <w:r>
                          <w:rPr>
                            <w:rFonts w:ascii="宋体" w:hAnsi="宋体" w:cs="宋体" w:eastAsia="宋体" w:hint="default"/>
                            <w:position w:val="-8"/>
                            <w:sz w:val="18"/>
                            <w:szCs w:val="18"/>
                          </w:rPr>
                          <w:t>权</w:t>
                        </w:r>
                        <w:r>
                          <w:rPr>
                            <w:rFonts w:ascii="宋体" w:hAnsi="宋体" w:cs="宋体" w:eastAsia="宋体" w:hint="default"/>
                            <w:sz w:val="9"/>
                            <w:szCs w:val="9"/>
                          </w:rPr>
                          <w:t>注</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73"/>
                          <w:jc w:val="left"/>
                          <w:rPr>
                            <w:rFonts w:ascii="宋体" w:hAnsi="宋体" w:cs="宋体" w:eastAsia="宋体" w:hint="default"/>
                            <w:sz w:val="18"/>
                            <w:szCs w:val="18"/>
                          </w:rPr>
                        </w:pPr>
                        <w:r>
                          <w:rPr>
                            <w:rFonts w:ascii="宋体" w:hAnsi="宋体" w:cs="宋体" w:eastAsia="宋体" w:hint="default"/>
                            <w:sz w:val="18"/>
                            <w:szCs w:val="18"/>
                          </w:rPr>
                          <w:t>不适 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2"/>
                          <w:jc w:val="righ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13"/>
                            <w:sz w:val="18"/>
                            <w:szCs w:val="18"/>
                          </w:rPr>
                          <w:t>本次交易定价以</w:t>
                        </w:r>
                        <w:r>
                          <w:rPr>
                            <w:rFonts w:ascii="宋体" w:hAnsi="宋体" w:cs="宋体" w:eastAsia="宋体" w:hint="default"/>
                            <w:spacing w:val="-86"/>
                            <w:sz w:val="18"/>
                            <w:szCs w:val="18"/>
                          </w:rPr>
                          <w:t> </w:t>
                        </w:r>
                        <w:r>
                          <w:rPr>
                            <w:rFonts w:ascii="宋体" w:hAnsi="宋体" w:cs="宋体" w:eastAsia="宋体" w:hint="default"/>
                            <w:spacing w:val="13"/>
                            <w:sz w:val="18"/>
                            <w:szCs w:val="18"/>
                          </w:rPr>
                          <w:t>标的公司财务数</w:t>
                        </w:r>
                        <w:r>
                          <w:rPr>
                            <w:rFonts w:ascii="宋体" w:hAnsi="宋体" w:cs="宋体" w:eastAsia="宋体" w:hint="default"/>
                            <w:spacing w:val="-86"/>
                            <w:sz w:val="18"/>
                            <w:szCs w:val="18"/>
                          </w:rPr>
                          <w:t> </w:t>
                        </w:r>
                        <w:r>
                          <w:rPr>
                            <w:rFonts w:ascii="宋体" w:hAnsi="宋体" w:cs="宋体" w:eastAsia="宋体" w:hint="default"/>
                            <w:spacing w:val="-10"/>
                            <w:sz w:val="18"/>
                            <w:szCs w:val="18"/>
                          </w:rPr>
                          <w:t>据为基础，以交易</w:t>
                        </w:r>
                        <w:r>
                          <w:rPr>
                            <w:rFonts w:ascii="宋体" w:hAnsi="宋体" w:cs="宋体" w:eastAsia="宋体" w:hint="default"/>
                            <w:sz w:val="18"/>
                            <w:szCs w:val="18"/>
                          </w:rPr>
                          <w:t> </w:t>
                        </w:r>
                        <w:r>
                          <w:rPr>
                            <w:rFonts w:ascii="宋体" w:hAnsi="宋体" w:cs="宋体" w:eastAsia="宋体" w:hint="default"/>
                            <w:spacing w:val="13"/>
                            <w:sz w:val="18"/>
                            <w:szCs w:val="18"/>
                          </w:rPr>
                          <w:t>各方共同确认的</w:t>
                        </w:r>
                        <w:r>
                          <w:rPr>
                            <w:rFonts w:ascii="宋体" w:hAnsi="宋体" w:cs="宋体" w:eastAsia="宋体" w:hint="default"/>
                            <w:spacing w:val="-86"/>
                            <w:sz w:val="18"/>
                            <w:szCs w:val="18"/>
                          </w:rPr>
                          <w:t> </w:t>
                        </w:r>
                        <w:r>
                          <w:rPr>
                            <w:rFonts w:ascii="宋体" w:hAnsi="宋体" w:cs="宋体" w:eastAsia="宋体" w:hint="default"/>
                            <w:spacing w:val="13"/>
                            <w:sz w:val="18"/>
                            <w:szCs w:val="18"/>
                          </w:rPr>
                          <w:t>估值方法最终协</w:t>
                        </w:r>
                        <w:r>
                          <w:rPr>
                            <w:rFonts w:ascii="宋体" w:hAnsi="宋体" w:cs="宋体" w:eastAsia="宋体" w:hint="default"/>
                            <w:spacing w:val="-86"/>
                            <w:sz w:val="18"/>
                            <w:szCs w:val="18"/>
                          </w:rPr>
                          <w:t> </w:t>
                        </w:r>
                        <w:r>
                          <w:rPr>
                            <w:rFonts w:ascii="宋体" w:hAnsi="宋体" w:cs="宋体" w:eastAsia="宋体" w:hint="default"/>
                            <w:sz w:val="18"/>
                            <w:szCs w:val="18"/>
                          </w:rPr>
                          <w:t>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9"/>
                          <w:jc w:val="left"/>
                          <w:rPr>
                            <w:rFonts w:ascii="宋体" w:hAnsi="宋体" w:cs="宋体" w:eastAsia="宋体" w:hint="default"/>
                            <w:sz w:val="18"/>
                            <w:szCs w:val="18"/>
                          </w:rPr>
                        </w:pPr>
                        <w:r>
                          <w:rPr>
                            <w:rFonts w:ascii="宋体" w:hAnsi="宋体" w:cs="宋体" w:eastAsia="宋体" w:hint="default"/>
                            <w:sz w:val="18"/>
                            <w:szCs w:val="18"/>
                          </w:rPr>
                          <w:t>《关于全资子公司出售迅付 信息股权及相关事项的公 </w:t>
                        </w:r>
                        <w:r>
                          <w:rPr>
                            <w:rFonts w:ascii="宋体" w:hAnsi="宋体" w:cs="宋体" w:eastAsia="宋体" w:hint="default"/>
                            <w:spacing w:val="-12"/>
                            <w:sz w:val="18"/>
                            <w:szCs w:val="18"/>
                          </w:rPr>
                          <w:t>告》（</w:t>
                        </w:r>
                        <w:r>
                          <w:rPr>
                            <w:rFonts w:ascii="Times New Roman" w:hAnsi="Times New Roman" w:cs="Times New Roman" w:eastAsia="Times New Roman" w:hint="default"/>
                            <w:spacing w:val="-12"/>
                            <w:sz w:val="18"/>
                            <w:szCs w:val="18"/>
                          </w:rPr>
                          <w:t>2018-34</w:t>
                        </w:r>
                        <w:r>
                          <w:rPr>
                            <w:rFonts w:ascii="宋体" w:hAnsi="宋体" w:cs="宋体" w:eastAsia="宋体" w:hint="default"/>
                            <w:spacing w:val="-12"/>
                            <w:sz w:val="18"/>
                            <w:szCs w:val="18"/>
                          </w:rPr>
                          <w:t>）详见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8"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1"/>
                            <w:sz w:val="18"/>
                            <w:szCs w:val="18"/>
                          </w:rPr>
                          <w:t>的</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《证券时报》及巨潮资讯网</w:t>
                        </w:r>
                      </w:p>
                      <w:p>
                        <w:pPr>
                          <w:pStyle w:val="TableParagraph"/>
                          <w:spacing w:line="240" w:lineRule="auto" w:before="76"/>
                          <w:ind w:left="21" w:right="0"/>
                          <w:jc w:val="left"/>
                          <w:rPr>
                            <w:rFonts w:ascii="宋体" w:hAnsi="宋体" w:cs="宋体" w:eastAsia="宋体" w:hint="default"/>
                            <w:sz w:val="18"/>
                            <w:szCs w:val="18"/>
                          </w:rPr>
                        </w:pP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34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both"/>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45"/>
                            <w:sz w:val="18"/>
                            <w:szCs w:val="18"/>
                          </w:rPr>
                          <w:t> </w:t>
                        </w:r>
                        <w:r>
                          <w:rPr>
                            <w:rFonts w:ascii="宋体" w:hAnsi="宋体" w:cs="宋体" w:eastAsia="宋体" w:hint="default"/>
                            <w:sz w:val="18"/>
                            <w:szCs w:val="18"/>
                          </w:rPr>
                          <w:t>圳</w:t>
                        </w:r>
                        <w:r>
                          <w:rPr>
                            <w:rFonts w:ascii="宋体" w:hAnsi="宋体" w:cs="宋体" w:eastAsia="宋体" w:hint="default"/>
                            <w:spacing w:val="-45"/>
                            <w:sz w:val="18"/>
                            <w:szCs w:val="18"/>
                          </w:rPr>
                          <w:t> </w:t>
                        </w:r>
                        <w:r>
                          <w:rPr>
                            <w:rFonts w:ascii="宋体" w:hAnsi="宋体" w:cs="宋体" w:eastAsia="宋体" w:hint="default"/>
                            <w:sz w:val="18"/>
                            <w:szCs w:val="18"/>
                          </w:rPr>
                          <w:t>盒</w:t>
                        </w:r>
                        <w:r>
                          <w:rPr>
                            <w:rFonts w:ascii="宋体" w:hAnsi="宋体" w:cs="宋体" w:eastAsia="宋体" w:hint="default"/>
                            <w:spacing w:val="-47"/>
                            <w:sz w:val="18"/>
                            <w:szCs w:val="18"/>
                          </w:rPr>
                          <w:t> </w:t>
                        </w:r>
                        <w:r>
                          <w:rPr>
                            <w:rFonts w:ascii="宋体" w:hAnsi="宋体" w:cs="宋体" w:eastAsia="宋体" w:hint="default"/>
                            <w:sz w:val="18"/>
                            <w:szCs w:val="18"/>
                          </w:rPr>
                          <w:t>子</w:t>
                        </w:r>
                        <w:r>
                          <w:rPr>
                            <w:rFonts w:ascii="宋体" w:hAnsi="宋体" w:cs="宋体" w:eastAsia="宋体" w:hint="default"/>
                            <w:spacing w:val="-45"/>
                            <w:sz w:val="18"/>
                            <w:szCs w:val="18"/>
                          </w:rPr>
                          <w:t> </w:t>
                        </w:r>
                        <w:r>
                          <w:rPr>
                            <w:rFonts w:ascii="宋体" w:hAnsi="宋体" w:cs="宋体" w:eastAsia="宋体" w:hint="default"/>
                            <w:sz w:val="18"/>
                            <w:szCs w:val="18"/>
                          </w:rPr>
                          <w:t>信</w:t>
                        </w:r>
                        <w:r>
                          <w:rPr>
                            <w:rFonts w:ascii="宋体" w:hAnsi="宋体" w:cs="宋体" w:eastAsia="宋体" w:hint="default"/>
                            <w:sz w:val="18"/>
                            <w:szCs w:val="18"/>
                          </w:rPr>
                          <w:t> 息</w:t>
                        </w:r>
                        <w:r>
                          <w:rPr>
                            <w:rFonts w:ascii="宋体" w:hAnsi="宋体" w:cs="宋体" w:eastAsia="宋体" w:hint="default"/>
                            <w:spacing w:val="-45"/>
                            <w:sz w:val="18"/>
                            <w:szCs w:val="18"/>
                          </w:rPr>
                          <w:t> </w:t>
                        </w:r>
                        <w:r>
                          <w:rPr>
                            <w:rFonts w:ascii="宋体" w:hAnsi="宋体" w:cs="宋体" w:eastAsia="宋体" w:hint="default"/>
                            <w:sz w:val="18"/>
                            <w:szCs w:val="18"/>
                          </w:rPr>
                          <w:t>科</w:t>
                        </w:r>
                        <w:r>
                          <w:rPr>
                            <w:rFonts w:ascii="宋体" w:hAnsi="宋体" w:cs="宋体" w:eastAsia="宋体" w:hint="default"/>
                            <w:spacing w:val="-45"/>
                            <w:sz w:val="18"/>
                            <w:szCs w:val="18"/>
                          </w:rPr>
                          <w:t> </w:t>
                        </w:r>
                        <w:r>
                          <w:rPr>
                            <w:rFonts w:ascii="宋体" w:hAnsi="宋体" w:cs="宋体" w:eastAsia="宋体" w:hint="default"/>
                            <w:sz w:val="18"/>
                            <w:szCs w:val="18"/>
                          </w:rPr>
                          <w:t>技</w:t>
                        </w:r>
                        <w:r>
                          <w:rPr>
                            <w:rFonts w:ascii="宋体" w:hAnsi="宋体" w:cs="宋体" w:eastAsia="宋体" w:hint="default"/>
                            <w:spacing w:val="-47"/>
                            <w:sz w:val="18"/>
                            <w:szCs w:val="18"/>
                          </w:rPr>
                          <w:t> </w:t>
                        </w:r>
                        <w:r>
                          <w:rPr>
                            <w:rFonts w:ascii="宋体" w:hAnsi="宋体" w:cs="宋体" w:eastAsia="宋体" w:hint="default"/>
                            <w:sz w:val="18"/>
                            <w:szCs w:val="18"/>
                          </w:rPr>
                          <w:t>有</w:t>
                        </w:r>
                        <w:r>
                          <w:rPr>
                            <w:rFonts w:ascii="宋体" w:hAnsi="宋体" w:cs="宋体" w:eastAsia="宋体" w:hint="default"/>
                            <w:spacing w:val="-45"/>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991"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71"/>
                          <w:ind w:left="21" w:right="-1"/>
                          <w:jc w:val="left"/>
                          <w:rPr>
                            <w:rFonts w:ascii="宋体" w:hAnsi="宋体" w:cs="宋体" w:eastAsia="宋体" w:hint="default"/>
                            <w:sz w:val="18"/>
                            <w:szCs w:val="18"/>
                          </w:rPr>
                        </w:pPr>
                        <w:r>
                          <w:rPr>
                            <w:rFonts w:ascii="宋体" w:hAnsi="宋体" w:cs="宋体" w:eastAsia="宋体" w:hint="default"/>
                            <w:spacing w:val="-11"/>
                            <w:sz w:val="18"/>
                            <w:szCs w:val="18"/>
                          </w:rPr>
                          <w:t>环迅（上海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商业保理有</w:t>
                        </w:r>
                        <w:r>
                          <w:rPr>
                            <w:rFonts w:ascii="宋体" w:hAnsi="宋体" w:cs="宋体" w:eastAsia="宋体" w:hint="default"/>
                            <w:spacing w:val="9"/>
                            <w:sz w:val="18"/>
                            <w:szCs w:val="18"/>
                          </w:rPr>
                          <w:t> 限公司（以 </w:t>
                        </w:r>
                        <w:r>
                          <w:rPr>
                            <w:rFonts w:ascii="宋体" w:hAnsi="宋体" w:cs="宋体" w:eastAsia="宋体" w:hint="default"/>
                            <w:spacing w:val="24"/>
                            <w:sz w:val="18"/>
                            <w:szCs w:val="18"/>
                          </w:rPr>
                          <w:t>下简称</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环</w:t>
                        </w:r>
                      </w:p>
                    </w:tc>
                    <w:tc>
                      <w:tcPr>
                        <w:tcW w:w="569" w:type="dxa"/>
                        <w:tcBorders>
                          <w:top w:val="single" w:sz="4" w:space="0" w:color="000000"/>
                          <w:left w:val="single" w:sz="13" w:space="0" w:color="FFFFFF"/>
                          <w:bottom w:val="single" w:sz="4" w:space="0" w:color="000000"/>
                          <w:right w:val="single" w:sz="4" w:space="0" w:color="000000"/>
                        </w:tcBorders>
                      </w:tcPr>
                      <w:p>
                        <w:pPr>
                          <w:pStyle w:val="TableParagraph"/>
                          <w:spacing w:line="206" w:lineRule="exact" w:before="71"/>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8" w:lineRule="exact"/>
                          <w:ind w:left="11"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2"/>
                          <w:ind w:left="1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1,127.42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1"/>
                          <w:jc w:val="both"/>
                          <w:rPr>
                            <w:rFonts w:ascii="宋体" w:hAnsi="宋体" w:cs="宋体" w:eastAsia="宋体" w:hint="default"/>
                            <w:sz w:val="18"/>
                            <w:szCs w:val="18"/>
                          </w:rPr>
                        </w:pPr>
                        <w:r>
                          <w:rPr>
                            <w:rFonts w:ascii="宋体" w:hAnsi="宋体" w:cs="宋体" w:eastAsia="宋体" w:hint="default"/>
                            <w:spacing w:val="9"/>
                            <w:sz w:val="18"/>
                            <w:szCs w:val="18"/>
                          </w:rPr>
                          <w:t>本报告期增 加公司投资 </w:t>
                        </w:r>
                        <w:r>
                          <w:rPr>
                            <w:rFonts w:ascii="宋体" w:hAnsi="宋体" w:cs="宋体" w:eastAsia="宋体" w:hint="default"/>
                            <w:sz w:val="18"/>
                            <w:szCs w:val="18"/>
                          </w:rPr>
                          <w:t>收益</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 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5"/>
                          <w:jc w:val="both"/>
                          <w:rPr>
                            <w:rFonts w:ascii="宋体" w:hAnsi="宋体" w:cs="宋体" w:eastAsia="宋体" w:hint="default"/>
                            <w:sz w:val="18"/>
                            <w:szCs w:val="18"/>
                          </w:rPr>
                        </w:pPr>
                        <w:r>
                          <w:rPr>
                            <w:rFonts w:ascii="宋体" w:hAnsi="宋体" w:cs="宋体" w:eastAsia="宋体" w:hint="default"/>
                            <w:spacing w:val="13"/>
                            <w:sz w:val="18"/>
                            <w:szCs w:val="18"/>
                          </w:rPr>
                          <w:t>本次交易定价以</w:t>
                        </w:r>
                        <w:r>
                          <w:rPr>
                            <w:rFonts w:ascii="宋体" w:hAnsi="宋体" w:cs="宋体" w:eastAsia="宋体" w:hint="default"/>
                            <w:spacing w:val="-86"/>
                            <w:sz w:val="18"/>
                            <w:szCs w:val="18"/>
                          </w:rPr>
                          <w:t> </w:t>
                        </w:r>
                        <w:r>
                          <w:rPr>
                            <w:rFonts w:ascii="宋体" w:hAnsi="宋体" w:cs="宋体" w:eastAsia="宋体" w:hint="default"/>
                            <w:spacing w:val="13"/>
                            <w:sz w:val="18"/>
                            <w:szCs w:val="18"/>
                          </w:rPr>
                          <w:t>标的公司财务数</w:t>
                        </w:r>
                        <w:r>
                          <w:rPr>
                            <w:rFonts w:ascii="宋体" w:hAnsi="宋体" w:cs="宋体" w:eastAsia="宋体" w:hint="default"/>
                            <w:spacing w:val="-86"/>
                            <w:sz w:val="18"/>
                            <w:szCs w:val="18"/>
                          </w:rPr>
                          <w:t> </w:t>
                        </w:r>
                        <w:r>
                          <w:rPr>
                            <w:rFonts w:ascii="宋体" w:hAnsi="宋体" w:cs="宋体" w:eastAsia="宋体" w:hint="default"/>
                            <w:spacing w:val="-10"/>
                            <w:sz w:val="18"/>
                            <w:szCs w:val="18"/>
                          </w:rPr>
                          <w:t>据为基础，以交易</w:t>
                        </w:r>
                        <w:r>
                          <w:rPr>
                            <w:rFonts w:ascii="宋体" w:hAnsi="宋体" w:cs="宋体" w:eastAsia="宋体" w:hint="default"/>
                            <w:sz w:val="18"/>
                            <w:szCs w:val="18"/>
                          </w:rPr>
                          <w:t> </w:t>
                        </w:r>
                        <w:r>
                          <w:rPr>
                            <w:rFonts w:ascii="宋体" w:hAnsi="宋体" w:cs="宋体" w:eastAsia="宋体" w:hint="default"/>
                            <w:spacing w:val="13"/>
                            <w:sz w:val="18"/>
                            <w:szCs w:val="18"/>
                          </w:rPr>
                          <w:t>各方共同确认的</w:t>
                        </w:r>
                        <w:r>
                          <w:rPr>
                            <w:rFonts w:ascii="宋体" w:hAnsi="宋体" w:cs="宋体" w:eastAsia="宋体" w:hint="default"/>
                            <w:spacing w:val="-74"/>
                            <w:sz w:val="18"/>
                            <w:szCs w:val="18"/>
                          </w:rPr>
                          <w:t> </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22"/>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61"/>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44"/>
        <w:ind w:left="0" w:right="10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509" w:lineRule="exact"/>
        <w:ind w:left="2271"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27.85pt;height:25.5pt;mso-position-horizontal-relative:char;mso-position-vertical-relative:line" coordorigin="0,0" coordsize="557,510">
            <v:group style="position:absolute;left:0;top:0;width:557;height:157" coordorigin="0,0" coordsize="557,157">
              <v:shape style="position:absolute;left:0;top:0;width:557;height:157" coordorigin="0,0" coordsize="557,157" path="m0,156l557,156,557,0,0,0,0,156xe" filled="true" fillcolor="#ffffff" stroked="false">
                <v:path arrowok="t"/>
                <v:fill type="solid"/>
              </v:shape>
            </v:group>
            <v:group style="position:absolute;left:24;top:156;width:512;height:353" coordorigin="24,156" coordsize="512,353">
              <v:shape style="position:absolute;left:24;top:156;width:512;height:353" coordorigin="24,156" coordsize="512,353" path="m24,509l535,509,535,156,24,156,24,509xe" filled="true" fillcolor="#ffffff" stroked="false">
                <v:path arrowok="t"/>
                <v:fill type="solid"/>
              </v:shape>
            </v:group>
          </v:group>
        </w:pict>
      </w:r>
      <w:r>
        <w:rPr>
          <w:rFonts w:ascii="宋体" w:hAnsi="宋体" w:cs="宋体" w:eastAsia="宋体" w:hint="default"/>
          <w:position w:val="-9"/>
          <w:sz w:val="20"/>
          <w:szCs w:val="20"/>
        </w:rPr>
      </w:r>
    </w:p>
    <w:p>
      <w:pPr>
        <w:spacing w:after="0" w:line="509" w:lineRule="exact"/>
        <w:rPr>
          <w:rFonts w:ascii="宋体" w:hAnsi="宋体" w:cs="宋体" w:eastAsia="宋体" w:hint="default"/>
          <w:sz w:val="20"/>
          <w:szCs w:val="20"/>
        </w:rPr>
        <w:sectPr>
          <w:headerReference w:type="default" r:id="rId22"/>
          <w:footerReference w:type="default" r:id="rId23"/>
          <w:pgSz w:w="16840" w:h="11910" w:orient="landscape"/>
          <w:pgMar w:header="867" w:footer="980" w:top="1060" w:bottom="1160" w:left="1300" w:right="1240"/>
          <w:pgNumType w:start="48"/>
        </w:sectPr>
      </w:pP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136"/>
        <w:gridCol w:w="991"/>
        <w:gridCol w:w="569"/>
        <w:gridCol w:w="850"/>
        <w:gridCol w:w="1133"/>
        <w:gridCol w:w="994"/>
        <w:gridCol w:w="850"/>
        <w:gridCol w:w="1418"/>
        <w:gridCol w:w="567"/>
        <w:gridCol w:w="1133"/>
        <w:gridCol w:w="569"/>
        <w:gridCol w:w="991"/>
        <w:gridCol w:w="569"/>
        <w:gridCol w:w="2220"/>
      </w:tblGrid>
      <w:tr>
        <w:trPr>
          <w:trHeight w:val="689" w:hRule="exact"/>
        </w:trPr>
        <w:tc>
          <w:tcPr>
            <w:tcW w:w="1136"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pacing w:val="24"/>
                <w:sz w:val="18"/>
                <w:szCs w:val="18"/>
              </w:rPr>
              <w:t>迅保理</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22.5%</w:t>
            </w:r>
            <w:r>
              <w:rPr>
                <w:rFonts w:ascii="宋体" w:hAnsi="宋体" w:cs="宋体" w:eastAsia="宋体" w:hint="default"/>
                <w:sz w:val="18"/>
                <w:szCs w:val="18"/>
              </w:rPr>
              <w:t>股权</w:t>
            </w:r>
          </w:p>
        </w:tc>
        <w:tc>
          <w:tcPr>
            <w:tcW w:w="569"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3" w:right="5"/>
              <w:jc w:val="left"/>
              <w:rPr>
                <w:rFonts w:ascii="宋体" w:hAnsi="宋体" w:cs="宋体" w:eastAsia="宋体" w:hint="default"/>
                <w:sz w:val="18"/>
                <w:szCs w:val="18"/>
              </w:rPr>
            </w:pPr>
            <w:r>
              <w:rPr>
                <w:rFonts w:ascii="宋体" w:hAnsi="宋体" w:cs="宋体" w:eastAsia="宋体" w:hint="default"/>
                <w:spacing w:val="13"/>
                <w:sz w:val="18"/>
                <w:szCs w:val="18"/>
              </w:rPr>
              <w:t>估值方法最终协</w:t>
            </w:r>
            <w:r>
              <w:rPr>
                <w:rFonts w:ascii="宋体" w:hAnsi="宋体" w:cs="宋体" w:eastAsia="宋体" w:hint="default"/>
                <w:spacing w:val="-86"/>
                <w:sz w:val="18"/>
                <w:szCs w:val="18"/>
              </w:rPr>
              <w:t> </w:t>
            </w:r>
            <w:r>
              <w:rPr>
                <w:rFonts w:ascii="宋体" w:hAnsi="宋体" w:cs="宋体" w:eastAsia="宋体" w:hint="default"/>
                <w:sz w:val="18"/>
                <w:szCs w:val="18"/>
              </w:rPr>
              <w:t>商。</w:t>
            </w:r>
          </w:p>
        </w:tc>
        <w:tc>
          <w:tcPr>
            <w:tcW w:w="567"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2220" w:type="dxa"/>
            <w:tcBorders>
              <w:top w:val="single" w:sz="15" w:space="0" w:color="000000"/>
              <w:left w:val="single" w:sz="4" w:space="0" w:color="000000"/>
              <w:bottom w:val="single" w:sz="4" w:space="0" w:color="000000"/>
              <w:right w:val="single" w:sz="4" w:space="0" w:color="000000"/>
            </w:tcBorders>
          </w:tcPr>
          <w:p>
            <w:pPr/>
          </w:p>
        </w:tc>
      </w:tr>
    </w:tbl>
    <w:p>
      <w:pPr>
        <w:spacing w:line="300" w:lineRule="auto" w:before="49"/>
        <w:ind w:left="120" w:right="267" w:firstLine="0"/>
        <w:jc w:val="left"/>
        <w:rPr>
          <w:rFonts w:ascii="宋体" w:hAnsi="宋体" w:cs="宋体" w:eastAsia="宋体" w:hint="default"/>
          <w:sz w:val="18"/>
          <w:szCs w:val="18"/>
        </w:rPr>
      </w:pPr>
      <w:r>
        <w:rPr>
          <w:rFonts w:ascii="宋体" w:hAnsi="宋体" w:cs="宋体" w:eastAsia="宋体" w:hint="default"/>
          <w:sz w:val="18"/>
          <w:szCs w:val="18"/>
        </w:rPr>
        <w:t>注：截至本报告期末，北海石基向深圳盒子信息出售所持迅付信息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22.5%</w:t>
      </w:r>
      <w:r>
        <w:rPr>
          <w:rFonts w:ascii="宋体" w:hAnsi="宋体" w:cs="宋体" w:eastAsia="宋体" w:hint="default"/>
          <w:sz w:val="18"/>
          <w:szCs w:val="18"/>
        </w:rPr>
        <w:t>股权事项因尚需中国人民银行审批，目前尚未完成交割手续，故出售日及出售该部分股权对公司财务数 据的影响等情况目前无法确定，具体情况公司将在上述股权交割完成后在相应定期报告中披露。</w:t>
      </w:r>
    </w:p>
    <w:p>
      <w:pPr>
        <w:spacing w:line="240" w:lineRule="auto" w:before="11"/>
        <w:rPr>
          <w:rFonts w:ascii="宋体" w:hAnsi="宋体" w:cs="宋体" w:eastAsia="宋体" w:hint="default"/>
          <w:sz w:val="21"/>
          <w:szCs w:val="21"/>
        </w:rPr>
      </w:pPr>
    </w:p>
    <w:p>
      <w:pPr>
        <w:pStyle w:val="Heading3"/>
        <w:spacing w:line="240" w:lineRule="auto"/>
        <w:ind w:left="120" w:right="267"/>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6840" w:h="11910" w:orient="landscape"/>
          <w:pgMar w:header="867" w:footer="980" w:top="1060" w:bottom="1160" w:left="1320" w:right="1280"/>
        </w:sectPr>
      </w:pPr>
    </w:p>
    <w:p>
      <w:pPr>
        <w:spacing w:before="44"/>
        <w:ind w:left="120"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20"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2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60" w:bottom="1160" w:left="1320" w:right="1280"/>
          <w:cols w:num="2" w:equalWidth="0">
            <w:col w:w="4818" w:space="8324"/>
            <w:col w:w="1098"/>
          </w:cols>
        </w:sectPr>
      </w:pPr>
    </w:p>
    <w:p>
      <w:pPr>
        <w:spacing w:line="240" w:lineRule="auto" w:before="4"/>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756"/>
        <w:gridCol w:w="1198"/>
        <w:gridCol w:w="1719"/>
        <w:gridCol w:w="1133"/>
        <w:gridCol w:w="1419"/>
        <w:gridCol w:w="1558"/>
        <w:gridCol w:w="1277"/>
        <w:gridCol w:w="1419"/>
        <w:gridCol w:w="1414"/>
      </w:tblGrid>
      <w:tr>
        <w:trPr>
          <w:trHeight w:val="401" w:hRule="exact"/>
        </w:trPr>
        <w:tc>
          <w:tcPr>
            <w:tcW w:w="2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0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酒店信息管理系统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725,374,545.27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370,519,931.45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1,332,700.67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-19,957,783.22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-20,160,194.68</w:t>
            </w:r>
          </w:p>
        </w:tc>
      </w:tr>
      <w:tr>
        <w:trPr>
          <w:trHeight w:val="40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酒店信息管理系统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119,241,822.41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-11,354,218.32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45,109,781.43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-3,971,508.26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-3,745,028.37</w:t>
            </w:r>
          </w:p>
        </w:tc>
      </w:tr>
      <w:tr>
        <w:trPr>
          <w:trHeight w:val="715"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195"/>
              <w:jc w:val="left"/>
              <w:rPr>
                <w:rFonts w:ascii="宋体" w:hAnsi="宋体" w:cs="宋体" w:eastAsia="宋体" w:hint="default"/>
                <w:sz w:val="18"/>
                <w:szCs w:val="18"/>
              </w:rPr>
            </w:pPr>
            <w:r>
              <w:rPr>
                <w:rFonts w:ascii="宋体" w:hAnsi="宋体" w:cs="宋体" w:eastAsia="宋体" w:hint="default"/>
                <w:sz w:val="18"/>
                <w:szCs w:val="18"/>
              </w:rPr>
              <w:t>酒店信息管理系统</w:t>
            </w:r>
            <w:r>
              <w:rPr>
                <w:rFonts w:ascii="Times New Roman" w:hAnsi="Times New Roman" w:cs="Times New Roman" w:eastAsia="Times New Roman" w:hint="default"/>
                <w:sz w:val="18"/>
                <w:szCs w:val="18"/>
              </w:rPr>
              <w:t>/ </w:t>
            </w:r>
            <w:r>
              <w:rPr>
                <w:rFonts w:ascii="宋体" w:hAnsi="宋体" w:cs="宋体" w:eastAsia="宋体" w:hint="default"/>
                <w:sz w:val="18"/>
                <w:szCs w:val="18"/>
              </w:rPr>
              <w:t>支付系统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3,128,850,600.44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1,529,647,306.03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480,103,168.61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356,743,567.67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347,202,506.59</w:t>
            </w:r>
          </w:p>
        </w:tc>
      </w:tr>
      <w:tr>
        <w:trPr>
          <w:trHeight w:val="40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酒店信息管理系统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227,214,925.62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132,141,813.79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105,840,922.75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17,362,343.40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16,448,556.17</w:t>
            </w:r>
          </w:p>
        </w:tc>
      </w:tr>
      <w:tr>
        <w:trPr>
          <w:trHeight w:val="40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石基昆仑软件有限公司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酒店信息管理系统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428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119,699,685.40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75,507,137.04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56,203,406.97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27,623,124.22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25,111,893.12</w:t>
            </w:r>
          </w:p>
        </w:tc>
      </w:tr>
      <w:tr>
        <w:trPr>
          <w:trHeight w:val="40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石基（香港）有限公司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投资业务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93093.35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6,192,223,467.35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4,257,492,446.83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750,856,502.74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76,367,737.31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45,047,828.55</w:t>
            </w:r>
          </w:p>
        </w:tc>
      </w:tr>
      <w:tr>
        <w:trPr>
          <w:trHeight w:val="715"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8"/>
              <w:jc w:val="left"/>
              <w:rPr>
                <w:rFonts w:ascii="Times New Roman" w:hAnsi="Times New Roman" w:cs="Times New Roman" w:eastAsia="Times New Roman" w:hint="default"/>
                <w:sz w:val="18"/>
                <w:szCs w:val="18"/>
              </w:rPr>
            </w:pPr>
            <w:r>
              <w:rPr>
                <w:rFonts w:ascii="Times New Roman"/>
                <w:sz w:val="18"/>
              </w:rPr>
              <w:t>Shiji Retail Information</w:t>
            </w:r>
            <w:r>
              <w:rPr>
                <w:rFonts w:ascii="Times New Roman"/>
                <w:spacing w:val="-20"/>
                <w:sz w:val="18"/>
              </w:rPr>
              <w:t> </w:t>
            </w:r>
            <w:r>
              <w:rPr>
                <w:rFonts w:ascii="Times New Roman"/>
                <w:sz w:val="18"/>
              </w:rPr>
              <w:t>Technology</w:t>
            </w:r>
            <w:r>
              <w:rPr>
                <w:rFonts w:ascii="Times New Roman"/>
                <w:sz w:val="18"/>
              </w:rPr>
              <w:t> Co.</w:t>
            </w:r>
            <w:r>
              <w:rPr>
                <w:rFonts w:ascii="Times New Roman"/>
                <w:spacing w:val="-1"/>
                <w:sz w:val="18"/>
              </w:rPr>
              <w:t> </w:t>
            </w:r>
            <w:r>
              <w:rPr>
                <w:rFonts w:ascii="Times New Roman"/>
                <w:sz w:val="18"/>
              </w:rPr>
              <w:t>Ltd.</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商业流通管理系统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2,025,764,552.68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1,215,016,837.14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404,575,187.55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164,296,398.32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143,231,808.76</w:t>
            </w:r>
          </w:p>
        </w:tc>
      </w:tr>
      <w:tr>
        <w:trPr>
          <w:trHeight w:val="40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餐饮信息管理系统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6,224,464.21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1,773,219.03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11,451,759.35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-115,116.50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-409,193.61</w:t>
            </w:r>
          </w:p>
        </w:tc>
      </w:tr>
      <w:tr>
        <w:trPr>
          <w:trHeight w:val="716"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中国电子器件工业有限公司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电子设备销售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19403.8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754,680,688.02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539,150,040.22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1,158,236,824.3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7,528,945.87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5,219,925.56</w:t>
            </w:r>
          </w:p>
        </w:tc>
      </w:tr>
      <w:tr>
        <w:trPr>
          <w:trHeight w:val="40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深圳市思迅软件股份有限公司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商业流通管理系统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10450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285,903,662.46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235,283,748.40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221,835,357.29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103,721,023.25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89,157,744.89</w:t>
            </w:r>
          </w:p>
        </w:tc>
      </w:tr>
      <w:tr>
        <w:trPr>
          <w:trHeight w:val="40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百望金税科技有限公司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酒店信息管理系统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16,743,339.25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14,919,342.66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7,984,509.18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4,678,119.45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4,714,942.05</w:t>
            </w:r>
          </w:p>
        </w:tc>
      </w:tr>
      <w:tr>
        <w:trPr>
          <w:trHeight w:val="40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北京航信华仪软件技术有限公司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酒店信息管理系统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970,018.78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-448,027.45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2,682,342.42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-43,003.39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-43,002.34</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60" w:left="132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756"/>
        <w:gridCol w:w="1198"/>
        <w:gridCol w:w="1719"/>
        <w:gridCol w:w="1133"/>
        <w:gridCol w:w="1419"/>
        <w:gridCol w:w="1558"/>
        <w:gridCol w:w="1277"/>
        <w:gridCol w:w="1419"/>
        <w:gridCol w:w="1414"/>
      </w:tblGrid>
      <w:tr>
        <w:trPr>
          <w:trHeight w:val="418" w:hRule="exact"/>
        </w:trPr>
        <w:tc>
          <w:tcPr>
            <w:tcW w:w="27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石基商用信息技术有限公司</w:t>
            </w:r>
          </w:p>
        </w:tc>
        <w:tc>
          <w:tcPr>
            <w:tcW w:w="11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商业流通管理系统</w:t>
            </w:r>
          </w:p>
        </w:tc>
        <w:tc>
          <w:tcPr>
            <w:tcW w:w="113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4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83,388,271.95</w:t>
            </w:r>
          </w:p>
        </w:tc>
        <w:tc>
          <w:tcPr>
            <w:tcW w:w="15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26,843,665.40</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20,136,988.15</w:t>
            </w:r>
          </w:p>
        </w:tc>
        <w:tc>
          <w:tcPr>
            <w:tcW w:w="14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6,578,709.86</w:t>
            </w:r>
          </w:p>
        </w:tc>
        <w:tc>
          <w:tcPr>
            <w:tcW w:w="141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6,353,451.82</w:t>
            </w:r>
          </w:p>
        </w:tc>
      </w:tr>
      <w:tr>
        <w:trPr>
          <w:trHeight w:val="40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敏付科技有限公司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支付系统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115,643,640.06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111,310,770.21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2,475,325.15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2,475,325.26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20" w:right="1320"/>
        </w:sectPr>
      </w:pPr>
    </w:p>
    <w:p>
      <w:pPr>
        <w:spacing w:line="240" w:lineRule="auto" w:before="9"/>
        <w:rPr>
          <w:rFonts w:ascii="Times New Roman" w:hAnsi="Times New Roman" w:cs="Times New Roman" w:eastAsia="Times New Roman" w:hint="default"/>
          <w:sz w:val="24"/>
          <w:szCs w:val="24"/>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line="338" w:lineRule="auto" w:before="117"/>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主要控股参股公司情况说明</w:t>
      </w:r>
    </w:p>
    <w:p>
      <w:pPr>
        <w:spacing w:line="290" w:lineRule="auto" w:before="23"/>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）北京中长石基软件有限公司</w:t>
      </w:r>
      <w:r>
        <w:rPr>
          <w:rFonts w:ascii="宋体" w:hAnsi="宋体" w:cs="宋体" w:eastAsia="宋体" w:hint="default"/>
          <w:b/>
          <w:bCs/>
          <w:w w:val="100"/>
          <w:sz w:val="21"/>
          <w:szCs w:val="21"/>
        </w:rPr>
        <w:t> </w:t>
      </w:r>
      <w:r>
        <w:rPr>
          <w:rFonts w:ascii="宋体" w:hAnsi="宋体" w:cs="宋体" w:eastAsia="宋体" w:hint="default"/>
          <w:sz w:val="21"/>
          <w:szCs w:val="21"/>
        </w:rPr>
        <w:t>北京中长石基软件有限公司为本公司全资子公司，成立于</w:t>
      </w:r>
      <w:r>
        <w:rPr>
          <w:rFonts w:ascii="Times New Roman" w:hAnsi="Times New Roman" w:cs="Times New Roman" w:eastAsia="Times New Roman" w:hint="default"/>
          <w:sz w:val="21"/>
          <w:szCs w:val="21"/>
        </w:rPr>
        <w:t>2008</w:t>
      </w:r>
      <w:r>
        <w:rPr>
          <w:rFonts w:ascii="宋体" w:hAnsi="宋体" w:cs="宋体" w:eastAsia="宋体" w:hint="default"/>
          <w:sz w:val="21"/>
          <w:szCs w:val="21"/>
        </w:rPr>
        <w:t>年，注册资本</w:t>
      </w:r>
      <w:r>
        <w:rPr>
          <w:rFonts w:ascii="Times New Roman" w:hAnsi="Times New Roman" w:cs="Times New Roman" w:eastAsia="Times New Roman" w:hint="default"/>
          <w:sz w:val="21"/>
          <w:szCs w:val="21"/>
        </w:rPr>
        <w:t>1,000.00</w:t>
      </w:r>
      <w:r>
        <w:rPr>
          <w:rFonts w:ascii="宋体" w:hAnsi="宋体" w:cs="宋体" w:eastAsia="宋体" w:hint="default"/>
          <w:sz w:val="21"/>
          <w:szCs w:val="21"/>
        </w:rPr>
        <w:t>万元，主要业务</w:t>
      </w:r>
    </w:p>
    <w:p>
      <w:pPr>
        <w:pStyle w:val="BodyText"/>
        <w:spacing w:line="247" w:lineRule="exact"/>
        <w:ind w:right="1133"/>
        <w:jc w:val="left"/>
      </w:pPr>
      <w:r>
        <w:rPr/>
        <w:t>为软件研发、销售和技术咨询。</w:t>
      </w:r>
    </w:p>
    <w:p>
      <w:pPr>
        <w:spacing w:line="290" w:lineRule="auto" w:before="75"/>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）上海石基信息技术有限公司</w:t>
      </w:r>
      <w:r>
        <w:rPr>
          <w:rFonts w:ascii="宋体" w:hAnsi="宋体" w:cs="宋体" w:eastAsia="宋体" w:hint="default"/>
          <w:b/>
          <w:bCs/>
          <w:w w:val="100"/>
          <w:sz w:val="21"/>
          <w:szCs w:val="21"/>
        </w:rPr>
        <w:t> </w:t>
      </w:r>
      <w:r>
        <w:rPr>
          <w:rFonts w:ascii="宋体" w:hAnsi="宋体" w:cs="宋体" w:eastAsia="宋体" w:hint="default"/>
          <w:spacing w:val="-1"/>
          <w:sz w:val="21"/>
          <w:szCs w:val="21"/>
        </w:rPr>
        <w:t>上海石基信息技术有限公司为本公司的全资子公司，注册资本</w:t>
      </w:r>
      <w:r>
        <w:rPr>
          <w:rFonts w:ascii="Times New Roman" w:hAnsi="Times New Roman" w:cs="Times New Roman" w:eastAsia="Times New Roman" w:hint="default"/>
          <w:spacing w:val="-1"/>
          <w:sz w:val="21"/>
          <w:szCs w:val="21"/>
        </w:rPr>
        <w:t>100.00</w:t>
      </w:r>
      <w:r>
        <w:rPr>
          <w:rFonts w:ascii="宋体" w:hAnsi="宋体" w:cs="宋体" w:eastAsia="宋体" w:hint="default"/>
          <w:spacing w:val="-1"/>
          <w:sz w:val="21"/>
          <w:szCs w:val="21"/>
        </w:rPr>
        <w:t>万元，主要负责本公司的技术支</w:t>
      </w:r>
    </w:p>
    <w:p>
      <w:pPr>
        <w:pStyle w:val="BodyText"/>
        <w:spacing w:line="247" w:lineRule="exact"/>
        <w:ind w:right="1133"/>
        <w:jc w:val="left"/>
      </w:pPr>
      <w:r>
        <w:rPr/>
        <w:t>持与维护业务。</w:t>
      </w:r>
    </w:p>
    <w:p>
      <w:pPr>
        <w:spacing w:line="290" w:lineRule="auto" w:before="78"/>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）北海石基信息技术有限公司</w:t>
      </w:r>
      <w:r>
        <w:rPr>
          <w:rFonts w:ascii="宋体" w:hAnsi="宋体" w:cs="宋体" w:eastAsia="宋体" w:hint="default"/>
          <w:b/>
          <w:bCs/>
          <w:w w:val="100"/>
          <w:sz w:val="21"/>
          <w:szCs w:val="21"/>
        </w:rPr>
        <w:t> </w:t>
      </w:r>
      <w:r>
        <w:rPr>
          <w:rFonts w:ascii="宋体" w:hAnsi="宋体" w:cs="宋体" w:eastAsia="宋体" w:hint="default"/>
          <w:spacing w:val="-3"/>
          <w:sz w:val="21"/>
          <w:szCs w:val="21"/>
        </w:rPr>
        <w:t>北海石基信息技术有限公司为本公司的全资子公司，成立于</w:t>
      </w:r>
      <w:r>
        <w:rPr>
          <w:rFonts w:ascii="Times New Roman" w:hAnsi="Times New Roman" w:cs="Times New Roman" w:eastAsia="Times New Roman" w:hint="default"/>
          <w:spacing w:val="-3"/>
          <w:sz w:val="21"/>
          <w:szCs w:val="21"/>
        </w:rPr>
        <w:t>2008</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月，注册资本</w:t>
      </w:r>
      <w:r>
        <w:rPr>
          <w:rFonts w:ascii="Times New Roman" w:hAnsi="Times New Roman" w:cs="Times New Roman" w:eastAsia="Times New Roman" w:hint="default"/>
          <w:spacing w:val="-3"/>
          <w:sz w:val="21"/>
          <w:szCs w:val="21"/>
        </w:rPr>
        <w:t>20,000</w:t>
      </w:r>
      <w:r>
        <w:rPr>
          <w:rFonts w:ascii="宋体" w:hAnsi="宋体" w:cs="宋体" w:eastAsia="宋体" w:hint="default"/>
          <w:spacing w:val="-3"/>
          <w:sz w:val="21"/>
          <w:szCs w:val="21"/>
        </w:rPr>
        <w:t>万元，主要业</w:t>
      </w:r>
    </w:p>
    <w:p>
      <w:pPr>
        <w:pStyle w:val="BodyText"/>
        <w:spacing w:line="247" w:lineRule="exact"/>
        <w:ind w:right="0"/>
        <w:jc w:val="left"/>
      </w:pPr>
      <w:r>
        <w:rPr/>
        <w:t>务是计算机软件开发、销售及相关的系统集成、技术服务；电子产品、网络设备、网络技术的研究开发、</w:t>
      </w:r>
    </w:p>
    <w:p>
      <w:pPr>
        <w:pStyle w:val="BodyText"/>
        <w:spacing w:line="240" w:lineRule="auto" w:before="37"/>
        <w:ind w:right="1133"/>
        <w:jc w:val="left"/>
      </w:pPr>
      <w:r>
        <w:rPr/>
        <w:t>销售及服务（以上项目不含互联网信息服务）。</w:t>
      </w:r>
    </w:p>
    <w:p>
      <w:pPr>
        <w:spacing w:line="290" w:lineRule="auto" w:before="78"/>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）杭州西软科技有限公司</w:t>
      </w:r>
      <w:r>
        <w:rPr>
          <w:rFonts w:ascii="宋体" w:hAnsi="宋体" w:cs="宋体" w:eastAsia="宋体" w:hint="default"/>
          <w:b/>
          <w:bCs/>
          <w:w w:val="100"/>
          <w:sz w:val="21"/>
          <w:szCs w:val="21"/>
        </w:rPr>
        <w:t> </w:t>
      </w:r>
      <w:r>
        <w:rPr>
          <w:rFonts w:ascii="宋体" w:hAnsi="宋体" w:cs="宋体" w:eastAsia="宋体" w:hint="default"/>
          <w:spacing w:val="-4"/>
          <w:sz w:val="21"/>
          <w:szCs w:val="21"/>
        </w:rPr>
        <w:t>杭州西软科技有限公司，成立于</w:t>
      </w:r>
      <w:r>
        <w:rPr>
          <w:rFonts w:ascii="Times New Roman" w:hAnsi="Times New Roman" w:cs="Times New Roman" w:eastAsia="Times New Roman" w:hint="default"/>
          <w:spacing w:val="-4"/>
          <w:sz w:val="21"/>
          <w:szCs w:val="21"/>
        </w:rPr>
        <w:t>2001</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20</w:t>
      </w:r>
      <w:r>
        <w:rPr>
          <w:rFonts w:ascii="宋体" w:hAnsi="宋体" w:cs="宋体" w:eastAsia="宋体" w:hint="default"/>
          <w:spacing w:val="-4"/>
          <w:sz w:val="21"/>
          <w:szCs w:val="21"/>
        </w:rPr>
        <w:t>日，注册资本为</w:t>
      </w:r>
      <w:r>
        <w:rPr>
          <w:rFonts w:ascii="Times New Roman" w:hAnsi="Times New Roman" w:cs="Times New Roman" w:eastAsia="Times New Roman" w:hint="default"/>
          <w:spacing w:val="-4"/>
          <w:sz w:val="21"/>
          <w:szCs w:val="21"/>
        </w:rPr>
        <w:t>1,970.00</w:t>
      </w:r>
      <w:r>
        <w:rPr>
          <w:rFonts w:ascii="宋体" w:hAnsi="宋体" w:cs="宋体" w:eastAsia="宋体" w:hint="default"/>
          <w:spacing w:val="-4"/>
          <w:sz w:val="21"/>
          <w:szCs w:val="21"/>
        </w:rPr>
        <w:t>万元人民币，为公司全资子公司。</w:t>
      </w:r>
    </w:p>
    <w:p>
      <w:pPr>
        <w:pStyle w:val="BodyText"/>
        <w:tabs>
          <w:tab w:pos="8909" w:val="left" w:leader="none"/>
        </w:tabs>
        <w:spacing w:line="263" w:lineRule="exact"/>
        <w:ind w:right="0"/>
        <w:jc w:val="left"/>
      </w:pPr>
      <w:r>
        <w:rPr/>
        <w:t>该公司主要从事开发销售计算机软硬件及外围设备，西软科技拥有包括</w:t>
      </w:r>
      <w:r>
        <w:rPr>
          <w:rFonts w:ascii="Times New Roman" w:hAnsi="Times New Roman" w:cs="Times New Roman" w:eastAsia="Times New Roman" w:hint="default"/>
        </w:rPr>
        <w:t>“</w:t>
      </w:r>
      <w:r>
        <w:rPr/>
        <w:t>西软</w:t>
      </w:r>
      <w:r>
        <w:rPr>
          <w:rFonts w:ascii="Times New Roman" w:hAnsi="Times New Roman" w:cs="Times New Roman" w:eastAsia="Times New Roman" w:hint="default"/>
        </w:rPr>
        <w:t>X5”</w:t>
      </w:r>
      <w:r>
        <w:rPr/>
        <w:t>、</w:t>
      </w:r>
      <w:r>
        <w:rPr>
          <w:rFonts w:ascii="Times New Roman" w:hAnsi="Times New Roman" w:cs="Times New Roman" w:eastAsia="Times New Roman" w:hint="default"/>
        </w:rPr>
        <w:t>“FOXHIS</w:t>
        <w:tab/>
      </w:r>
      <w:r>
        <w:rPr>
          <w:rFonts w:ascii="Times New Roman" w:hAnsi="Times New Roman" w:cs="Times New Roman" w:eastAsia="Times New Roman" w:hint="default"/>
        </w:rPr>
        <w:t>V</w:t>
      </w:r>
      <w:r>
        <w:rPr/>
        <w:t>系列</w:t>
      </w:r>
      <w:r>
        <w:rPr>
          <w:rFonts w:ascii="Times New Roman" w:hAnsi="Times New Roman" w:cs="Times New Roman" w:eastAsia="Times New Roman" w:hint="default"/>
        </w:rPr>
        <w:t>”</w:t>
      </w:r>
      <w:r>
        <w:rPr/>
        <w:t>、</w:t>
      </w:r>
    </w:p>
    <w:p>
      <w:pPr>
        <w:pStyle w:val="BodyText"/>
        <w:spacing w:line="240" w:lineRule="auto" w:before="21"/>
        <w:ind w:right="1133"/>
        <w:jc w:val="left"/>
      </w:pPr>
      <w:r>
        <w:rPr>
          <w:rFonts w:ascii="Times New Roman" w:hAnsi="Times New Roman" w:cs="Times New Roman" w:eastAsia="Times New Roman" w:hint="default"/>
        </w:rPr>
        <w:t>“Smart”</w:t>
      </w:r>
      <w:r>
        <w:rPr/>
        <w:t>等针对不同档次酒店用户需求的较为完整的产品序列。</w:t>
      </w:r>
    </w:p>
    <w:p>
      <w:pPr>
        <w:spacing w:line="290" w:lineRule="auto" w:before="59"/>
        <w:ind w:left="575"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）北京石基昆仑软件有限公司</w:t>
      </w:r>
      <w:r>
        <w:rPr>
          <w:rFonts w:ascii="宋体" w:hAnsi="宋体" w:cs="宋体" w:eastAsia="宋体" w:hint="default"/>
          <w:b/>
          <w:bCs/>
          <w:w w:val="100"/>
          <w:sz w:val="21"/>
          <w:szCs w:val="21"/>
        </w:rPr>
        <w:t> </w:t>
      </w:r>
      <w:r>
        <w:rPr>
          <w:rFonts w:ascii="宋体" w:hAnsi="宋体" w:cs="宋体" w:eastAsia="宋体" w:hint="default"/>
          <w:spacing w:val="-1"/>
          <w:sz w:val="21"/>
          <w:szCs w:val="21"/>
        </w:rPr>
        <w:t>北京石基昆仑软件有限公司为本公司控股子公司。成立于</w:t>
      </w:r>
      <w:r>
        <w:rPr>
          <w:rFonts w:ascii="Times New Roman" w:hAnsi="Times New Roman" w:cs="Times New Roman" w:eastAsia="Times New Roman" w:hint="default"/>
          <w:spacing w:val="-1"/>
          <w:sz w:val="21"/>
          <w:szCs w:val="21"/>
        </w:rPr>
        <w:t>2005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日，注册资本</w:t>
      </w:r>
      <w:r>
        <w:rPr>
          <w:rFonts w:ascii="Times New Roman" w:hAnsi="Times New Roman" w:cs="Times New Roman" w:eastAsia="Times New Roman" w:hint="default"/>
          <w:spacing w:val="-1"/>
          <w:sz w:val="21"/>
          <w:szCs w:val="21"/>
        </w:rPr>
        <w:t>428.00</w:t>
      </w:r>
      <w:r>
        <w:rPr>
          <w:rFonts w:ascii="宋体" w:hAnsi="宋体" w:cs="宋体" w:eastAsia="宋体" w:hint="default"/>
          <w:spacing w:val="-1"/>
          <w:sz w:val="21"/>
          <w:szCs w:val="21"/>
        </w:rPr>
        <w:t>万元。本公</w:t>
      </w:r>
    </w:p>
    <w:p>
      <w:pPr>
        <w:pStyle w:val="BodyText"/>
        <w:spacing w:line="263" w:lineRule="exact"/>
        <w:ind w:right="1133"/>
        <w:jc w:val="left"/>
      </w:pPr>
      <w:r>
        <w:rPr>
          <w:spacing w:val="-6"/>
        </w:rPr>
        <w:t>司持有石基昆仑</w:t>
      </w:r>
      <w:r>
        <w:rPr>
          <w:rFonts w:ascii="Times New Roman" w:hAnsi="Times New Roman" w:cs="Times New Roman" w:eastAsia="Times New Roman" w:hint="default"/>
          <w:spacing w:val="-6"/>
        </w:rPr>
        <w:t>82.40%</w:t>
      </w:r>
      <w:r>
        <w:rPr>
          <w:spacing w:val="-6"/>
        </w:rPr>
        <w:t>的股权。石基昆仑的主要业务开发和实施酒店</w:t>
      </w:r>
      <w:r>
        <w:rPr>
          <w:rFonts w:ascii="Times New Roman" w:hAnsi="Times New Roman" w:cs="Times New Roman" w:eastAsia="Times New Roman" w:hint="default"/>
          <w:spacing w:val="-6"/>
        </w:rPr>
        <w:t>CRM</w:t>
      </w:r>
      <w:r>
        <w:rPr>
          <w:spacing w:val="-6"/>
        </w:rPr>
        <w:t>（客户关系管理系统）、</w:t>
      </w:r>
      <w:r>
        <w:rPr>
          <w:rFonts w:ascii="Times New Roman" w:hAnsi="Times New Roman" w:cs="Times New Roman" w:eastAsia="Times New Roman" w:hint="default"/>
          <w:spacing w:val="-6"/>
        </w:rPr>
        <w:t>LPS</w:t>
      </w:r>
      <w:r>
        <w:rPr>
          <w:spacing w:val="-6"/>
        </w:rPr>
        <w:t>（会</w:t>
      </w:r>
    </w:p>
    <w:p>
      <w:pPr>
        <w:pStyle w:val="BodyText"/>
        <w:spacing w:line="256" w:lineRule="auto" w:before="21"/>
        <w:ind w:right="1133"/>
        <w:jc w:val="left"/>
      </w:pPr>
      <w:r>
        <w:rPr>
          <w:spacing w:val="-2"/>
        </w:rPr>
        <w:t>员积分和管理系统）和</w:t>
      </w:r>
      <w:r>
        <w:rPr>
          <w:rFonts w:ascii="Times New Roman" w:hAnsi="Times New Roman" w:cs="Times New Roman" w:eastAsia="Times New Roman" w:hint="default"/>
          <w:spacing w:val="-2"/>
        </w:rPr>
        <w:t>CRS</w:t>
      </w:r>
      <w:r>
        <w:rPr>
          <w:spacing w:val="-2"/>
        </w:rPr>
        <w:t>（集团酒店中央预订系统），配合石基数字酒店信息系统提供中国本地酒店集</w:t>
      </w:r>
      <w:r>
        <w:rPr>
          <w:spacing w:val="-20"/>
        </w:rPr>
        <w:t> </w:t>
      </w:r>
      <w:r>
        <w:rPr>
          <w:spacing w:val="-20"/>
        </w:rPr>
      </w:r>
      <w:r>
        <w:rPr/>
        <w:t>团化解决方案。</w:t>
      </w:r>
    </w:p>
    <w:p>
      <w:pPr>
        <w:spacing w:line="290" w:lineRule="auto" w:before="63"/>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）石基（香港）有限公司</w:t>
      </w:r>
      <w:r>
        <w:rPr>
          <w:rFonts w:ascii="宋体" w:hAnsi="宋体" w:cs="宋体" w:eastAsia="宋体" w:hint="default"/>
          <w:b/>
          <w:bCs/>
          <w:w w:val="100"/>
          <w:sz w:val="21"/>
          <w:szCs w:val="21"/>
        </w:rPr>
        <w:t> </w:t>
      </w:r>
      <w:r>
        <w:rPr>
          <w:rFonts w:ascii="宋体" w:hAnsi="宋体" w:cs="宋体" w:eastAsia="宋体" w:hint="default"/>
          <w:spacing w:val="-1"/>
          <w:sz w:val="21"/>
          <w:szCs w:val="21"/>
        </w:rPr>
        <w:t>石基（香港）有限公司为本公司的全资子公司，注册资本为</w:t>
      </w:r>
      <w:r>
        <w:rPr>
          <w:rFonts w:ascii="Times New Roman" w:hAnsi="Times New Roman" w:cs="Times New Roman" w:eastAsia="Times New Roman" w:hint="default"/>
          <w:spacing w:val="-1"/>
          <w:sz w:val="21"/>
          <w:szCs w:val="21"/>
        </w:rPr>
        <w:t>93093.35</w:t>
      </w:r>
      <w:r>
        <w:rPr>
          <w:rFonts w:ascii="宋体" w:hAnsi="宋体" w:cs="宋体" w:eastAsia="宋体" w:hint="default"/>
          <w:spacing w:val="-1"/>
          <w:sz w:val="21"/>
          <w:szCs w:val="21"/>
        </w:rPr>
        <w:t>万，</w:t>
      </w:r>
      <w:r>
        <w:rPr>
          <w:rFonts w:ascii="Times New Roman" w:hAnsi="Times New Roman" w:cs="Times New Roman" w:eastAsia="Times New Roman" w:hint="default"/>
          <w:spacing w:val="-1"/>
          <w:sz w:val="21"/>
          <w:szCs w:val="21"/>
        </w:rPr>
        <w:t>2007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17</w:t>
      </w:r>
      <w:r>
        <w:rPr>
          <w:rFonts w:ascii="宋体" w:hAnsi="宋体" w:cs="宋体" w:eastAsia="宋体" w:hint="default"/>
          <w:spacing w:val="-1"/>
          <w:sz w:val="21"/>
          <w:szCs w:val="21"/>
        </w:rPr>
        <w:t>日在中国香港</w:t>
      </w:r>
    </w:p>
    <w:p>
      <w:pPr>
        <w:pStyle w:val="BodyText"/>
        <w:spacing w:line="248" w:lineRule="exact"/>
        <w:ind w:right="1133"/>
        <w:jc w:val="left"/>
      </w:pPr>
      <w:r>
        <w:rPr/>
        <w:t>成立，主要从事酒店、餐饮及零售信息管理系统相关投资业务。</w:t>
      </w:r>
    </w:p>
    <w:p>
      <w:pPr>
        <w:pStyle w:val="BodyText"/>
        <w:spacing w:line="261" w:lineRule="auto" w:before="78"/>
        <w:ind w:right="0" w:firstLine="420"/>
        <w:jc w:val="left"/>
      </w:pPr>
      <w:r>
        <w:rPr/>
        <w:t>注：</w:t>
      </w:r>
      <w:r>
        <w:rPr>
          <w:rFonts w:ascii="Times New Roman" w:hAnsi="Times New Roman" w:cs="Times New Roman" w:eastAsia="Times New Roman" w:hint="default"/>
        </w:rPr>
        <w:t>Shiji Retail Information Technology Co.</w:t>
      </w:r>
      <w:r>
        <w:rPr>
          <w:rFonts w:ascii="Times New Roman" w:hAnsi="Times New Roman" w:cs="Times New Roman" w:eastAsia="Times New Roman" w:hint="default"/>
          <w:spacing w:val="42"/>
        </w:rPr>
        <w:t> </w:t>
      </w:r>
      <w:r>
        <w:rPr>
          <w:rFonts w:ascii="Times New Roman" w:hAnsi="Times New Roman" w:cs="Times New Roman" w:eastAsia="Times New Roman" w:hint="default"/>
        </w:rPr>
        <w:t>Ltd.</w:t>
      </w:r>
      <w:r>
        <w:rPr/>
        <w:t>（简称“石基零售”）于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日在英属开曼群</w:t>
      </w:r>
      <w:r>
        <w:rPr>
          <w:w w:val="100"/>
        </w:rPr>
        <w:t> </w:t>
      </w:r>
      <w:r>
        <w:rPr/>
        <w:t>岛成立，由</w:t>
      </w:r>
      <w:r>
        <w:rPr>
          <w:rFonts w:ascii="Times New Roman" w:hAnsi="Times New Roman" w:cs="Times New Roman" w:eastAsia="Times New Roman" w:hint="default"/>
        </w:rPr>
        <w:t>eFuture Holding</w:t>
      </w:r>
      <w:r>
        <w:rPr>
          <w:rFonts w:ascii="Times New Roman" w:hAnsi="Times New Roman" w:cs="Times New Roman" w:eastAsia="Times New Roman" w:hint="default"/>
          <w:spacing w:val="-1"/>
        </w:rPr>
        <w:t> </w:t>
      </w:r>
      <w:r>
        <w:rPr>
          <w:rFonts w:ascii="Times New Roman" w:hAnsi="Times New Roman" w:cs="Times New Roman" w:eastAsia="Times New Roman" w:hint="default"/>
        </w:rPr>
        <w:t>Inc.</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月更名而成，</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月通过被收购成为石基（香港）控股子公</w:t>
      </w:r>
      <w:r>
        <w:rPr>
          <w:w w:val="100"/>
        </w:rPr>
        <w:t> </w:t>
      </w:r>
      <w:r>
        <w:rPr/>
        <w:t>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月成为石基（香港）全资子公司，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月初石基（香港）完成将石基零售</w:t>
      </w:r>
      <w:r>
        <w:rPr>
          <w:rFonts w:ascii="Times New Roman" w:hAnsi="Times New Roman" w:cs="Times New Roman" w:eastAsia="Times New Roman" w:hint="default"/>
        </w:rPr>
        <w:t>38%</w:t>
      </w:r>
      <w:r>
        <w:rPr/>
        <w:t>股权出售给</w:t>
      </w:r>
      <w:r>
        <w:rPr>
          <w:spacing w:val="-101"/>
        </w:rPr>
        <w:t> </w:t>
      </w:r>
      <w:r>
        <w:rPr>
          <w:spacing w:val="-101"/>
        </w:rPr>
      </w:r>
      <w:r>
        <w:rPr>
          <w:spacing w:val="-3"/>
        </w:rPr>
        <w:t>阿里</w:t>
      </w:r>
      <w:r>
        <w:rPr>
          <w:rFonts w:ascii="Times New Roman" w:hAnsi="Times New Roman" w:cs="Times New Roman" w:eastAsia="Times New Roman" w:hint="default"/>
          <w:spacing w:val="-3"/>
        </w:rPr>
        <w:t>SJ</w:t>
      </w:r>
      <w:r>
        <w:rPr>
          <w:spacing w:val="-3"/>
        </w:rPr>
        <w:t>投资的全部交割手续，石基（香港）持有石基零售</w:t>
      </w:r>
      <w:r>
        <w:rPr>
          <w:rFonts w:ascii="Times New Roman" w:hAnsi="Times New Roman" w:cs="Times New Roman" w:eastAsia="Times New Roman" w:hint="default"/>
          <w:spacing w:val="-3"/>
        </w:rPr>
        <w:t>62%</w:t>
      </w:r>
      <w:r>
        <w:rPr>
          <w:spacing w:val="-3"/>
        </w:rPr>
        <w:t>股权。通过公司内部重组，截至本报告期末，</w:t>
      </w:r>
      <w:r>
        <w:rPr>
          <w:spacing w:val="-48"/>
        </w:rPr>
        <w:t> </w:t>
      </w:r>
      <w:r>
        <w:rPr>
          <w:spacing w:val="-48"/>
        </w:rPr>
      </w:r>
      <w:r>
        <w:rPr>
          <w:spacing w:val="-2"/>
        </w:rPr>
        <w:t>石基零售主要通过旗下控股子公司长益科技、富基信息、上海时运、广州合光，以及参股子公司科传控股</w:t>
      </w:r>
      <w:r>
        <w:rPr>
          <w:spacing w:val="-47"/>
        </w:rPr>
        <w:t> </w:t>
      </w:r>
      <w:r>
        <w:rPr>
          <w:spacing w:val="-47"/>
        </w:rPr>
      </w:r>
      <w:r>
        <w:rPr/>
        <w:t>从事规模化零售信息系统业务。</w:t>
      </w:r>
    </w:p>
    <w:p>
      <w:pPr>
        <w:spacing w:line="290" w:lineRule="auto" w:before="59"/>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）上海正品贵德软件有限公司</w:t>
      </w:r>
      <w:r>
        <w:rPr>
          <w:rFonts w:ascii="宋体" w:hAnsi="宋体" w:cs="宋体" w:eastAsia="宋体" w:hint="default"/>
          <w:b/>
          <w:bCs/>
          <w:w w:val="100"/>
          <w:sz w:val="21"/>
          <w:szCs w:val="21"/>
        </w:rPr>
        <w:t> </w:t>
      </w:r>
      <w:r>
        <w:rPr>
          <w:rFonts w:ascii="宋体" w:hAnsi="宋体" w:cs="宋体" w:eastAsia="宋体" w:hint="default"/>
          <w:sz w:val="21"/>
          <w:szCs w:val="21"/>
        </w:rPr>
        <w:t>上海正品贵德软件有限公司为本公司控股子公司，成立于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日，注册资本</w:t>
      </w:r>
      <w:r>
        <w:rPr>
          <w:rFonts w:ascii="Times New Roman" w:hAnsi="Times New Roman" w:cs="Times New Roman" w:eastAsia="Times New Roman" w:hint="default"/>
          <w:sz w:val="21"/>
          <w:szCs w:val="21"/>
        </w:rPr>
        <w:t>500</w:t>
      </w:r>
      <w:r>
        <w:rPr>
          <w:rFonts w:ascii="宋体" w:hAnsi="宋体" w:cs="宋体" w:eastAsia="宋体" w:hint="default"/>
          <w:sz w:val="21"/>
          <w:szCs w:val="21"/>
        </w:rPr>
        <w:t>万元，本公</w:t>
      </w:r>
    </w:p>
    <w:p>
      <w:pPr>
        <w:pStyle w:val="BodyText"/>
        <w:spacing w:line="263" w:lineRule="exact"/>
        <w:ind w:right="0"/>
        <w:jc w:val="left"/>
      </w:pPr>
      <w:r>
        <w:rPr/>
        <w:t>司持有正品贵德</w:t>
      </w:r>
      <w:r>
        <w:rPr>
          <w:rFonts w:ascii="Times New Roman" w:hAnsi="Times New Roman" w:cs="Times New Roman" w:eastAsia="Times New Roman" w:hint="default"/>
        </w:rPr>
        <w:t>70%</w:t>
      </w:r>
      <w:r>
        <w:rPr/>
        <w:t>的股权。正品贵德主要从事餐饮信息系统的研发及销售，拥有连锁餐饮、大型中餐餐</w:t>
      </w:r>
    </w:p>
    <w:p>
      <w:pPr>
        <w:pStyle w:val="BodyText"/>
        <w:spacing w:line="240" w:lineRule="auto" w:before="21"/>
        <w:ind w:right="1133"/>
        <w:jc w:val="left"/>
      </w:pPr>
      <w:r>
        <w:rPr/>
        <w:t>饮、西餐咖啡厅、酒店、会所等众多业态信息化管理软件系列产品。</w:t>
      </w:r>
    </w:p>
    <w:p>
      <w:pPr>
        <w:spacing w:line="290" w:lineRule="auto" w:before="78"/>
        <w:ind w:left="57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）中国电子器件工业有限公司</w:t>
      </w:r>
      <w:r>
        <w:rPr>
          <w:rFonts w:ascii="宋体" w:hAnsi="宋体" w:cs="宋体" w:eastAsia="宋体" w:hint="default"/>
          <w:b/>
          <w:bCs/>
          <w:w w:val="100"/>
          <w:sz w:val="21"/>
          <w:szCs w:val="21"/>
        </w:rPr>
        <w:t> </w:t>
      </w:r>
      <w:r>
        <w:rPr>
          <w:rFonts w:ascii="宋体" w:hAnsi="宋体" w:cs="宋体" w:eastAsia="宋体" w:hint="default"/>
          <w:spacing w:val="-2"/>
          <w:sz w:val="21"/>
          <w:szCs w:val="21"/>
        </w:rPr>
        <w:t>中国电子器件工业有限公司为本公司的全资子公司，成立于</w:t>
      </w:r>
      <w:r>
        <w:rPr>
          <w:rFonts w:ascii="Times New Roman" w:hAnsi="Times New Roman" w:cs="Times New Roman" w:eastAsia="Times New Roman" w:hint="default"/>
          <w:spacing w:val="-2"/>
          <w:sz w:val="21"/>
          <w:szCs w:val="21"/>
        </w:rPr>
        <w:t>1982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日，注册资本</w:t>
      </w:r>
      <w:r>
        <w:rPr>
          <w:rFonts w:ascii="Times New Roman" w:hAnsi="Times New Roman" w:cs="Times New Roman" w:eastAsia="Times New Roman" w:hint="default"/>
          <w:spacing w:val="-2"/>
          <w:sz w:val="21"/>
          <w:szCs w:val="21"/>
        </w:rPr>
        <w:t>19,403.80</w:t>
      </w:r>
      <w:r>
        <w:rPr>
          <w:rFonts w:ascii="宋体" w:hAnsi="宋体" w:cs="宋体" w:eastAsia="宋体" w:hint="default"/>
          <w:spacing w:val="-2"/>
          <w:sz w:val="21"/>
          <w:szCs w:val="21"/>
        </w:rPr>
        <w:t>万元。</w:t>
      </w:r>
    </w:p>
    <w:p>
      <w:pPr>
        <w:pStyle w:val="BodyText"/>
        <w:spacing w:line="263" w:lineRule="exact"/>
        <w:ind w:right="1133"/>
        <w:jc w:val="left"/>
      </w:pPr>
      <w:r>
        <w:rPr/>
        <w:t>中电器件主要从事电子设备的销售等业务。自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日起纳入合并报表范围。</w:t>
      </w:r>
    </w:p>
    <w:p>
      <w:pPr>
        <w:spacing w:line="256" w:lineRule="auto" w:before="59"/>
        <w:ind w:left="585"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）深圳市思迅软件股份有限公司</w:t>
      </w:r>
      <w:r>
        <w:rPr>
          <w:rFonts w:ascii="宋体" w:hAnsi="宋体" w:cs="宋体" w:eastAsia="宋体" w:hint="default"/>
          <w:b/>
          <w:bCs/>
          <w:w w:val="100"/>
          <w:sz w:val="21"/>
          <w:szCs w:val="21"/>
        </w:rPr>
        <w:t> </w:t>
      </w:r>
      <w:r>
        <w:rPr>
          <w:rFonts w:ascii="宋体" w:hAnsi="宋体" w:cs="宋体" w:eastAsia="宋体" w:hint="default"/>
          <w:spacing w:val="-3"/>
          <w:sz w:val="21"/>
          <w:szCs w:val="21"/>
        </w:rPr>
        <w:t>深圳市思迅软件股份有限公司为本公司控股子公司，成立于</w:t>
      </w:r>
      <w:r>
        <w:rPr>
          <w:rFonts w:ascii="Times New Roman" w:hAnsi="Times New Roman" w:cs="Times New Roman" w:eastAsia="Times New Roman" w:hint="default"/>
          <w:spacing w:val="-3"/>
          <w:sz w:val="21"/>
          <w:szCs w:val="21"/>
        </w:rPr>
        <w:t>2004</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27</w:t>
      </w:r>
      <w:r>
        <w:rPr>
          <w:rFonts w:ascii="宋体" w:hAnsi="宋体" w:cs="宋体" w:eastAsia="宋体" w:hint="default"/>
          <w:spacing w:val="-3"/>
          <w:sz w:val="21"/>
          <w:szCs w:val="21"/>
        </w:rPr>
        <w:t>日，注册资本</w:t>
      </w:r>
      <w:r>
        <w:rPr>
          <w:rFonts w:ascii="Times New Roman" w:hAnsi="Times New Roman" w:cs="Times New Roman" w:eastAsia="Times New Roman" w:hint="default"/>
          <w:spacing w:val="-3"/>
          <w:sz w:val="21"/>
          <w:szCs w:val="21"/>
        </w:rPr>
        <w:t>10,450</w:t>
      </w:r>
      <w:r>
        <w:rPr>
          <w:rFonts w:ascii="宋体" w:hAnsi="宋体" w:cs="宋体" w:eastAsia="宋体" w:hint="default"/>
          <w:spacing w:val="-3"/>
          <w:sz w:val="21"/>
          <w:szCs w:val="21"/>
        </w:rPr>
        <w:t>万元，本</w:t>
      </w:r>
    </w:p>
    <w:p>
      <w:pPr>
        <w:pStyle w:val="BodyText"/>
        <w:spacing w:line="256" w:lineRule="auto" w:before="5"/>
        <w:ind w:right="1133"/>
        <w:jc w:val="left"/>
      </w:pPr>
      <w:r>
        <w:rPr>
          <w:spacing w:val="-4"/>
        </w:rPr>
        <w:t>公司持有</w:t>
      </w:r>
      <w:r>
        <w:rPr>
          <w:rFonts w:ascii="Times New Roman" w:hAnsi="Times New Roman" w:cs="Times New Roman" w:eastAsia="Times New Roman" w:hint="default"/>
          <w:spacing w:val="-4"/>
        </w:rPr>
        <w:t>75%</w:t>
      </w:r>
      <w:r>
        <w:rPr>
          <w:spacing w:val="-4"/>
        </w:rPr>
        <w:t>的股权。深圳市思迅软件股份有限公司主要从事商业流通系统软件业务。于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2</w:t>
      </w:r>
      <w:r>
        <w:rPr>
          <w:spacing w:val="-4"/>
        </w:rPr>
        <w:t>月收购深</w:t>
      </w:r>
      <w:r>
        <w:rPr>
          <w:spacing w:val="-9"/>
        </w:rPr>
        <w:t> </w:t>
      </w:r>
      <w:r>
        <w:rPr>
          <w:spacing w:val="-9"/>
        </w:rPr>
      </w:r>
      <w:r>
        <w:rPr/>
        <w:t>圳奥凯软件有限公司</w:t>
      </w:r>
      <w:r>
        <w:rPr>
          <w:rFonts w:ascii="Times New Roman" w:hAnsi="Times New Roman" w:cs="Times New Roman" w:eastAsia="Times New Roman" w:hint="default"/>
        </w:rPr>
        <w:t>100%</w:t>
      </w:r>
      <w:r>
        <w:rPr/>
        <w:t>股权。自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日起纳入合并报表范围。</w:t>
      </w:r>
    </w:p>
    <w:p>
      <w:pPr>
        <w:spacing w:after="0" w:line="256" w:lineRule="auto"/>
        <w:jc w:val="left"/>
        <w:sectPr>
          <w:headerReference w:type="default" r:id="rId24"/>
          <w:footerReference w:type="default" r:id="rId25"/>
          <w:pgSz w:w="11910" w:h="16840"/>
          <w:pgMar w:header="877" w:footer="980" w:top="1100" w:bottom="1160" w:left="980" w:right="0"/>
          <w:pgNumType w:start="51"/>
        </w:sectPr>
      </w:pPr>
    </w:p>
    <w:p>
      <w:pPr>
        <w:spacing w:line="240" w:lineRule="auto" w:before="11"/>
        <w:rPr>
          <w:rFonts w:ascii="宋体" w:hAnsi="宋体" w:cs="宋体" w:eastAsia="宋体" w:hint="default"/>
          <w:sz w:val="20"/>
          <w:szCs w:val="20"/>
        </w:rPr>
      </w:pPr>
    </w:p>
    <w:p>
      <w:pPr>
        <w:spacing w:line="256" w:lineRule="auto" w:before="36"/>
        <w:ind w:left="489"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w:t>
      </w:r>
      <w:r>
        <w:rPr>
          <w:rFonts w:ascii="宋体" w:hAnsi="宋体" w:cs="宋体" w:eastAsia="宋体" w:hint="default"/>
          <w:b/>
          <w:bCs/>
          <w:spacing w:val="-18"/>
          <w:sz w:val="21"/>
          <w:szCs w:val="21"/>
        </w:rPr>
        <w:t> </w:t>
      </w:r>
      <w:r>
        <w:rPr>
          <w:rFonts w:ascii="宋体" w:hAnsi="宋体" w:cs="宋体" w:eastAsia="宋体" w:hint="default"/>
          <w:b/>
          <w:bCs/>
          <w:sz w:val="21"/>
          <w:szCs w:val="21"/>
        </w:rPr>
        <w:t>百望金税科技有限公司</w:t>
      </w:r>
      <w:r>
        <w:rPr>
          <w:rFonts w:ascii="宋体" w:hAnsi="宋体" w:cs="宋体" w:eastAsia="宋体" w:hint="default"/>
          <w:b/>
          <w:bCs/>
          <w:w w:val="100"/>
          <w:sz w:val="21"/>
          <w:szCs w:val="21"/>
        </w:rPr>
        <w:t> </w:t>
      </w:r>
      <w:r>
        <w:rPr>
          <w:rFonts w:ascii="宋体" w:hAnsi="宋体" w:cs="宋体" w:eastAsia="宋体" w:hint="default"/>
          <w:spacing w:val="-2"/>
          <w:sz w:val="21"/>
          <w:szCs w:val="21"/>
        </w:rPr>
        <w:t>百望金税科技有限公司为本公司控股子公司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本公司持有</w:t>
      </w:r>
      <w:r>
        <w:rPr>
          <w:rFonts w:ascii="Times New Roman" w:hAnsi="Times New Roman" w:cs="Times New Roman" w:eastAsia="Times New Roman" w:hint="default"/>
          <w:spacing w:val="-2"/>
          <w:sz w:val="21"/>
          <w:szCs w:val="21"/>
        </w:rPr>
        <w:t>60%</w:t>
      </w:r>
      <w:r>
        <w:rPr>
          <w:rFonts w:ascii="宋体" w:hAnsi="宋体" w:cs="宋体" w:eastAsia="宋体" w:hint="default"/>
          <w:spacing w:val="-2"/>
          <w:sz w:val="21"/>
          <w:szCs w:val="21"/>
        </w:rPr>
        <w:t>的股权。主要从事税控系统软件业务。</w:t>
      </w:r>
    </w:p>
    <w:p>
      <w:pPr>
        <w:spacing w:line="256" w:lineRule="auto" w:before="5"/>
        <w:ind w:left="489"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w:t>
      </w:r>
      <w:r>
        <w:rPr>
          <w:rFonts w:ascii="宋体" w:hAnsi="宋体" w:cs="宋体" w:eastAsia="宋体" w:hint="default"/>
          <w:b/>
          <w:bCs/>
          <w:spacing w:val="-18"/>
          <w:sz w:val="21"/>
          <w:szCs w:val="21"/>
        </w:rPr>
        <w:t> </w:t>
      </w:r>
      <w:r>
        <w:rPr>
          <w:rFonts w:ascii="宋体" w:hAnsi="宋体" w:cs="宋体" w:eastAsia="宋体" w:hint="default"/>
          <w:b/>
          <w:bCs/>
          <w:sz w:val="21"/>
          <w:szCs w:val="21"/>
        </w:rPr>
        <w:t>石基商用信息技术有限公司</w:t>
      </w:r>
      <w:r>
        <w:rPr>
          <w:rFonts w:ascii="宋体" w:hAnsi="宋体" w:cs="宋体" w:eastAsia="宋体" w:hint="default"/>
          <w:b/>
          <w:bCs/>
          <w:w w:val="100"/>
          <w:sz w:val="21"/>
          <w:szCs w:val="21"/>
        </w:rPr>
        <w:t> </w:t>
      </w:r>
      <w:r>
        <w:rPr>
          <w:rFonts w:ascii="宋体" w:hAnsi="宋体" w:cs="宋体" w:eastAsia="宋体" w:hint="default"/>
          <w:spacing w:val="-3"/>
          <w:sz w:val="21"/>
          <w:szCs w:val="21"/>
        </w:rPr>
        <w:t>石基商用信息技术有限公司为本公司全资子公司</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本公司持有</w:t>
      </w:r>
      <w:r>
        <w:rPr>
          <w:rFonts w:ascii="Times New Roman" w:hAnsi="Times New Roman" w:cs="Times New Roman" w:eastAsia="Times New Roman" w:hint="default"/>
          <w:spacing w:val="-3"/>
          <w:sz w:val="21"/>
          <w:szCs w:val="21"/>
        </w:rPr>
        <w:t>100%</w:t>
      </w:r>
      <w:r>
        <w:rPr>
          <w:rFonts w:ascii="宋体" w:hAnsi="宋体" w:cs="宋体" w:eastAsia="宋体" w:hint="default"/>
          <w:spacing w:val="-3"/>
          <w:sz w:val="21"/>
          <w:szCs w:val="21"/>
        </w:rPr>
        <w:t>的股权。主要从事商业流通系统软件</w:t>
      </w:r>
    </w:p>
    <w:p>
      <w:pPr>
        <w:pStyle w:val="BodyText"/>
        <w:spacing w:line="240" w:lineRule="auto" w:before="5"/>
        <w:ind w:right="0"/>
        <w:jc w:val="both"/>
      </w:pPr>
      <w:r>
        <w:rPr/>
        <w:t>业务。</w:t>
      </w:r>
    </w:p>
    <w:p>
      <w:pPr>
        <w:pStyle w:val="Heading7"/>
        <w:spacing w:line="240" w:lineRule="auto" w:before="37"/>
        <w:ind w:left="489" w:right="1133"/>
        <w:jc w:val="left"/>
        <w:rPr>
          <w:b w:val="0"/>
          <w:bCs w:val="0"/>
        </w:rPr>
      </w:pPr>
      <w:r>
        <w:rPr/>
        <w:t>（</w:t>
      </w:r>
      <w:r>
        <w:rPr>
          <w:rFonts w:ascii="Times New Roman" w:hAnsi="Times New Roman" w:cs="Times New Roman" w:eastAsia="Times New Roman" w:hint="default"/>
        </w:rPr>
        <w:t>12</w:t>
      </w:r>
      <w:r>
        <w:rPr/>
        <w:t>）北京航信华仪软件技术有限公司</w:t>
      </w:r>
      <w:r>
        <w:rPr>
          <w:b w:val="0"/>
          <w:bCs w:val="0"/>
        </w:rPr>
      </w:r>
    </w:p>
    <w:p>
      <w:pPr>
        <w:pStyle w:val="BodyText"/>
        <w:spacing w:line="256" w:lineRule="auto" w:before="21"/>
        <w:ind w:right="1128" w:firstLine="336"/>
        <w:jc w:val="both"/>
      </w:pPr>
      <w:r>
        <w:rPr/>
        <w:t>北京航信华仪软件技术有限公司为本公司全资子公司</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spacing w:val="-5"/>
        </w:rPr>
        <w:t>主要从事酒店系统软件业务。自</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1</w:t>
      </w:r>
      <w:r>
        <w:rPr>
          <w:spacing w:val="-5"/>
        </w:rPr>
        <w:t>日起</w:t>
      </w:r>
      <w:r>
        <w:rPr>
          <w:spacing w:val="-3"/>
          <w:w w:val="100"/>
        </w:rPr>
        <w:t> </w:t>
      </w:r>
      <w:r>
        <w:rPr/>
        <w:t>纳入合并报表范围。</w:t>
      </w:r>
    </w:p>
    <w:p>
      <w:pPr>
        <w:pStyle w:val="Heading7"/>
        <w:spacing w:line="240" w:lineRule="auto" w:before="22"/>
        <w:ind w:left="489" w:right="1133"/>
        <w:jc w:val="left"/>
        <w:rPr>
          <w:b w:val="0"/>
          <w:bCs w:val="0"/>
        </w:rPr>
      </w:pPr>
      <w:r>
        <w:rPr/>
        <w:t>（</w:t>
      </w:r>
      <w:r>
        <w:rPr>
          <w:rFonts w:ascii="Times New Roman" w:hAnsi="Times New Roman" w:cs="Times New Roman" w:eastAsia="Times New Roman" w:hint="default"/>
        </w:rPr>
        <w:t>13</w:t>
      </w:r>
      <w:r>
        <w:rPr/>
        <w:t>）敏付科技有限公司</w:t>
      </w:r>
      <w:r>
        <w:rPr>
          <w:b w:val="0"/>
          <w:bCs w:val="0"/>
        </w:rPr>
      </w:r>
    </w:p>
    <w:p>
      <w:pPr>
        <w:pStyle w:val="Heading6"/>
        <w:spacing w:line="244" w:lineRule="auto" w:before="12"/>
        <w:ind w:right="1129" w:firstLine="336"/>
        <w:jc w:val="both"/>
      </w:pPr>
      <w:r>
        <w:rPr>
          <w:spacing w:val="-2"/>
        </w:rPr>
        <w:t>系北海石基公司派生分立增加的敏付科技有限公司，注册资本为</w:t>
      </w:r>
      <w:r>
        <w:rPr>
          <w:rFonts w:ascii="Times New Roman" w:hAnsi="Times New Roman" w:cs="Times New Roman" w:eastAsia="Times New Roman" w:hint="default"/>
          <w:spacing w:val="-2"/>
        </w:rPr>
        <w:t>11000</w:t>
      </w:r>
      <w:r>
        <w:rPr>
          <w:spacing w:val="-2"/>
        </w:rPr>
        <w:t>万元。主要从事支付系统业</w:t>
      </w:r>
      <w:r>
        <w:rPr>
          <w:w w:val="100"/>
        </w:rPr>
        <w:t> </w:t>
      </w:r>
      <w:r>
        <w:rPr/>
        <w:t>务。</w:t>
      </w:r>
    </w:p>
    <w:p>
      <w:pPr>
        <w:spacing w:line="240" w:lineRule="auto" w:before="3"/>
        <w:rPr>
          <w:rFonts w:ascii="宋体" w:hAnsi="宋体" w:cs="宋体" w:eastAsia="宋体" w:hint="default"/>
          <w:sz w:val="23"/>
          <w:szCs w:val="23"/>
        </w:rPr>
      </w:pPr>
    </w:p>
    <w:p>
      <w:pPr>
        <w:pStyle w:val="Heading3"/>
        <w:spacing w:line="240" w:lineRule="auto"/>
        <w:ind w:right="0"/>
        <w:jc w:val="both"/>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both"/>
        <w:rPr>
          <w:b w:val="0"/>
          <w:bCs w:val="0"/>
        </w:rPr>
      </w:pPr>
      <w:r>
        <w:rPr/>
        <w:t>九、公司未来发展的展望</w:t>
      </w:r>
      <w:r>
        <w:rPr>
          <w:b w:val="0"/>
          <w:bCs w:val="0"/>
        </w:rPr>
      </w:r>
    </w:p>
    <w:p>
      <w:pPr>
        <w:spacing w:line="240" w:lineRule="auto" w:before="12"/>
        <w:rPr>
          <w:rFonts w:ascii="宋体" w:hAnsi="宋体" w:cs="宋体" w:eastAsia="宋体" w:hint="default"/>
          <w:b/>
          <w:bCs/>
          <w:sz w:val="24"/>
          <w:szCs w:val="24"/>
        </w:rPr>
      </w:pPr>
    </w:p>
    <w:p>
      <w:pPr>
        <w:pStyle w:val="BodyText"/>
        <w:spacing w:line="290" w:lineRule="auto"/>
        <w:ind w:left="573" w:right="1133" w:firstLine="2"/>
        <w:jc w:val="left"/>
        <w:rPr>
          <w:rFonts w:ascii="Times New Roman" w:hAnsi="Times New Roman" w:cs="Times New Roman" w:eastAsia="Times New Roman" w:hint="default"/>
        </w:rPr>
      </w:pPr>
      <w:r>
        <w:rPr>
          <w:rFonts w:ascii="Times New Roman" w:hAnsi="Times New Roman" w:cs="Times New Roman" w:eastAsia="Times New Roman" w:hint="default"/>
          <w:b/>
          <w:bCs/>
        </w:rPr>
        <w:t>1</w:t>
      </w:r>
      <w:r>
        <w:rPr>
          <w:rFonts w:ascii="宋体" w:hAnsi="宋体" w:cs="宋体" w:eastAsia="宋体" w:hint="default"/>
          <w:b/>
          <w:bCs/>
        </w:rPr>
        <w:t>、公司发展战略</w:t>
      </w:r>
      <w:r>
        <w:rPr>
          <w:rFonts w:ascii="宋体" w:hAnsi="宋体" w:cs="宋体" w:eastAsia="宋体" w:hint="default"/>
          <w:b/>
          <w:bCs/>
          <w:w w:val="100"/>
        </w:rPr>
        <w:t> </w:t>
      </w:r>
      <w:r>
        <w:rPr>
          <w:spacing w:val="-1"/>
        </w:rPr>
        <w:t>公司从创立伊始就专注于为商业客户提供营业管理系统而不涉足工业企业，政府等非商业客户的</w:t>
      </w:r>
      <w:r>
        <w:rPr>
          <w:rFonts w:ascii="Times New Roman" w:hAnsi="Times New Roman" w:cs="Times New Roman" w:eastAsia="Times New Roman" w:hint="default"/>
          <w:spacing w:val="-1"/>
        </w:rPr>
        <w:t>ERP</w:t>
      </w:r>
    </w:p>
    <w:p>
      <w:pPr>
        <w:pStyle w:val="BodyText"/>
        <w:spacing w:line="263" w:lineRule="exact"/>
        <w:ind w:right="0"/>
        <w:jc w:val="both"/>
      </w:pPr>
      <w:r>
        <w:rPr/>
        <w:t>或</w:t>
      </w:r>
      <w:r>
        <w:rPr>
          <w:rFonts w:ascii="Times New Roman" w:hAnsi="Times New Roman" w:cs="Times New Roman" w:eastAsia="Times New Roman" w:hint="default"/>
        </w:rPr>
        <w:t>OA</w:t>
      </w:r>
      <w:r>
        <w:rPr/>
        <w:t>系统。通过技术许可、源码引进、自主开发、收购兼并等多种手段，目前公司拥有覆盖整个消费行</w:t>
      </w:r>
    </w:p>
    <w:p>
      <w:pPr>
        <w:pStyle w:val="BodyText"/>
        <w:spacing w:line="268" w:lineRule="auto" w:before="21"/>
        <w:ind w:right="1126"/>
        <w:jc w:val="both"/>
      </w:pPr>
      <w:r>
        <w:rPr>
          <w:spacing w:val="-2"/>
        </w:rPr>
        <w:t>业的从高端到低端，从国际到本地，从连锁到单体的全套信息系统解决方案。以酒店和餐饮业高端客户为</w:t>
      </w:r>
      <w:r>
        <w:rPr>
          <w:spacing w:val="-43"/>
        </w:rPr>
        <w:t> </w:t>
      </w:r>
      <w:r>
        <w:rPr>
          <w:spacing w:val="-43"/>
        </w:rPr>
      </w:r>
      <w:r>
        <w:rPr/>
        <w:t>核心的覆盖全国及港、澳、台、东南亚的客户的年度营业额目前已超过</w:t>
      </w:r>
      <w:r>
        <w:rPr>
          <w:rFonts w:ascii="Times New Roman" w:hAnsi="Times New Roman" w:cs="Times New Roman" w:eastAsia="Times New Roman" w:hint="default"/>
        </w:rPr>
        <w:t>1</w:t>
      </w:r>
      <w:r>
        <w:rPr/>
        <w:t>万亿人民币。特别是在高星级酒</w:t>
      </w:r>
      <w:r>
        <w:rPr>
          <w:spacing w:val="-22"/>
        </w:rPr>
        <w:t> </w:t>
      </w:r>
      <w:r>
        <w:rPr>
          <w:spacing w:val="-22"/>
        </w:rPr>
      </w:r>
      <w:r>
        <w:rPr>
          <w:spacing w:val="-2"/>
        </w:rPr>
        <w:t>店业，公司具有一定的领先优势。由于公司软件在酒店行业的较高占有率，使得公司有机会将信息系统向</w:t>
      </w:r>
      <w:r>
        <w:rPr>
          <w:spacing w:val="-43"/>
        </w:rPr>
        <w:t> </w:t>
      </w:r>
      <w:r>
        <w:rPr>
          <w:spacing w:val="-43"/>
        </w:rPr>
      </w:r>
      <w:r>
        <w:rPr>
          <w:spacing w:val="-2"/>
        </w:rPr>
        <w:t>酒店的上下游延伸，建立预定、支付的直连技术通道，使订房渠道、银行或第三方支付公司可以直连酒店</w:t>
      </w:r>
      <w:r>
        <w:rPr>
          <w:spacing w:val="-47"/>
        </w:rPr>
        <w:t> </w:t>
      </w:r>
      <w:r>
        <w:rPr>
          <w:spacing w:val="-47"/>
        </w:rPr>
      </w:r>
      <w:r>
        <w:rPr>
          <w:spacing w:val="-2"/>
        </w:rPr>
        <w:t>信息系统，实现快速、准确、高效的自动交易。目前工农中建交等主要收单银行进入高星级酒店业基本上</w:t>
      </w:r>
      <w:r>
        <w:rPr>
          <w:spacing w:val="-44"/>
        </w:rPr>
        <w:t> </w:t>
      </w:r>
      <w:r>
        <w:rPr>
          <w:spacing w:val="-44"/>
        </w:rPr>
      </w:r>
      <w:r>
        <w:rPr/>
        <w:t>全部使用了公司的直连清算通道。目前已经有超过</w:t>
      </w:r>
      <w:r>
        <w:rPr>
          <w:rFonts w:ascii="Times New Roman" w:hAnsi="Times New Roman" w:cs="Times New Roman" w:eastAsia="Times New Roman" w:hint="default"/>
        </w:rPr>
        <w:t>150</w:t>
      </w:r>
      <w:r>
        <w:rPr/>
        <w:t>家国内外主流预定渠道通过石基直连预定平台连接</w:t>
      </w:r>
      <w:r>
        <w:rPr>
          <w:spacing w:val="-25"/>
        </w:rPr>
        <w:t> </w:t>
      </w:r>
      <w:r>
        <w:rPr>
          <w:spacing w:val="-25"/>
        </w:rPr>
      </w:r>
      <w:r>
        <w:rPr>
          <w:rFonts w:ascii="宋体" w:hAnsi="宋体" w:cs="宋体" w:eastAsia="宋体" w:hint="default"/>
        </w:rPr>
        <w:t>2.3</w:t>
      </w:r>
      <w:r>
        <w:rPr/>
        <w:t>万家酒店。公司目前正在餐饮业和零售业复制酒店业的直连模式，移动互联网的发展将推动公司直连</w:t>
      </w:r>
      <w:r>
        <w:rPr>
          <w:spacing w:val="-27"/>
        </w:rPr>
        <w:t> </w:t>
      </w:r>
      <w:r>
        <w:rPr>
          <w:spacing w:val="-27"/>
        </w:rPr>
      </w:r>
      <w:r>
        <w:rPr>
          <w:spacing w:val="-2"/>
        </w:rPr>
        <w:t>模式向低端市场扩展。经过多年的准备与预先研究，公司已经快速进入零售业信息系统领域，取得行业市</w:t>
      </w:r>
      <w:r>
        <w:rPr>
          <w:spacing w:val="-45"/>
        </w:rPr>
        <w:t> </w:t>
      </w:r>
      <w:r>
        <w:rPr>
          <w:spacing w:val="-45"/>
        </w:rPr>
      </w:r>
      <w:r>
        <w:rPr/>
        <w:t>场领先地位。公司目前全部客户的年度营业额约为</w:t>
      </w:r>
      <w:r>
        <w:rPr>
          <w:rFonts w:ascii="Times New Roman" w:hAnsi="Times New Roman" w:cs="Times New Roman" w:eastAsia="Times New Roman" w:hint="default"/>
        </w:rPr>
        <w:t>5</w:t>
      </w:r>
      <w:r>
        <w:rPr/>
        <w:t>万亿人民币，公司将通过建立大型数据平台与云服务</w:t>
      </w:r>
      <w:r>
        <w:rPr>
          <w:spacing w:val="-21"/>
        </w:rPr>
        <w:t> </w:t>
      </w:r>
      <w:r>
        <w:rPr>
          <w:spacing w:val="-21"/>
        </w:rPr>
      </w:r>
      <w:r>
        <w:rPr>
          <w:spacing w:val="-2"/>
        </w:rPr>
        <w:t>平台将酒店餐饮零售三大行业以数据为基础进行连接，构建大消费信息服务平台，为经营者和消费者提供</w:t>
      </w:r>
      <w:r>
        <w:rPr>
          <w:spacing w:val="-43"/>
        </w:rPr>
        <w:t> </w:t>
      </w:r>
      <w:r>
        <w:rPr>
          <w:spacing w:val="-43"/>
        </w:rPr>
      </w:r>
      <w:r>
        <w:rPr/>
        <w:t>数据、软件和信息服务。</w:t>
      </w:r>
    </w:p>
    <w:p>
      <w:pPr>
        <w:pStyle w:val="BodyText"/>
        <w:spacing w:line="273" w:lineRule="auto" w:before="50"/>
        <w:ind w:right="1126" w:firstLine="420"/>
        <w:jc w:val="both"/>
      </w:pPr>
      <w:r>
        <w:rPr>
          <w:spacing w:val="-2"/>
        </w:rPr>
        <w:t>为此，公司的发展战略多年以来保持不变，即：围绕酒店信息系统核心业务，加大新一代酒店信息管</w:t>
      </w:r>
      <w:r>
        <w:rPr>
          <w:w w:val="100"/>
        </w:rPr>
        <w:t> </w:t>
      </w:r>
      <w:r>
        <w:rPr>
          <w:spacing w:val="-2"/>
        </w:rPr>
        <w:t>理系统研发投入，以确保公司在以云计算为代表的新一代信息系统变迁中继续领导中国酒店信息系统的发</w:t>
      </w:r>
      <w:r>
        <w:rPr>
          <w:spacing w:val="-43"/>
        </w:rPr>
        <w:t> </w:t>
      </w:r>
      <w:r>
        <w:rPr>
          <w:spacing w:val="-43"/>
        </w:rPr>
      </w:r>
      <w:r>
        <w:rPr>
          <w:spacing w:val="-2"/>
        </w:rPr>
        <w:t>展，通过领先的技术和产品超越全球竞争对手成为全球酒店信息系统领导者，以酒店信息管理系统领域强</w:t>
      </w:r>
      <w:r>
        <w:rPr>
          <w:spacing w:val="-44"/>
        </w:rPr>
        <w:t> </w:t>
      </w:r>
      <w:r>
        <w:rPr>
          <w:spacing w:val="-44"/>
        </w:rPr>
      </w:r>
      <w:r>
        <w:rPr>
          <w:spacing w:val="-2"/>
        </w:rPr>
        <w:t>有力的市场地位为基础，积极发展与酒店信息管理系统紧密相关的或有共同管理模式和经营特点的其他业</w:t>
      </w:r>
      <w:r>
        <w:rPr>
          <w:spacing w:val="-43"/>
        </w:rPr>
        <w:t> </w:t>
      </w:r>
      <w:r>
        <w:rPr>
          <w:spacing w:val="-43"/>
        </w:rPr>
      </w:r>
      <w:r>
        <w:rPr/>
        <w:t>务，逐步构建旅游消费信息化服务平台。</w:t>
      </w:r>
    </w:p>
    <w:p>
      <w:pPr>
        <w:spacing w:line="290" w:lineRule="auto" w:before="49"/>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、公司前期披露的经营计划在报告期内的进展情况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年的经营计划为：</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年，公司将继续完善基于云计算的新一代酒店、餐饮信息管理系统，</w:t>
      </w:r>
    </w:p>
    <w:p>
      <w:pPr>
        <w:pStyle w:val="BodyText"/>
        <w:spacing w:line="247" w:lineRule="exact"/>
        <w:ind w:right="0"/>
        <w:jc w:val="both"/>
      </w:pPr>
      <w:r>
        <w:rPr/>
        <w:t>整合高端酒店、餐饮信息系统业务，同时使公司的产品和服务通过统一的开发平台从高端向低端延伸；顺</w:t>
      </w:r>
    </w:p>
    <w:p>
      <w:pPr>
        <w:pStyle w:val="BodyText"/>
        <w:spacing w:line="273" w:lineRule="auto" w:before="37"/>
        <w:ind w:right="1126"/>
        <w:jc w:val="both"/>
      </w:pPr>
      <w:r>
        <w:rPr>
          <w:spacing w:val="-2"/>
        </w:rPr>
        <w:t>应软件业向移动互联网转移的大趋势，加强适应市场变化的餐饮信息系统新产品开发，扩大移动终端在餐</w:t>
      </w:r>
      <w:r>
        <w:rPr>
          <w:spacing w:val="-43"/>
        </w:rPr>
        <w:t> </w:t>
      </w:r>
      <w:r>
        <w:rPr>
          <w:spacing w:val="-43"/>
        </w:rPr>
      </w:r>
      <w:r>
        <w:rPr>
          <w:spacing w:val="-2"/>
        </w:rPr>
        <w:t>饮领域的广泛应用；继续深化对旗下零售业各个子公司的整合，借助阿里巴巴与公司在新零售领域的战略</w:t>
      </w:r>
      <w:r>
        <w:rPr>
          <w:spacing w:val="-43"/>
        </w:rPr>
        <w:t> </w:t>
      </w:r>
      <w:r>
        <w:rPr>
          <w:spacing w:val="-43"/>
        </w:rPr>
      </w:r>
      <w:r>
        <w:rPr>
          <w:spacing w:val="-2"/>
        </w:rPr>
        <w:t>合作，保持公司未来在新一代零售信息系统业务中的领导地位；畅联业务将在继续推进酒店集团和渠道合</w:t>
      </w:r>
      <w:r>
        <w:rPr>
          <w:spacing w:val="-43"/>
        </w:rPr>
        <w:t> </w:t>
      </w:r>
      <w:r>
        <w:rPr>
          <w:spacing w:val="-43"/>
        </w:rPr>
      </w:r>
      <w:r>
        <w:rPr>
          <w:spacing w:val="-2"/>
        </w:rPr>
        <w:t>作的同时，继续加深与飞猪在酒店预订领域的直连合作，实现预订量的快速增长；加强与支付宝和腾讯微</w:t>
      </w:r>
    </w:p>
    <w:p>
      <w:pPr>
        <w:spacing w:after="0" w:line="273"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300" w:lineRule="auto" w:before="36"/>
        <w:ind w:left="573" w:right="1123" w:hanging="421"/>
        <w:jc w:val="left"/>
      </w:pPr>
      <w:r>
        <w:rPr/>
        <w:t>信的合作，扩大南京银石在支付系统行业的影响力，促进公司从软件供应商向平台服务商的转型。</w:t>
      </w:r>
      <w:r>
        <w:rPr>
          <w:w w:val="100"/>
        </w:rPr>
        <w:t> </w:t>
      </w:r>
      <w:r>
        <w:rPr>
          <w:rFonts w:ascii="Times New Roman" w:hAnsi="Times New Roman" w:cs="Times New Roman" w:eastAsia="Times New Roman" w:hint="default"/>
        </w:rPr>
        <w:t>2018</w:t>
      </w:r>
      <w:r>
        <w:rPr/>
        <w:t>年，公司严格执行董事会制定的发展战略和</w:t>
      </w:r>
      <w:r>
        <w:rPr>
          <w:rFonts w:ascii="Times New Roman" w:hAnsi="Times New Roman" w:cs="Times New Roman" w:eastAsia="Times New Roman" w:hint="default"/>
        </w:rPr>
        <w:t>2018</w:t>
      </w:r>
      <w:r>
        <w:rPr/>
        <w:t>年度经营计划，总体经营情况如下：</w:t>
      </w:r>
      <w:r>
        <w:rPr>
          <w:w w:val="100"/>
        </w:rPr>
        <w:t> </w:t>
      </w:r>
      <w:r>
        <w:rPr/>
        <w:t>报告期内，公司云平台</w:t>
      </w:r>
      <w:r>
        <w:rPr>
          <w:rFonts w:ascii="Times New Roman" w:hAnsi="Times New Roman" w:cs="Times New Roman" w:eastAsia="Times New Roman" w:hint="default"/>
        </w:rPr>
        <w:t>POS</w:t>
      </w:r>
      <w:r>
        <w:rPr/>
        <w:t>系统</w:t>
      </w:r>
      <w:r>
        <w:rPr>
          <w:rFonts w:ascii="Times New Roman" w:hAnsi="Times New Roman" w:cs="Times New Roman" w:eastAsia="Times New Roman" w:hint="default"/>
        </w:rPr>
        <w:t>“Infrasys</w:t>
      </w:r>
      <w:r>
        <w:rPr>
          <w:rFonts w:ascii="Times New Roman" w:hAnsi="Times New Roman" w:cs="Times New Roman" w:eastAsia="Times New Roman" w:hint="default"/>
          <w:spacing w:val="46"/>
        </w:rPr>
        <w:t> </w:t>
      </w:r>
      <w:r>
        <w:rPr>
          <w:rFonts w:ascii="Times New Roman" w:hAnsi="Times New Roman" w:cs="Times New Roman" w:eastAsia="Times New Roman" w:hint="default"/>
        </w:rPr>
        <w:t>Cloud”</w:t>
      </w:r>
      <w:r>
        <w:rPr/>
        <w:t>继</w:t>
      </w:r>
      <w:r>
        <w:rPr>
          <w:rFonts w:ascii="Times New Roman" w:hAnsi="Times New Roman" w:cs="Times New Roman" w:eastAsia="Times New Roman" w:hint="default"/>
        </w:rPr>
        <w:t>2017</w:t>
      </w:r>
      <w:r>
        <w:rPr/>
        <w:t>年取得里程碑式进展基础上，继续获得数个国</w:t>
      </w:r>
    </w:p>
    <w:p>
      <w:pPr>
        <w:pStyle w:val="BodyText"/>
        <w:spacing w:line="238" w:lineRule="exact"/>
        <w:ind w:right="0"/>
        <w:jc w:val="left"/>
      </w:pPr>
      <w:r>
        <w:rPr/>
        <w:t>际知名酒店集团认可，成为多家全球知名国际酒店集团的系统标准，公司全新一代的云平台酒店信息管理</w:t>
      </w:r>
    </w:p>
    <w:p>
      <w:pPr>
        <w:pStyle w:val="BodyText"/>
        <w:spacing w:line="264" w:lineRule="auto" w:before="37"/>
        <w:ind w:right="1105"/>
        <w:jc w:val="both"/>
      </w:pPr>
      <w:r>
        <w:rPr>
          <w:spacing w:val="-2"/>
        </w:rPr>
        <w:t>系统产品研发正在进行中；为了将公司高端酒店信息系统业务向海外市场拓展，公司继续在印度、日本、</w:t>
      </w:r>
      <w:r>
        <w:rPr>
          <w:spacing w:val="-22"/>
        </w:rPr>
        <w:t> </w:t>
      </w:r>
      <w:r>
        <w:rPr>
          <w:spacing w:val="-22"/>
        </w:rPr>
      </w:r>
      <w:r>
        <w:rPr/>
        <w:t>迪拜、澳门、泰国等地新设立子公司，为全球客户提供服务，报告期末海外雇员超过</w:t>
      </w:r>
      <w:r>
        <w:rPr>
          <w:rFonts w:ascii="Times New Roman" w:hAnsi="Times New Roman" w:cs="Times New Roman" w:eastAsia="Times New Roman" w:hint="default"/>
        </w:rPr>
        <w:t>500</w:t>
      </w:r>
      <w:r>
        <w:rPr/>
        <w:t>名；继续整合石</w:t>
      </w:r>
      <w:r>
        <w:rPr>
          <w:spacing w:val="-24"/>
        </w:rPr>
        <w:t> </w:t>
      </w:r>
      <w:r>
        <w:rPr>
          <w:spacing w:val="-24"/>
        </w:rPr>
      </w:r>
      <w:r>
        <w:rPr>
          <w:spacing w:val="-2"/>
        </w:rPr>
        <w:t>基零售旗下各子公司规模化零售信息系统业务，与阿里巴巴在盒马鲜生、淘鲜达、智慧门店等项目上开展</w:t>
      </w:r>
      <w:r>
        <w:rPr>
          <w:spacing w:val="-45"/>
        </w:rPr>
        <w:t> </w:t>
      </w:r>
      <w:r>
        <w:rPr>
          <w:spacing w:val="-45"/>
        </w:rPr>
      </w:r>
      <w:r>
        <w:rPr>
          <w:spacing w:val="-2"/>
        </w:rPr>
        <w:t>了新零售领域的合作；预订平台流量相比上年同期保持约</w:t>
      </w:r>
      <w:r>
        <w:rPr>
          <w:rFonts w:ascii="Times New Roman" w:hAnsi="Times New Roman" w:cs="Times New Roman" w:eastAsia="Times New Roman" w:hint="default"/>
          <w:spacing w:val="-2"/>
        </w:rPr>
        <w:t>30%</w:t>
      </w:r>
      <w:r>
        <w:rPr>
          <w:spacing w:val="-2"/>
        </w:rPr>
        <w:t>的良好提升态势；支付业务流量继续保持快</w:t>
      </w:r>
      <w:r>
        <w:rPr>
          <w:spacing w:val="-5"/>
        </w:rPr>
        <w:t> </w:t>
      </w:r>
      <w:r>
        <w:rPr>
          <w:spacing w:val="-5"/>
        </w:rPr>
      </w:r>
      <w:r>
        <w:rPr>
          <w:spacing w:val="-1"/>
        </w:rPr>
        <w:t>速增长态势，公司客户与支付宝和微信直连的支付业务</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1-12</w:t>
      </w:r>
      <w:r>
        <w:rPr>
          <w:spacing w:val="-1"/>
        </w:rPr>
        <w:t>月交易总金额超过</w:t>
      </w:r>
      <w:r>
        <w:rPr>
          <w:rFonts w:ascii="Times New Roman" w:hAnsi="Times New Roman" w:cs="Times New Roman" w:eastAsia="Times New Roman" w:hint="default"/>
          <w:spacing w:val="-1"/>
        </w:rPr>
        <w:t>1100</w:t>
      </w:r>
      <w:r>
        <w:rPr>
          <w:spacing w:val="-1"/>
        </w:rPr>
        <w:t>亿元人民币，与</w:t>
      </w:r>
      <w:r>
        <w:rPr>
          <w:spacing w:val="-48"/>
        </w:rPr>
        <w:t> </w:t>
      </w:r>
      <w:r>
        <w:rPr>
          <w:spacing w:val="-48"/>
        </w:rPr>
      </w:r>
      <w:r>
        <w:rPr/>
        <w:t>去年同期流量相比增长</w:t>
      </w:r>
      <w:r>
        <w:rPr>
          <w:rFonts w:ascii="Times New Roman" w:hAnsi="Times New Roman" w:cs="Times New Roman" w:eastAsia="Times New Roman" w:hint="default"/>
        </w:rPr>
        <w:t>126%</w:t>
      </w:r>
      <w:r>
        <w:rPr/>
        <w:t>。</w:t>
      </w:r>
    </w:p>
    <w:p>
      <w:pPr>
        <w:pStyle w:val="Heading7"/>
        <w:spacing w:line="240" w:lineRule="auto" w:before="39"/>
        <w:ind w:left="573" w:right="1133"/>
        <w:jc w:val="left"/>
        <w:rPr>
          <w:b w:val="0"/>
          <w:bCs w:val="0"/>
        </w:rPr>
      </w:pPr>
      <w:r>
        <w:rPr>
          <w:rFonts w:ascii="Times New Roman" w:hAnsi="Times New Roman" w:cs="Times New Roman" w:eastAsia="Times New Roman" w:hint="default"/>
        </w:rPr>
        <w:t>3</w:t>
      </w:r>
      <w:r>
        <w:rPr/>
        <w:t>、公司新年度经营计划</w:t>
      </w:r>
      <w:r>
        <w:rPr>
          <w:b w:val="0"/>
          <w:bCs w:val="0"/>
        </w:rPr>
      </w:r>
    </w:p>
    <w:p>
      <w:pPr>
        <w:pStyle w:val="BodyText"/>
        <w:spacing w:line="271" w:lineRule="auto" w:before="62"/>
        <w:ind w:right="1126" w:firstLine="420"/>
        <w:jc w:val="both"/>
      </w:pPr>
      <w:r>
        <w:rPr>
          <w:rFonts w:ascii="Times New Roman" w:hAnsi="Times New Roman" w:cs="Times New Roman" w:eastAsia="Times New Roman" w:hint="default"/>
          <w:spacing w:val="-2"/>
        </w:rPr>
        <w:t>2019</w:t>
      </w:r>
      <w:r>
        <w:rPr>
          <w:spacing w:val="-2"/>
        </w:rPr>
        <w:t>年是公司国际化完成全球布局的关键之年，公司将通过整合收购的海外公司与继续在全球重要城</w:t>
      </w:r>
      <w:r>
        <w:rPr>
          <w:w w:val="100"/>
        </w:rPr>
        <w:t> </w:t>
      </w:r>
      <w:r>
        <w:rPr>
          <w:spacing w:val="-2"/>
        </w:rPr>
        <w:t>市开设全服务办公室的方式基本完成石基的全球化销售和服务网络的建设。公司将继续加强基于云计算的</w:t>
      </w:r>
      <w:r>
        <w:rPr>
          <w:spacing w:val="-42"/>
        </w:rPr>
        <w:t> </w:t>
      </w:r>
      <w:r>
        <w:rPr>
          <w:spacing w:val="-42"/>
        </w:rPr>
      </w:r>
      <w:r>
        <w:rPr>
          <w:spacing w:val="-2"/>
        </w:rPr>
        <w:t>新一代酒店、餐饮信息管理系统研发和市场拓展；顺应软件业向云和移动互联网转移的大趋势，加强适应</w:t>
      </w:r>
      <w:r>
        <w:rPr>
          <w:spacing w:val="-42"/>
        </w:rPr>
        <w:t> </w:t>
      </w:r>
      <w:r>
        <w:rPr>
          <w:spacing w:val="-42"/>
        </w:rPr>
      </w:r>
      <w:r>
        <w:rPr>
          <w:spacing w:val="-2"/>
        </w:rPr>
        <w:t>市场变化的餐饮信息系统新产品开发，扩大移动终端在餐饮领域的广泛应用；继续深化对旗下零售业各个</w:t>
      </w:r>
      <w:r>
        <w:rPr>
          <w:spacing w:val="-44"/>
        </w:rPr>
        <w:t> </w:t>
      </w:r>
      <w:r>
        <w:rPr>
          <w:spacing w:val="-44"/>
        </w:rPr>
      </w:r>
      <w:r>
        <w:rPr>
          <w:spacing w:val="-2"/>
        </w:rPr>
        <w:t>子公司的整合，不断加深与阿里巴巴与公司在新零售领域的战略合作，保持公司未来在新一代零售信息系</w:t>
      </w:r>
      <w:r>
        <w:rPr>
          <w:spacing w:val="-43"/>
        </w:rPr>
        <w:t> </w:t>
      </w:r>
      <w:r>
        <w:rPr>
          <w:spacing w:val="-43"/>
        </w:rPr>
      </w:r>
      <w:r>
        <w:rPr>
          <w:spacing w:val="-2"/>
        </w:rPr>
        <w:t>统业务中的领导地位；畅联业务将在继续推进酒店集团和渠道合作的同时，继续加深与飞猪在酒店预订领</w:t>
      </w:r>
      <w:r>
        <w:rPr>
          <w:spacing w:val="-42"/>
        </w:rPr>
        <w:t> </w:t>
      </w:r>
      <w:r>
        <w:rPr>
          <w:spacing w:val="-42"/>
        </w:rPr>
      </w:r>
      <w:r>
        <w:rPr>
          <w:spacing w:val="-2"/>
        </w:rPr>
        <w:t>域的直连合作，促进预订量的良性增长；加强与支付宝和微信的渠道合作，利用公司积累多年的丰富客户</w:t>
      </w:r>
      <w:r>
        <w:rPr>
          <w:spacing w:val="-46"/>
        </w:rPr>
        <w:t> </w:t>
      </w:r>
      <w:r>
        <w:rPr>
          <w:spacing w:val="-46"/>
        </w:rPr>
      </w:r>
      <w:r>
        <w:rPr/>
        <w:t>资源扩大南京银石在支付系统行业的影响力，促进公司从软件供应商向平台服务商的转型。</w:t>
      </w:r>
    </w:p>
    <w:p>
      <w:pPr>
        <w:pStyle w:val="BodyText"/>
        <w:spacing w:line="240" w:lineRule="auto" w:before="48"/>
        <w:ind w:left="573" w:right="1133"/>
        <w:jc w:val="left"/>
      </w:pPr>
      <w:r>
        <w:rPr/>
        <w:t>为实现上述经营计划，公司将主要采取如下举措：</w:t>
      </w:r>
    </w:p>
    <w:p>
      <w:pPr>
        <w:pStyle w:val="Heading7"/>
        <w:spacing w:line="240" w:lineRule="auto" w:before="78"/>
        <w:ind w:left="573" w:right="1133"/>
        <w:jc w:val="left"/>
        <w:rPr>
          <w:b w:val="0"/>
          <w:bCs w:val="0"/>
        </w:rPr>
      </w:pPr>
      <w:r>
        <w:rPr/>
        <w:t>（</w:t>
      </w:r>
      <w:r>
        <w:rPr>
          <w:rFonts w:ascii="Times New Roman" w:hAnsi="Times New Roman" w:cs="Times New Roman" w:eastAsia="Times New Roman" w:hint="default"/>
        </w:rPr>
        <w:t>1</w:t>
      </w:r>
      <w:r>
        <w:rPr/>
        <w:t>）酒店信息系统业务</w:t>
      </w:r>
      <w:r>
        <w:rPr>
          <w:b w:val="0"/>
          <w:bCs w:val="0"/>
        </w:rPr>
      </w:r>
    </w:p>
    <w:p>
      <w:pPr>
        <w:pStyle w:val="BodyText"/>
        <w:spacing w:line="268" w:lineRule="auto" w:before="62"/>
        <w:ind w:right="0" w:firstLine="420"/>
        <w:jc w:val="left"/>
      </w:pPr>
      <w:r>
        <w:rPr>
          <w:rFonts w:ascii="Times New Roman" w:hAnsi="Times New Roman" w:cs="Times New Roman" w:eastAsia="Times New Roman" w:hint="default"/>
        </w:rPr>
        <w:t>2019</w:t>
      </w:r>
      <w:r>
        <w:rPr/>
        <w:t>年，公司在高端酒店信息业务方面将继续坚持国际化策略，在亚洲、欧洲、美国继续分步骤开设</w:t>
      </w:r>
      <w:r>
        <w:rPr>
          <w:w w:val="100"/>
        </w:rPr>
        <w:t> </w:t>
      </w:r>
      <w:r>
        <w:rPr>
          <w:spacing w:val="-2"/>
        </w:rPr>
        <w:t>新的海外子公司和办公室，更好地服务于海外客户，加强海外基于云计算的新一代酒店信息管理系统的研</w:t>
      </w:r>
      <w:r>
        <w:rPr>
          <w:spacing w:val="-43"/>
        </w:rPr>
        <w:t> </w:t>
      </w:r>
      <w:r>
        <w:rPr>
          <w:spacing w:val="-43"/>
        </w:rPr>
      </w:r>
      <w:r>
        <w:rPr>
          <w:spacing w:val="-2"/>
        </w:rPr>
        <w:t>发，尽早推出可以满足全球高端连锁酒店集团需求的下一代平台型云系统；国内市场高星级酒店主要以国</w:t>
      </w:r>
      <w:r>
        <w:rPr>
          <w:spacing w:val="-42"/>
        </w:rPr>
        <w:t> </w:t>
      </w:r>
      <w:r>
        <w:rPr>
          <w:spacing w:val="-42"/>
        </w:rPr>
      </w:r>
      <w:r>
        <w:rPr>
          <w:spacing w:val="-5"/>
        </w:rPr>
        <w:t>际品牌为主体，因而中国高端酒店信息系统将以跟随国际集团标准为主，在新一代云酒店信息系统业务中， </w:t>
      </w:r>
      <w:r>
        <w:rPr>
          <w:spacing w:val="-5"/>
        </w:rPr>
      </w:r>
      <w:r>
        <w:rPr>
          <w:spacing w:val="-2"/>
        </w:rPr>
        <w:t>公司将充分利用其全球化技术产品和服务优势，将中国市场视为全球市场的重要组成部分，将公司在全球</w:t>
      </w:r>
      <w:r>
        <w:rPr>
          <w:spacing w:val="-43"/>
        </w:rPr>
        <w:t> </w:t>
      </w:r>
      <w:r>
        <w:rPr>
          <w:spacing w:val="-43"/>
        </w:rPr>
      </w:r>
      <w:r>
        <w:rPr/>
        <w:t>研发的领先技术和产品通过国际酒店集团在中国管理的酒店的成功使用，带动中国本土酒店的技术升级，</w:t>
      </w:r>
      <w:r>
        <w:rPr>
          <w:w w:val="100"/>
        </w:rPr>
        <w:t> </w:t>
      </w:r>
      <w:r>
        <w:rPr>
          <w:spacing w:val="-2"/>
        </w:rPr>
        <w:t>进一步巩固公司在高端酒店信息系统业务领域的优势地位，杭州西软、广州万迅等本土酒店信息系统子公</w:t>
      </w:r>
      <w:r>
        <w:rPr>
          <w:spacing w:val="-44"/>
        </w:rPr>
        <w:t> </w:t>
      </w:r>
      <w:r>
        <w:rPr>
          <w:spacing w:val="-44"/>
        </w:rPr>
      </w:r>
      <w:r>
        <w:rPr>
          <w:spacing w:val="-2"/>
        </w:rPr>
        <w:t>司将继续完善其基于云平台的</w:t>
      </w:r>
      <w:r>
        <w:rPr>
          <w:rFonts w:ascii="Times New Roman" w:hAnsi="Times New Roman" w:cs="Times New Roman" w:eastAsia="Times New Roman" w:hint="default"/>
          <w:spacing w:val="-2"/>
        </w:rPr>
        <w:t>PMS</w:t>
      </w:r>
      <w:r>
        <w:rPr>
          <w:spacing w:val="-2"/>
        </w:rPr>
        <w:t>系统；航信华仪将继续引导高端客户向西软系统升级，未来将重点转移</w:t>
      </w:r>
      <w:r>
        <w:rPr>
          <w:spacing w:val="-43"/>
        </w:rPr>
        <w:t> </w:t>
      </w:r>
      <w:r>
        <w:rPr>
          <w:spacing w:val="-43"/>
        </w:rPr>
      </w:r>
      <w:r>
        <w:rPr>
          <w:spacing w:val="-2"/>
        </w:rPr>
        <w:t>到中端市场，实现集团体系内差异化经营；广州万迅将持续发展云业务支撑平台，平台将为所有千里马酒</w:t>
      </w:r>
      <w:r>
        <w:rPr>
          <w:spacing w:val="-44"/>
        </w:rPr>
        <w:t> </w:t>
      </w:r>
      <w:r>
        <w:rPr>
          <w:spacing w:val="-44"/>
        </w:rPr>
      </w:r>
      <w:r>
        <w:rPr/>
        <w:t>店、餐饮、水疗客户提供电子支付、电子发票、云</w:t>
      </w:r>
      <w:r>
        <w:rPr>
          <w:rFonts w:ascii="Times New Roman" w:hAnsi="Times New Roman" w:cs="Times New Roman" w:eastAsia="Times New Roman" w:hint="default"/>
        </w:rPr>
        <w:t>POS</w:t>
      </w:r>
      <w:r>
        <w:rPr/>
        <w:t>、电子门锁、电子身份证等周边产品应用，为千里</w:t>
      </w:r>
      <w:r>
        <w:rPr>
          <w:spacing w:val="-99"/>
        </w:rPr>
        <w:t> </w:t>
      </w:r>
      <w:r>
        <w:rPr>
          <w:spacing w:val="-99"/>
        </w:rPr>
      </w:r>
      <w:r>
        <w:rPr/>
        <w:t>马核心产品构建完整的周边应用。</w:t>
      </w:r>
    </w:p>
    <w:p>
      <w:pPr>
        <w:pStyle w:val="Heading7"/>
        <w:spacing w:line="240" w:lineRule="auto" w:before="50"/>
        <w:ind w:left="573" w:right="1133"/>
        <w:jc w:val="left"/>
        <w:rPr>
          <w:b w:val="0"/>
          <w:bCs w:val="0"/>
        </w:rPr>
      </w:pPr>
      <w:r>
        <w:rPr/>
        <w:t>（</w:t>
      </w:r>
      <w:r>
        <w:rPr>
          <w:rFonts w:ascii="Times New Roman" w:hAnsi="Times New Roman" w:cs="Times New Roman" w:eastAsia="Times New Roman" w:hint="default"/>
        </w:rPr>
        <w:t>2</w:t>
      </w:r>
      <w:r>
        <w:rPr/>
        <w:t>）餐饮、零售信息系统业务</w:t>
      </w:r>
      <w:r>
        <w:rPr>
          <w:b w:val="0"/>
          <w:bCs w:val="0"/>
        </w:rPr>
      </w:r>
    </w:p>
    <w:p>
      <w:pPr>
        <w:pStyle w:val="BodyText"/>
        <w:spacing w:line="261" w:lineRule="auto" w:before="62"/>
        <w:ind w:right="1126" w:firstLine="420"/>
        <w:jc w:val="both"/>
      </w:pPr>
      <w:r>
        <w:rPr>
          <w:rFonts w:ascii="Times New Roman" w:hAnsi="Times New Roman" w:cs="Times New Roman" w:eastAsia="Times New Roman" w:hint="default"/>
        </w:rPr>
        <w:t>2019</w:t>
      </w:r>
      <w:r>
        <w:rPr/>
        <w:t>年，公司将继续完善和推广基于云平台的新一代餐饮信息系统</w:t>
      </w:r>
      <w:r>
        <w:rPr>
          <w:rFonts w:ascii="Times New Roman" w:hAnsi="Times New Roman" w:cs="Times New Roman" w:eastAsia="Times New Roman" w:hint="default"/>
        </w:rPr>
        <w:t>INFRASYS</w:t>
      </w:r>
      <w:r>
        <w:rPr>
          <w:rFonts w:ascii="Times New Roman" w:hAnsi="Times New Roman" w:cs="Times New Roman" w:eastAsia="Times New Roman" w:hint="default"/>
          <w:spacing w:val="12"/>
        </w:rPr>
        <w:t> </w:t>
      </w:r>
      <w:r>
        <w:rPr>
          <w:rFonts w:ascii="Times New Roman" w:hAnsi="Times New Roman" w:cs="Times New Roman" w:eastAsia="Times New Roman" w:hint="default"/>
        </w:rPr>
        <w:t>CLOUD</w:t>
      </w:r>
      <w:r>
        <w:rPr/>
        <w:t>在国际知名品</w:t>
      </w:r>
      <w:r>
        <w:rPr>
          <w:w w:val="100"/>
        </w:rPr>
        <w:t> </w:t>
      </w:r>
      <w:r>
        <w:rPr>
          <w:spacing w:val="-2"/>
        </w:rPr>
        <w:t>牌的酒店集团的上线，争取获得更多国际酒店集团的认可；同时将会不断地根据市场需求变化完善提升产</w:t>
      </w:r>
      <w:r>
        <w:rPr>
          <w:spacing w:val="-44"/>
        </w:rPr>
        <w:t> </w:t>
      </w:r>
      <w:r>
        <w:rPr>
          <w:spacing w:val="-44"/>
        </w:rPr>
      </w:r>
      <w:r>
        <w:rPr/>
        <w:t>品功能，完善各种</w:t>
      </w:r>
      <w:r>
        <w:rPr>
          <w:rFonts w:ascii="Times New Roman" w:hAnsi="Times New Roman" w:cs="Times New Roman" w:eastAsia="Times New Roman" w:hint="default"/>
        </w:rPr>
        <w:t>API</w:t>
      </w:r>
      <w:r>
        <w:rPr/>
        <w:t>实现更多营销渠道的打通，在餐饮领域打造适宜的生态环境，助力餐厅打造从市场</w:t>
      </w:r>
      <w:r>
        <w:rPr>
          <w:spacing w:val="-45"/>
        </w:rPr>
        <w:t> </w:t>
      </w:r>
      <w:r>
        <w:rPr>
          <w:spacing w:val="-45"/>
        </w:rPr>
      </w:r>
      <w:r>
        <w:rPr>
          <w:spacing w:val="-2"/>
        </w:rPr>
        <w:t>拓展、门店经营、集团物流采购、集团会员管理、</w:t>
      </w:r>
      <w:r>
        <w:rPr>
          <w:rFonts w:ascii="Times New Roman" w:hAnsi="Times New Roman" w:cs="Times New Roman" w:eastAsia="Times New Roman" w:hint="default"/>
          <w:spacing w:val="-2"/>
        </w:rPr>
        <w:t>“O2O”</w:t>
      </w:r>
      <w:r>
        <w:rPr>
          <w:spacing w:val="-2"/>
        </w:rPr>
        <w:t>线上系统直连、智能决策分析等全方位的信息化</w:t>
      </w:r>
      <w:r>
        <w:rPr>
          <w:spacing w:val="-5"/>
        </w:rPr>
        <w:t> </w:t>
      </w:r>
      <w:r>
        <w:rPr>
          <w:spacing w:val="-5"/>
        </w:rPr>
      </w:r>
      <w:r>
        <w:rPr/>
        <w:t>管理系统。</w:t>
      </w:r>
    </w:p>
    <w:p>
      <w:pPr>
        <w:pStyle w:val="BodyText"/>
        <w:spacing w:line="261" w:lineRule="auto" w:before="59"/>
        <w:ind w:right="0" w:firstLine="420"/>
        <w:jc w:val="left"/>
      </w:pPr>
      <w:r>
        <w:rPr>
          <w:rFonts w:ascii="Times New Roman" w:hAnsi="Times New Roman" w:cs="Times New Roman" w:eastAsia="Times New Roman" w:hint="default"/>
        </w:rPr>
        <w:t>2019</w:t>
      </w:r>
      <w:r>
        <w:rPr/>
        <w:t>年，正品贵德将继续聚焦公司在餐饮后端供应链领域的优势，强化公司在餐饮供应链的行业竞争</w:t>
      </w:r>
      <w:r>
        <w:rPr>
          <w:w w:val="100"/>
        </w:rPr>
        <w:t> </w:t>
      </w:r>
      <w:r>
        <w:rPr>
          <w:spacing w:val="-4"/>
        </w:rPr>
        <w:t>优势和市场份额；尝试打通餐饮企业供应链上下游，将上游</w:t>
      </w:r>
      <w:r>
        <w:rPr>
          <w:rFonts w:ascii="Times New Roman" w:hAnsi="Times New Roman" w:cs="Times New Roman" w:eastAsia="Times New Roman" w:hint="default"/>
          <w:spacing w:val="-4"/>
        </w:rPr>
        <w:t>B2B</w:t>
      </w:r>
      <w:r>
        <w:rPr>
          <w:spacing w:val="-4"/>
        </w:rPr>
        <w:t>资源及食品追溯真正融入正品供应链体系；</w:t>
      </w:r>
      <w:r>
        <w:rPr>
          <w:spacing w:val="-16"/>
        </w:rPr>
        <w:t> </w:t>
      </w:r>
      <w:r>
        <w:rPr>
          <w:spacing w:val="-16"/>
        </w:rPr>
      </w:r>
      <w:r>
        <w:rPr/>
        <w:t>全面转型为</w:t>
      </w:r>
      <w:r>
        <w:rPr>
          <w:rFonts w:ascii="Times New Roman" w:hAnsi="Times New Roman" w:cs="Times New Roman" w:eastAsia="Times New Roman" w:hint="default"/>
        </w:rPr>
        <w:t>“</w:t>
      </w:r>
      <w:r>
        <w:rPr/>
        <w:t>产品＋咨询</w:t>
      </w:r>
      <w:r>
        <w:rPr>
          <w:rFonts w:ascii="Times New Roman" w:hAnsi="Times New Roman" w:cs="Times New Roman" w:eastAsia="Times New Roman" w:hint="default"/>
        </w:rPr>
        <w:t>”</w:t>
      </w:r>
      <w:r>
        <w:rPr/>
        <w:t>模式，从以往销售产品为主转型为提供咨询辅导服务为主，增加客户应用价值，</w:t>
      </w:r>
      <w:r>
        <w:rPr>
          <w:w w:val="100"/>
        </w:rPr>
        <w:t> </w:t>
      </w:r>
      <w:r>
        <w:rPr>
          <w:spacing w:val="-2"/>
        </w:rPr>
        <w:t>提高客户粘性；加大市场推广力度，在餐饮供应链培训、咨询、论坛等领域积极推广，让连锁餐饮在规划</w:t>
      </w:r>
      <w:r>
        <w:rPr>
          <w:spacing w:val="-43"/>
        </w:rPr>
        <w:t> </w:t>
      </w:r>
      <w:r>
        <w:rPr>
          <w:spacing w:val="-43"/>
        </w:rPr>
      </w:r>
      <w:r>
        <w:rPr/>
        <w:t>供应链系统时想到正品供应链作为一个选择；择机开展餐饮供应链端的增值服务。</w:t>
      </w:r>
    </w:p>
    <w:p>
      <w:pPr>
        <w:spacing w:after="0" w:line="261"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56" w:lineRule="auto" w:before="36"/>
        <w:ind w:right="1126" w:firstLine="420"/>
        <w:jc w:val="both"/>
      </w:pPr>
      <w:r>
        <w:rPr>
          <w:rFonts w:ascii="Times New Roman" w:hAnsi="Times New Roman" w:cs="Times New Roman" w:eastAsia="Times New Roman" w:hint="default"/>
          <w:spacing w:val="-2"/>
        </w:rPr>
        <w:t>2019</w:t>
      </w:r>
      <w:r>
        <w:rPr>
          <w:spacing w:val="-2"/>
        </w:rPr>
        <w:t>年，富基信息将持续优化自主品牌的软件业务，同时在新零售战略方面重点在聚合营销、聚合支</w:t>
      </w:r>
      <w:r>
        <w:rPr>
          <w:w w:val="100"/>
        </w:rPr>
        <w:t> </w:t>
      </w:r>
      <w:r>
        <w:rPr/>
        <w:t>付、全渠道业务及新门店相关产品、新一代零售综合解决方案的研发、创建与应用上加大研发。</w:t>
      </w:r>
    </w:p>
    <w:p>
      <w:pPr>
        <w:pStyle w:val="BodyText"/>
        <w:spacing w:line="256" w:lineRule="auto" w:before="63"/>
        <w:ind w:right="1126" w:firstLine="420"/>
        <w:jc w:val="both"/>
      </w:pPr>
      <w:r>
        <w:rPr>
          <w:rFonts w:ascii="Times New Roman" w:hAnsi="Times New Roman" w:cs="Times New Roman" w:eastAsia="Times New Roman" w:hint="default"/>
          <w:spacing w:val="-2"/>
        </w:rPr>
        <w:t>2019</w:t>
      </w:r>
      <w:r>
        <w:rPr>
          <w:spacing w:val="-2"/>
        </w:rPr>
        <w:t>年，长益科技将继续以实体零售业务为核心，在提升好百货、购物中心、超市市场的同时，加强</w:t>
      </w:r>
      <w:r>
        <w:rPr>
          <w:w w:val="100"/>
        </w:rPr>
        <w:t> </w:t>
      </w:r>
      <w:r>
        <w:rPr/>
        <w:t>家居、机场、数码等零售市场，同时积极进入三四线城市零售市场。</w:t>
      </w:r>
    </w:p>
    <w:p>
      <w:pPr>
        <w:pStyle w:val="BodyText"/>
        <w:spacing w:line="264" w:lineRule="auto" w:before="61"/>
        <w:ind w:right="1105" w:firstLine="420"/>
        <w:jc w:val="both"/>
      </w:pPr>
      <w:r>
        <w:rPr>
          <w:rFonts w:ascii="Times New Roman" w:hAnsi="Times New Roman" w:cs="Times New Roman" w:eastAsia="Times New Roman" w:hint="default"/>
          <w:spacing w:val="-2"/>
        </w:rPr>
        <w:t>2019</w:t>
      </w:r>
      <w:r>
        <w:rPr>
          <w:spacing w:val="-2"/>
        </w:rPr>
        <w:t>年，思迅软件将基于大量存量客户和市场基础，加大对</w:t>
      </w:r>
      <w:r>
        <w:rPr>
          <w:rFonts w:ascii="Times New Roman" w:hAnsi="Times New Roman" w:cs="Times New Roman" w:eastAsia="Times New Roman" w:hint="default"/>
          <w:spacing w:val="-2"/>
        </w:rPr>
        <w:t>O2O</w:t>
      </w:r>
      <w:r>
        <w:rPr>
          <w:spacing w:val="-2"/>
        </w:rPr>
        <w:t>、支付等业务的推广，同时加快传统</w:t>
      </w:r>
      <w:r>
        <w:rPr>
          <w:w w:val="100"/>
        </w:rPr>
        <w:t> </w:t>
      </w:r>
      <w:r>
        <w:rPr>
          <w:spacing w:val="-2"/>
        </w:rPr>
        <w:t>业务向新零售业务升级，加快产品升级和开发技术转型，增强线上线下一体化业务的整体竞争优势；设立</w:t>
      </w:r>
      <w:r>
        <w:rPr>
          <w:spacing w:val="-43"/>
        </w:rPr>
        <w:t> </w:t>
      </w:r>
      <w:r>
        <w:rPr>
          <w:spacing w:val="-43"/>
        </w:rPr>
      </w:r>
      <w:r>
        <w:rPr>
          <w:spacing w:val="-2"/>
        </w:rPr>
        <w:t>专职部门，加大支付推广和完善支付接入业务，扩大线下消费流量入口；尝试新的增值业务，如和广告、</w:t>
      </w:r>
      <w:r>
        <w:rPr>
          <w:spacing w:val="-21"/>
        </w:rPr>
        <w:t> </w:t>
      </w:r>
      <w:r>
        <w:rPr>
          <w:spacing w:val="-21"/>
        </w:rPr>
      </w:r>
      <w:r>
        <w:rPr>
          <w:spacing w:val="-2"/>
        </w:rPr>
        <w:t>金融贷款等第三方进行合作业务；思迅软件全资子公司思迅网络将继续增加</w:t>
      </w:r>
      <w:r>
        <w:rPr>
          <w:rFonts w:ascii="Times New Roman" w:hAnsi="Times New Roman" w:cs="Times New Roman" w:eastAsia="Times New Roman" w:hint="default"/>
          <w:spacing w:val="-2"/>
        </w:rPr>
        <w:t>SaaS</w:t>
      </w:r>
      <w:r>
        <w:rPr>
          <w:spacing w:val="-2"/>
        </w:rPr>
        <w:t>平台技术研究及技术储备</w:t>
      </w:r>
      <w:r>
        <w:rPr>
          <w:spacing w:val="-45"/>
        </w:rPr>
        <w:t> </w:t>
      </w:r>
      <w:r>
        <w:rPr>
          <w:spacing w:val="-45"/>
        </w:rPr>
      </w:r>
      <w:r>
        <w:rPr>
          <w:spacing w:val="-2"/>
        </w:rPr>
        <w:t>的投入，丰富</w:t>
      </w:r>
      <w:r>
        <w:rPr>
          <w:rFonts w:ascii="Times New Roman" w:hAnsi="Times New Roman" w:cs="Times New Roman" w:eastAsia="Times New Roman" w:hint="default"/>
          <w:spacing w:val="-2"/>
        </w:rPr>
        <w:t>“</w:t>
      </w:r>
      <w:r>
        <w:rPr>
          <w:spacing w:val="-2"/>
        </w:rPr>
        <w:t>天店</w:t>
      </w:r>
      <w:r>
        <w:rPr>
          <w:rFonts w:ascii="Times New Roman" w:hAnsi="Times New Roman" w:cs="Times New Roman" w:eastAsia="Times New Roman" w:hint="default"/>
          <w:spacing w:val="-2"/>
        </w:rPr>
        <w:t>”</w:t>
      </w:r>
      <w:r>
        <w:rPr>
          <w:spacing w:val="-2"/>
        </w:rPr>
        <w:t>平台的应用场景、功能及优化用户体验，重点为商户实现移动化管理及融合线上线下</w:t>
      </w:r>
      <w:r>
        <w:rPr>
          <w:spacing w:val="-17"/>
        </w:rPr>
        <w:t> </w:t>
      </w:r>
      <w:r>
        <w:rPr>
          <w:spacing w:val="-17"/>
        </w:rPr>
      </w:r>
      <w:r>
        <w:rPr/>
        <w:t>的精准营销；进一步开拓渠道市场，加大销售和服务支持覆盖面，实现业务持续增长。</w:t>
      </w:r>
    </w:p>
    <w:p>
      <w:pPr>
        <w:pStyle w:val="Heading7"/>
        <w:spacing w:line="240" w:lineRule="auto" w:before="57"/>
        <w:ind w:left="573" w:right="1133"/>
        <w:jc w:val="left"/>
        <w:rPr>
          <w:b w:val="0"/>
          <w:bCs w:val="0"/>
        </w:rPr>
      </w:pPr>
      <w:r>
        <w:rPr/>
        <w:t>（</w:t>
      </w:r>
      <w:r>
        <w:rPr>
          <w:rFonts w:ascii="Times New Roman" w:hAnsi="Times New Roman" w:cs="Times New Roman" w:eastAsia="Times New Roman" w:hint="default"/>
        </w:rPr>
        <w:t>3</w:t>
      </w:r>
      <w:r>
        <w:rPr/>
        <w:t>）畅联业务</w:t>
      </w:r>
      <w:r>
        <w:rPr>
          <w:b w:val="0"/>
          <w:bCs w:val="0"/>
        </w:rPr>
      </w:r>
    </w:p>
    <w:p>
      <w:pPr>
        <w:pStyle w:val="BodyText"/>
        <w:spacing w:line="256" w:lineRule="auto" w:before="62"/>
        <w:ind w:right="1126" w:firstLine="420"/>
        <w:jc w:val="both"/>
      </w:pPr>
      <w:r>
        <w:rPr>
          <w:rFonts w:ascii="Times New Roman" w:hAnsi="Times New Roman" w:cs="Times New Roman" w:eastAsia="Times New Roman" w:hint="default"/>
          <w:spacing w:val="-2"/>
        </w:rPr>
        <w:t>2019</w:t>
      </w:r>
      <w:r>
        <w:rPr>
          <w:spacing w:val="-2"/>
        </w:rPr>
        <w:t>年，畅联旅游在线交易平台业务将在继续执行与分销渠道和酒店直连合作现有协议的同时，积极</w:t>
      </w:r>
      <w:r>
        <w:rPr>
          <w:w w:val="100"/>
        </w:rPr>
        <w:t> </w:t>
      </w:r>
      <w:r>
        <w:rPr>
          <w:spacing w:val="-4"/>
        </w:rPr>
        <w:t>推进直连在集团</w:t>
      </w:r>
      <w:r>
        <w:rPr>
          <w:rFonts w:ascii="Times New Roman" w:hAnsi="Times New Roman" w:cs="Times New Roman" w:eastAsia="Times New Roman" w:hint="default"/>
          <w:spacing w:val="-4"/>
        </w:rPr>
        <w:t>/</w:t>
      </w:r>
      <w:r>
        <w:rPr>
          <w:spacing w:val="-4"/>
        </w:rPr>
        <w:t>酒店与多种类型渠道合作中的应用，技术功能继续升级，不断深入与飞猪等平台的战略合</w:t>
      </w:r>
      <w:r>
        <w:rPr>
          <w:spacing w:val="-8"/>
        </w:rPr>
        <w:t> </w:t>
      </w:r>
      <w:r>
        <w:rPr>
          <w:spacing w:val="-8"/>
        </w:rPr>
      </w:r>
      <w:r>
        <w:rPr/>
        <w:t>作，保持畅联流量的良性增长。</w:t>
      </w:r>
    </w:p>
    <w:p>
      <w:pPr>
        <w:pStyle w:val="Heading7"/>
        <w:spacing w:line="240" w:lineRule="auto" w:before="61"/>
        <w:ind w:left="573" w:right="1133"/>
        <w:jc w:val="left"/>
        <w:rPr>
          <w:b w:val="0"/>
          <w:bCs w:val="0"/>
        </w:rPr>
      </w:pPr>
      <w:r>
        <w:rPr/>
        <w:t>（</w:t>
      </w:r>
      <w:r>
        <w:rPr>
          <w:rFonts w:ascii="Times New Roman" w:hAnsi="Times New Roman" w:cs="Times New Roman" w:eastAsia="Times New Roman" w:hint="default"/>
        </w:rPr>
        <w:t>4</w:t>
      </w:r>
      <w:r>
        <w:rPr/>
        <w:t>）支付业务</w:t>
      </w:r>
      <w:r>
        <w:rPr>
          <w:b w:val="0"/>
          <w:bCs w:val="0"/>
        </w:rPr>
      </w:r>
    </w:p>
    <w:p>
      <w:pPr>
        <w:pStyle w:val="BodyText"/>
        <w:spacing w:line="256" w:lineRule="auto" w:before="62"/>
        <w:ind w:right="1126" w:firstLine="420"/>
        <w:jc w:val="both"/>
      </w:pPr>
      <w:r>
        <w:rPr>
          <w:rFonts w:ascii="Times New Roman" w:hAnsi="Times New Roman" w:cs="Times New Roman" w:eastAsia="Times New Roman" w:hint="default"/>
          <w:spacing w:val="-2"/>
        </w:rPr>
        <w:t>2019</w:t>
      </w:r>
      <w:r>
        <w:rPr>
          <w:spacing w:val="-2"/>
        </w:rPr>
        <w:t>年，南京银石将进一步加强平台产品研发，成立较为独立的研发小组，该小组不再接受定制化开</w:t>
      </w:r>
      <w:r>
        <w:rPr>
          <w:w w:val="100"/>
        </w:rPr>
        <w:t> </w:t>
      </w:r>
      <w:r>
        <w:rPr>
          <w:spacing w:val="-2"/>
        </w:rPr>
        <w:t>发需求，而是根据市场环境变化，采用</w:t>
      </w:r>
      <w:r>
        <w:rPr>
          <w:rFonts w:ascii="Times New Roman" w:hAnsi="Times New Roman" w:cs="Times New Roman" w:eastAsia="Times New Roman" w:hint="default"/>
          <w:spacing w:val="-2"/>
        </w:rPr>
        <w:t>SaaS</w:t>
      </w:r>
      <w:r>
        <w:rPr>
          <w:spacing w:val="-2"/>
        </w:rPr>
        <w:t>模式、新技术手段实现原有软件产品的功能；为了推广</w:t>
      </w:r>
      <w:r>
        <w:rPr>
          <w:rFonts w:ascii="Times New Roman" w:hAnsi="Times New Roman" w:cs="Times New Roman" w:eastAsia="Times New Roman" w:hint="default"/>
          <w:spacing w:val="-2"/>
        </w:rPr>
        <w:t>SaaS</w:t>
      </w:r>
      <w:r>
        <w:rPr>
          <w:spacing w:val="-2"/>
        </w:rPr>
        <w:t>模</w:t>
      </w:r>
      <w:r>
        <w:rPr>
          <w:spacing w:val="-38"/>
        </w:rPr>
        <w:t> </w:t>
      </w:r>
      <w:r>
        <w:rPr/>
        <w:t>式的</w:t>
      </w:r>
      <w:r>
        <w:rPr>
          <w:rFonts w:ascii="Times New Roman" w:hAnsi="Times New Roman" w:cs="Times New Roman" w:eastAsia="Times New Roman" w:hint="default"/>
        </w:rPr>
        <w:t>PNG</w:t>
      </w:r>
      <w:r>
        <w:rPr/>
        <w:t>产品，将销售组一分为二，以酒店业为此产品的主要目标，非酒店行业继续推广传统</w:t>
      </w:r>
      <w:r>
        <w:rPr>
          <w:rFonts w:ascii="Times New Roman" w:hAnsi="Times New Roman" w:cs="Times New Roman" w:eastAsia="Times New Roman" w:hint="default"/>
        </w:rPr>
        <w:t>SoftPOS</w:t>
      </w:r>
      <w:r>
        <w:rPr/>
        <w:t>及</w:t>
      </w:r>
      <w:r>
        <w:rPr>
          <w:spacing w:val="-22"/>
        </w:rPr>
        <w:t> </w:t>
      </w:r>
      <w:r>
        <w:rPr>
          <w:spacing w:val="-2"/>
        </w:rPr>
        <w:t>其衍生的产品，同时拓展云</w:t>
      </w:r>
      <w:r>
        <w:rPr>
          <w:rFonts w:ascii="Times New Roman" w:hAnsi="Times New Roman" w:cs="Times New Roman" w:eastAsia="Times New Roman" w:hint="default"/>
          <w:spacing w:val="-2"/>
        </w:rPr>
        <w:t>SoftPOS</w:t>
      </w:r>
      <w:r>
        <w:rPr>
          <w:spacing w:val="-2"/>
        </w:rPr>
        <w:t>的市场；挖掘各子公司的存量商户和新项目来拓展轻量级的</w:t>
      </w:r>
      <w:r>
        <w:rPr>
          <w:rFonts w:ascii="Times New Roman" w:hAnsi="Times New Roman" w:cs="Times New Roman" w:eastAsia="Times New Roman" w:hint="default"/>
          <w:spacing w:val="-2"/>
        </w:rPr>
        <w:t>SoftPOS</w:t>
      </w:r>
      <w:r>
        <w:rPr>
          <w:spacing w:val="-2"/>
        </w:rPr>
        <w:t>业</w:t>
      </w:r>
      <w:r>
        <w:rPr>
          <w:spacing w:val="-33"/>
        </w:rPr>
        <w:t> </w:t>
      </w:r>
      <w:r>
        <w:rPr/>
        <w:t>务；加强与大商户集团的关系。</w:t>
      </w:r>
    </w:p>
    <w:p>
      <w:pPr>
        <w:pStyle w:val="Heading7"/>
        <w:spacing w:line="240" w:lineRule="auto" w:before="63"/>
        <w:ind w:left="573" w:right="1133"/>
        <w:jc w:val="left"/>
        <w:rPr>
          <w:b w:val="0"/>
          <w:bCs w:val="0"/>
        </w:rPr>
      </w:pPr>
      <w:r>
        <w:rPr/>
        <w:t>（</w:t>
      </w:r>
      <w:r>
        <w:rPr>
          <w:rFonts w:ascii="Times New Roman" w:hAnsi="Times New Roman" w:cs="Times New Roman" w:eastAsia="Times New Roman" w:hint="default"/>
        </w:rPr>
        <w:t>5</w:t>
      </w:r>
      <w:r>
        <w:rPr/>
        <w:t>）第三方硬件配套业务</w:t>
      </w:r>
      <w:r>
        <w:rPr>
          <w:b w:val="0"/>
          <w:bCs w:val="0"/>
        </w:rPr>
      </w:r>
    </w:p>
    <w:p>
      <w:pPr>
        <w:pStyle w:val="BodyText"/>
        <w:spacing w:line="264" w:lineRule="auto" w:before="59"/>
        <w:ind w:right="1105" w:firstLine="420"/>
        <w:jc w:val="both"/>
      </w:pPr>
      <w:r>
        <w:rPr>
          <w:rFonts w:ascii="Times New Roman" w:hAnsi="Times New Roman" w:cs="Times New Roman" w:eastAsia="Times New Roman" w:hint="default"/>
          <w:spacing w:val="-2"/>
        </w:rPr>
        <w:t>2019</w:t>
      </w:r>
      <w:r>
        <w:rPr>
          <w:spacing w:val="-2"/>
        </w:rPr>
        <w:t>年，公司从事第三方硬件配套业务的全资子公司中电器件将依托集团在零售、餐饮等领域庞大的</w:t>
      </w:r>
      <w:r>
        <w:rPr>
          <w:w w:val="100"/>
        </w:rPr>
        <w:t> </w:t>
      </w:r>
      <w:r>
        <w:rPr>
          <w:spacing w:val="-2"/>
        </w:rPr>
        <w:t>客户资源，通过提高销售人员的全线产品综合销售能力，进一步丰富产品线、开拓新业务、探索新领域，</w:t>
      </w:r>
      <w:r>
        <w:rPr>
          <w:spacing w:val="-21"/>
        </w:rPr>
        <w:t> </w:t>
      </w:r>
      <w:r>
        <w:rPr>
          <w:spacing w:val="-21"/>
        </w:rPr>
      </w:r>
      <w:r>
        <w:rPr/>
        <w:t>做深层次复合化销售，推动公司业绩再上新台阶。</w:t>
      </w:r>
    </w:p>
    <w:p>
      <w:pPr>
        <w:pStyle w:val="Heading7"/>
        <w:spacing w:line="240" w:lineRule="auto" w:before="57"/>
        <w:ind w:left="573" w:right="1133"/>
        <w:jc w:val="left"/>
        <w:rPr>
          <w:b w:val="0"/>
          <w:bCs w:val="0"/>
        </w:rPr>
      </w:pPr>
      <w:r>
        <w:rPr>
          <w:rFonts w:ascii="Times New Roman" w:hAnsi="Times New Roman" w:cs="Times New Roman" w:eastAsia="Times New Roman" w:hint="default"/>
        </w:rPr>
        <w:t>4</w:t>
      </w:r>
      <w:r>
        <w:rPr/>
        <w:t>、资金需求及使用计划</w:t>
      </w:r>
      <w:r>
        <w:rPr>
          <w:b w:val="0"/>
          <w:bCs w:val="0"/>
        </w:rPr>
      </w:r>
    </w:p>
    <w:p>
      <w:pPr>
        <w:pStyle w:val="BodyText"/>
        <w:spacing w:line="264" w:lineRule="auto" w:before="62"/>
        <w:ind w:right="1126" w:firstLine="420"/>
        <w:jc w:val="both"/>
      </w:pPr>
      <w:r>
        <w:rPr>
          <w:rFonts w:ascii="Times New Roman" w:hAnsi="Times New Roman" w:cs="Times New Roman" w:eastAsia="Times New Roman" w:hint="default"/>
          <w:spacing w:val="-2"/>
        </w:rPr>
        <w:t>2019</w:t>
      </w:r>
      <w:r>
        <w:rPr>
          <w:spacing w:val="-2"/>
        </w:rPr>
        <w:t>年，公司仍将紧密围绕平台化与国际化发展战略相关领域进行投资，并在新一代酒店、餐饮和商</w:t>
      </w:r>
      <w:r>
        <w:rPr>
          <w:w w:val="100"/>
        </w:rPr>
        <w:t> </w:t>
      </w:r>
      <w:r>
        <w:rPr>
          <w:spacing w:val="-2"/>
        </w:rPr>
        <w:t>业流通信息管理系统的研发，与阿里巴巴开展新零售业务合作，以及酒店信息系统国际化业务拓展等多方</w:t>
      </w:r>
      <w:r>
        <w:rPr>
          <w:spacing w:val="-44"/>
        </w:rPr>
        <w:t> </w:t>
      </w:r>
      <w:r>
        <w:rPr>
          <w:spacing w:val="-44"/>
        </w:rPr>
      </w:r>
      <w:r>
        <w:rPr/>
        <w:t>面重点投入，并结合业务规模扩大带来的资金需求，合理筹集、安排和使用资金。</w:t>
      </w:r>
    </w:p>
    <w:p>
      <w:pPr>
        <w:pStyle w:val="Heading7"/>
        <w:spacing w:line="240" w:lineRule="auto" w:before="54"/>
        <w:ind w:left="573" w:right="1133"/>
        <w:jc w:val="left"/>
        <w:rPr>
          <w:b w:val="0"/>
          <w:bCs w:val="0"/>
        </w:rPr>
      </w:pPr>
      <w:r>
        <w:rPr>
          <w:rFonts w:ascii="Times New Roman" w:hAnsi="Times New Roman" w:cs="Times New Roman" w:eastAsia="Times New Roman" w:hint="default"/>
        </w:rPr>
        <w:t>5</w:t>
      </w:r>
      <w:r>
        <w:rPr/>
        <w:t>、公司未来发展可能面临的风险因素</w:t>
      </w:r>
      <w:r>
        <w:rPr>
          <w:b w:val="0"/>
          <w:bCs w:val="0"/>
        </w:rPr>
      </w:r>
    </w:p>
    <w:p>
      <w:pPr>
        <w:pStyle w:val="BodyText"/>
        <w:spacing w:line="290" w:lineRule="auto" w:before="62"/>
        <w:ind w:left="573" w:right="1133" w:firstLine="26"/>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）技术及产品开发</w:t>
      </w:r>
      <w:r>
        <w:rPr>
          <w:rFonts w:ascii="宋体" w:hAnsi="宋体" w:cs="宋体" w:eastAsia="宋体" w:hint="default"/>
          <w:b/>
          <w:bCs/>
          <w:w w:val="100"/>
        </w:rPr>
        <w:t> </w:t>
      </w:r>
      <w:r>
        <w:rPr>
          <w:spacing w:val="-2"/>
        </w:rPr>
        <w:t>技术及产品开发对公司的市场竞争力和未来发展具有重要影响。软件技术是更新换代速度最快的技术</w:t>
      </w:r>
    </w:p>
    <w:p>
      <w:pPr>
        <w:pStyle w:val="BodyText"/>
        <w:spacing w:line="271" w:lineRule="auto"/>
        <w:ind w:right="0"/>
        <w:jc w:val="left"/>
      </w:pPr>
      <w:r>
        <w:rPr/>
        <w:t>之一，与其他</w:t>
      </w:r>
      <w:r>
        <w:rPr>
          <w:rFonts w:ascii="Times New Roman" w:hAnsi="Times New Roman" w:cs="Times New Roman" w:eastAsia="Times New Roman" w:hint="default"/>
        </w:rPr>
        <w:t>IT</w:t>
      </w:r>
      <w:r>
        <w:rPr/>
        <w:t>企业一样，公司必须适应技术进步快、产品更新快、市场需求转型快的行业特点。作为目</w:t>
      </w:r>
      <w:r>
        <w:rPr>
          <w:w w:val="100"/>
        </w:rPr>
        <w:t> </w:t>
      </w:r>
      <w:r>
        <w:rPr>
          <w:spacing w:val="-2"/>
        </w:rPr>
        <w:t>前国内最主要的酒店信息管理系统全面解决方案提供商之一，公司必须能准确预测技术发展趋势，并利用</w:t>
      </w:r>
      <w:r>
        <w:rPr>
          <w:spacing w:val="-43"/>
        </w:rPr>
        <w:t> </w:t>
      </w:r>
      <w:r>
        <w:rPr>
          <w:spacing w:val="-43"/>
        </w:rPr>
      </w:r>
      <w:r>
        <w:rPr>
          <w:spacing w:val="-2"/>
        </w:rPr>
        <w:t>成熟、实用、先进的技术作为自己的开发和应用环境。如果公司不能准确预测软件开发技术发展趋势，或</w:t>
      </w:r>
      <w:r>
        <w:rPr>
          <w:spacing w:val="-44"/>
        </w:rPr>
        <w:t> </w:t>
      </w:r>
      <w:r>
        <w:rPr>
          <w:spacing w:val="-44"/>
        </w:rPr>
      </w:r>
      <w:r>
        <w:rPr>
          <w:spacing w:val="-2"/>
        </w:rPr>
        <w:t>是使用落后、不实用的技术进行产品研发，或公司对产品和市场需求的把握出现偏差、不能及时调整，或</w:t>
      </w:r>
      <w:r>
        <w:rPr>
          <w:spacing w:val="-47"/>
        </w:rPr>
        <w:t> </w:t>
      </w:r>
      <w:r>
        <w:rPr>
          <w:spacing w:val="-47"/>
        </w:rPr>
      </w:r>
      <w:r>
        <w:rPr>
          <w:spacing w:val="-5"/>
        </w:rPr>
        <w:t>新技术、新产品不能迅速推广应用，将可能使公司丧失技术和市场的领先地位，面临技术与产品开发风险。 </w:t>
      </w:r>
      <w:r>
        <w:rPr>
          <w:spacing w:val="-5"/>
        </w:rPr>
      </w:r>
      <w:r>
        <w:rPr>
          <w:spacing w:val="-2"/>
        </w:rPr>
        <w:t>为了应对这一风险，公司一直加大对新技术、新产品的研发投入，不断加强与处于行业领导地位的客户的</w:t>
      </w:r>
      <w:r>
        <w:rPr>
          <w:spacing w:val="-43"/>
        </w:rPr>
        <w:t> </w:t>
      </w:r>
      <w:r>
        <w:rPr>
          <w:spacing w:val="-43"/>
        </w:rPr>
      </w:r>
      <w:r>
        <w:rPr/>
        <w:t>交流与合作。</w:t>
      </w:r>
    </w:p>
    <w:p>
      <w:pPr>
        <w:pStyle w:val="BodyText"/>
        <w:spacing w:line="290" w:lineRule="auto" w:before="48"/>
        <w:ind w:left="573" w:right="1133"/>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）市场及政策</w:t>
      </w:r>
      <w:r>
        <w:rPr>
          <w:rFonts w:ascii="宋体" w:hAnsi="宋体" w:cs="宋体" w:eastAsia="宋体" w:hint="default"/>
          <w:b/>
          <w:bCs/>
          <w:spacing w:val="-104"/>
        </w:rPr>
        <w:t> </w:t>
      </w:r>
      <w:r>
        <w:rPr>
          <w:spacing w:val="-2"/>
        </w:rPr>
        <w:t>公司是国内领先的旅游业信息管理系统整体解决方案提供商。我国国民经济的迅速增长带动了旅游业</w:t>
      </w:r>
    </w:p>
    <w:p>
      <w:pPr>
        <w:pStyle w:val="BodyText"/>
        <w:spacing w:line="273" w:lineRule="auto"/>
        <w:ind w:right="1133"/>
        <w:jc w:val="left"/>
      </w:pPr>
      <w:r>
        <w:rPr>
          <w:spacing w:val="-2"/>
        </w:rPr>
        <w:t>的迅猛发展，作为旅游业核心部分的酒店业也得到了长足的发展。同时我国酒店业的信息化建设从最初的</w:t>
      </w:r>
      <w:r>
        <w:rPr>
          <w:spacing w:val="-43"/>
        </w:rPr>
        <w:t> </w:t>
      </w:r>
      <w:r>
        <w:rPr>
          <w:spacing w:val="-43"/>
        </w:rPr>
      </w:r>
      <w:r>
        <w:rPr>
          <w:spacing w:val="-2"/>
        </w:rPr>
        <w:t>电算化、自动化初级阶段迅速发展到目前的集成化、网络化、协同化阶段，酒店业对信息化产品的需求不</w:t>
      </w:r>
    </w:p>
    <w:p>
      <w:pPr>
        <w:spacing w:after="0" w:line="273"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40" w:lineRule="auto" w:before="36"/>
        <w:ind w:right="0"/>
        <w:jc w:val="both"/>
      </w:pPr>
      <w:r>
        <w:rPr/>
        <w:t>断发展和深化。</w:t>
      </w:r>
    </w:p>
    <w:p>
      <w:pPr>
        <w:pStyle w:val="BodyText"/>
        <w:spacing w:line="268" w:lineRule="auto" w:before="78"/>
        <w:ind w:right="1126" w:firstLine="420"/>
        <w:jc w:val="both"/>
      </w:pPr>
      <w:r>
        <w:rPr>
          <w:rFonts w:ascii="Times New Roman" w:hAnsi="Times New Roman" w:cs="Times New Roman" w:eastAsia="Times New Roman" w:hint="default"/>
          <w:spacing w:val="-2"/>
        </w:rPr>
        <w:t>2008</w:t>
      </w:r>
      <w:r>
        <w:rPr>
          <w:spacing w:val="-2"/>
        </w:rPr>
        <w:t>年以前国内高星级酒店的投资增速较高，公司的收入和净利润保持了较快的增长。</w:t>
      </w:r>
      <w:r>
        <w:rPr>
          <w:rFonts w:ascii="Times New Roman" w:hAnsi="Times New Roman" w:cs="Times New Roman" w:eastAsia="Times New Roman" w:hint="default"/>
          <w:spacing w:val="-2"/>
        </w:rPr>
        <w:t>2009</w:t>
      </w:r>
      <w:r>
        <w:rPr>
          <w:spacing w:val="-2"/>
        </w:rPr>
        <w:t>年金融危</w:t>
      </w:r>
      <w:r>
        <w:rPr>
          <w:w w:val="100"/>
        </w:rPr>
        <w:t> </w:t>
      </w:r>
      <w:r>
        <w:rPr>
          <w:spacing w:val="-2"/>
        </w:rPr>
        <w:t>机导致国内高星级酒店的建设放缓，公司的收入和净利润出现了近十年间唯一的一次负增长。近年来受国</w:t>
      </w:r>
      <w:r>
        <w:rPr>
          <w:spacing w:val="-43"/>
        </w:rPr>
        <w:t> </w:t>
      </w:r>
      <w:r>
        <w:rPr>
          <w:spacing w:val="-43"/>
        </w:rPr>
      </w:r>
      <w:r>
        <w:rPr>
          <w:spacing w:val="-1"/>
        </w:rPr>
        <w:t>家整体经济增速放缓，中央</w:t>
      </w:r>
      <w:r>
        <w:rPr>
          <w:rFonts w:ascii="Times New Roman" w:hAnsi="Times New Roman" w:cs="Times New Roman" w:eastAsia="Times New Roman" w:hint="default"/>
          <w:spacing w:val="-1"/>
        </w:rPr>
        <w:t>“</w:t>
      </w:r>
      <w:r>
        <w:rPr>
          <w:spacing w:val="-1"/>
        </w:rPr>
        <w:t>八项规定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六项禁令</w:t>
      </w:r>
      <w:r>
        <w:rPr>
          <w:rFonts w:ascii="Times New Roman" w:hAnsi="Times New Roman" w:cs="Times New Roman" w:eastAsia="Times New Roman" w:hint="default"/>
          <w:spacing w:val="-1"/>
        </w:rPr>
        <w:t>”</w:t>
      </w:r>
      <w:r>
        <w:rPr>
          <w:spacing w:val="-1"/>
        </w:rPr>
        <w:t>的深入推行对公款消费的影响，中国旅游酒店业扩张</w:t>
      </w:r>
      <w:r>
        <w:rPr>
          <w:spacing w:val="-41"/>
        </w:rPr>
        <w:t> </w:t>
      </w:r>
      <w:r>
        <w:rPr>
          <w:spacing w:val="-41"/>
        </w:rPr>
      </w:r>
      <w:r>
        <w:rPr>
          <w:spacing w:val="-2"/>
        </w:rPr>
        <w:t>速度有所放缓，宏观经济下行导致高端酒店建设不及预期，酒店及餐饮行业处于转型升级期，对公司经营</w:t>
      </w:r>
      <w:r>
        <w:rPr>
          <w:spacing w:val="-44"/>
        </w:rPr>
        <w:t> </w:t>
      </w:r>
      <w:r>
        <w:rPr>
          <w:spacing w:val="-44"/>
        </w:rPr>
      </w:r>
      <w:r>
        <w:rPr>
          <w:spacing w:val="-2"/>
        </w:rPr>
        <w:t>业绩产生了一定影响。同时酒店行业的发展有其自身的客观规律，也存在诸多风险因素。如出现大规模流</w:t>
      </w:r>
      <w:r>
        <w:rPr>
          <w:spacing w:val="-44"/>
        </w:rPr>
        <w:t> </w:t>
      </w:r>
      <w:r>
        <w:rPr>
          <w:spacing w:val="-44"/>
        </w:rPr>
      </w:r>
      <w:r>
        <w:rPr>
          <w:spacing w:val="-2"/>
        </w:rPr>
        <w:t>行性疾病、自然灾害等，造成酒店行业一定时期的持续低迷，都将会对公司的业务经营产生较大的不利影</w:t>
      </w:r>
      <w:r>
        <w:rPr>
          <w:spacing w:val="-44"/>
        </w:rPr>
        <w:t> </w:t>
      </w:r>
      <w:r>
        <w:rPr>
          <w:spacing w:val="-44"/>
        </w:rPr>
      </w:r>
      <w:r>
        <w:rPr>
          <w:spacing w:val="-2"/>
        </w:rPr>
        <w:t>响。为此，公司近年来将软件业务向零售、休闲娱乐业拓展的同时，正在积极打造预订和支付平台，加速</w:t>
      </w:r>
      <w:r>
        <w:rPr>
          <w:spacing w:val="-43"/>
        </w:rPr>
        <w:t> </w:t>
      </w:r>
      <w:r>
        <w:rPr>
          <w:spacing w:val="-43"/>
        </w:rPr>
      </w:r>
      <w:r>
        <w:rPr/>
        <w:t>从单纯的软件供应商向平台运营商的转型。</w:t>
      </w:r>
    </w:p>
    <w:p>
      <w:pPr>
        <w:pStyle w:val="BodyText"/>
        <w:spacing w:line="290" w:lineRule="auto" w:before="50"/>
        <w:ind w:left="573" w:right="1133"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）经营管理</w:t>
      </w:r>
      <w:r>
        <w:rPr>
          <w:rFonts w:ascii="宋体" w:hAnsi="宋体" w:cs="宋体" w:eastAsia="宋体" w:hint="default"/>
          <w:b/>
          <w:bCs/>
          <w:w w:val="100"/>
        </w:rPr>
        <w:t> </w:t>
      </w:r>
      <w:r>
        <w:rPr>
          <w:spacing w:val="-2"/>
        </w:rPr>
        <w:t>随着公司业务的发展，公司资产规模和业务规模将进一步扩大，这对公司的管理水平将提出更高的要</w:t>
      </w:r>
    </w:p>
    <w:p>
      <w:pPr>
        <w:pStyle w:val="BodyText"/>
        <w:spacing w:line="266" w:lineRule="auto"/>
        <w:ind w:right="1126"/>
        <w:jc w:val="both"/>
      </w:pPr>
      <w:r>
        <w:rPr>
          <w:spacing w:val="-2"/>
        </w:rPr>
        <w:t>求。如果公司的管理人员储备、管控体系的调整不能适应公司业务快速发展的要求，将对公司的整体运营</w:t>
      </w:r>
      <w:r>
        <w:rPr>
          <w:spacing w:val="-43"/>
        </w:rPr>
        <w:t> </w:t>
      </w:r>
      <w:r>
        <w:rPr>
          <w:spacing w:val="-43"/>
        </w:rPr>
      </w:r>
      <w:r>
        <w:rPr>
          <w:spacing w:val="-2"/>
        </w:rPr>
        <w:t>造成不利影响，进而影响业务的正常开展。为此，公司在</w:t>
      </w:r>
      <w:r>
        <w:rPr>
          <w:rFonts w:ascii="Times New Roman" w:hAnsi="Times New Roman" w:cs="Times New Roman" w:eastAsia="Times New Roman" w:hint="default"/>
          <w:spacing w:val="-2"/>
        </w:rPr>
        <w:t>2015</w:t>
      </w:r>
      <w:r>
        <w:rPr>
          <w:spacing w:val="-2"/>
        </w:rPr>
        <w:t>年已经引入了国际化管理团队，采取步步为</w:t>
      </w:r>
      <w:r>
        <w:rPr>
          <w:spacing w:val="-42"/>
        </w:rPr>
        <w:t> </w:t>
      </w:r>
      <w:r>
        <w:rPr>
          <w:spacing w:val="-42"/>
        </w:rPr>
      </w:r>
      <w:r>
        <w:rPr/>
        <w:t>营，先香港、亚洲，再德国、欧洲，后美国的策略，加强内部控制体系建设，提升内部控制水平。</w:t>
      </w:r>
    </w:p>
    <w:p>
      <w:pPr>
        <w:pStyle w:val="BodyText"/>
        <w:spacing w:line="273" w:lineRule="auto" w:before="55"/>
        <w:ind w:right="1126" w:firstLine="420"/>
        <w:jc w:val="both"/>
      </w:pPr>
      <w:r>
        <w:rPr>
          <w:spacing w:val="-2"/>
        </w:rPr>
        <w:t>其次，由于公司的海外扩张的加速，海外研发的下一代产品将不可避免地与公司现有产品和商业模式</w:t>
      </w:r>
      <w:r>
        <w:rPr>
          <w:w w:val="100"/>
        </w:rPr>
        <w:t> </w:t>
      </w:r>
      <w:r>
        <w:rPr>
          <w:spacing w:val="-2"/>
        </w:rPr>
        <w:t>产生竞争与替代，从而存在使公司现有收入与盈利短期产生较大下降的风险。为此，公司正在加速向平台</w:t>
      </w:r>
      <w:r>
        <w:rPr>
          <w:spacing w:val="-44"/>
        </w:rPr>
        <w:t> </w:t>
      </w:r>
      <w:r>
        <w:rPr>
          <w:spacing w:val="-44"/>
        </w:rPr>
      </w:r>
      <w:r>
        <w:rPr>
          <w:spacing w:val="-2"/>
        </w:rPr>
        <w:t>型业务转型，通过拓展平台业务和创新型业务，扩大业务来源，从而降低由于新一代云平台产品换代造成</w:t>
      </w:r>
      <w:r>
        <w:rPr>
          <w:spacing w:val="-43"/>
        </w:rPr>
        <w:t> </w:t>
      </w:r>
      <w:r>
        <w:rPr>
          <w:spacing w:val="-43"/>
        </w:rPr>
      </w:r>
      <w:r>
        <w:rPr/>
        <w:t>收入和盈利短期下降的风险。</w:t>
      </w:r>
    </w:p>
    <w:p>
      <w:pPr>
        <w:pStyle w:val="BodyText"/>
        <w:spacing w:line="266" w:lineRule="auto" w:before="46"/>
        <w:ind w:right="1126" w:firstLine="420"/>
        <w:jc w:val="both"/>
      </w:pPr>
      <w:r>
        <w:rPr>
          <w:spacing w:val="-2"/>
        </w:rPr>
        <w:t>此外，公司与</w:t>
      </w:r>
      <w:r>
        <w:rPr>
          <w:rFonts w:ascii="Times New Roman" w:hAnsi="Times New Roman" w:cs="Times New Roman" w:eastAsia="Times New Roman" w:hint="default"/>
          <w:spacing w:val="-2"/>
        </w:rPr>
        <w:t>ORACLE</w:t>
      </w:r>
      <w:r>
        <w:rPr>
          <w:spacing w:val="-2"/>
        </w:rPr>
        <w:t>公司代理业务合作目前采用到期续签的方式延续，且具体合作内容及合作模式</w:t>
      </w:r>
      <w:r>
        <w:rPr>
          <w:w w:val="100"/>
        </w:rPr>
        <w:t> </w:t>
      </w:r>
      <w:r>
        <w:rPr>
          <w:spacing w:val="-2"/>
        </w:rPr>
        <w:t>将随着公司业务实际发展适时调整及开创。为此，基于公司多年来在国际酒店信息系统业务方面的丰富经</w:t>
      </w:r>
      <w:r>
        <w:rPr>
          <w:spacing w:val="-43"/>
        </w:rPr>
        <w:t> </w:t>
      </w:r>
      <w:r>
        <w:rPr>
          <w:spacing w:val="-43"/>
        </w:rPr>
      </w:r>
      <w:r>
        <w:rPr>
          <w:spacing w:val="-2"/>
        </w:rPr>
        <w:t>验，公司将坚持与客户共赢，与合作伙伴共舞的经营理念，在发展自身独立业务的同时，照顾好行业、客</w:t>
      </w:r>
      <w:r>
        <w:rPr>
          <w:spacing w:val="-43"/>
        </w:rPr>
        <w:t> </w:t>
      </w:r>
      <w:r>
        <w:rPr>
          <w:spacing w:val="-43"/>
        </w:rPr>
      </w:r>
      <w:r>
        <w:rPr/>
        <w:t>户和包括</w:t>
      </w:r>
      <w:r>
        <w:rPr>
          <w:rFonts w:ascii="Times New Roman" w:hAnsi="Times New Roman" w:cs="Times New Roman" w:eastAsia="Times New Roman" w:hint="default"/>
        </w:rPr>
        <w:t>ORACLE</w:t>
      </w:r>
      <w:r>
        <w:rPr/>
        <w:t>在内的合作伙伴的共同利益。</w:t>
      </w:r>
    </w:p>
    <w:p>
      <w:pPr>
        <w:pStyle w:val="BodyText"/>
        <w:spacing w:line="290" w:lineRule="auto" w:before="36"/>
        <w:ind w:left="573" w:right="1133" w:firstLine="2"/>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）海外投资</w:t>
      </w:r>
      <w:r>
        <w:rPr>
          <w:rFonts w:ascii="宋体" w:hAnsi="宋体" w:cs="宋体" w:eastAsia="宋体" w:hint="default"/>
          <w:b/>
          <w:bCs/>
          <w:w w:val="100"/>
        </w:rPr>
        <w:t> </w:t>
      </w:r>
      <w:r>
        <w:rPr>
          <w:spacing w:val="-2"/>
        </w:rPr>
        <w:t>随着公司在海外投资的不断加大，公司面临对海外诸多公司管理缺少成熟的管理方式和经验不足的风</w:t>
      </w:r>
    </w:p>
    <w:p>
      <w:pPr>
        <w:pStyle w:val="BodyText"/>
        <w:spacing w:line="261" w:lineRule="auto"/>
        <w:ind w:right="1105"/>
        <w:jc w:val="both"/>
      </w:pPr>
      <w:r>
        <w:rPr>
          <w:spacing w:val="-2"/>
        </w:rPr>
        <w:t>险，也面临后续海外资金供给不足的风险。为此，公司除了引入国际化管理团队加强海外公司管控以外，</w:t>
      </w:r>
      <w:r>
        <w:rPr>
          <w:spacing w:val="-21"/>
        </w:rPr>
        <w:t> </w:t>
      </w:r>
      <w:r>
        <w:rPr>
          <w:spacing w:val="-21"/>
        </w:rPr>
      </w:r>
      <w:r>
        <w:rPr>
          <w:spacing w:val="-2"/>
        </w:rPr>
        <w:t>于</w:t>
      </w:r>
      <w:r>
        <w:rPr>
          <w:rFonts w:ascii="Times New Roman" w:hAnsi="Times New Roman" w:cs="Times New Roman" w:eastAsia="Times New Roman" w:hint="default"/>
          <w:spacing w:val="-2"/>
        </w:rPr>
        <w:t>2017</w:t>
      </w:r>
      <w:r>
        <w:rPr>
          <w:spacing w:val="-2"/>
        </w:rPr>
        <w:t>年开始将规模化零售行业信息系统业务的子公司整合进入开曼的全资子公司石基零售，并成功将石</w:t>
      </w:r>
      <w:r>
        <w:rPr>
          <w:spacing w:val="-40"/>
        </w:rPr>
        <w:t> </w:t>
      </w:r>
      <w:r>
        <w:rPr>
          <w:spacing w:val="-40"/>
        </w:rPr>
      </w:r>
      <w:r>
        <w:rPr>
          <w:spacing w:val="-1"/>
        </w:rPr>
        <w:t>基零售</w:t>
      </w:r>
      <w:r>
        <w:rPr>
          <w:rFonts w:ascii="Times New Roman" w:hAnsi="Times New Roman" w:cs="Times New Roman" w:eastAsia="Times New Roman" w:hint="default"/>
          <w:spacing w:val="-1"/>
        </w:rPr>
        <w:t>38%</w:t>
      </w:r>
      <w:r>
        <w:rPr>
          <w:spacing w:val="-1"/>
        </w:rPr>
        <w:t>股权转让给阿里巴巴集团旗下全资子公司阿里</w:t>
      </w:r>
      <w:r>
        <w:rPr>
          <w:rFonts w:ascii="Times New Roman" w:hAnsi="Times New Roman" w:cs="Times New Roman" w:eastAsia="Times New Roman" w:hint="default"/>
          <w:spacing w:val="-1"/>
        </w:rPr>
        <w:t>SJ</w:t>
      </w:r>
      <w:r>
        <w:rPr>
          <w:spacing w:val="-1"/>
        </w:rPr>
        <w:t>投资，此交易的成功实施为公司的国际化战略</w:t>
      </w:r>
      <w:r>
        <w:rPr>
          <w:spacing w:val="-41"/>
        </w:rPr>
        <w:t> </w:t>
      </w:r>
      <w:r>
        <w:rPr>
          <w:spacing w:val="-41"/>
        </w:rPr>
      </w:r>
      <w:r>
        <w:rPr/>
        <w:t>提供了资金保障。</w:t>
      </w:r>
    </w:p>
    <w:p>
      <w:pPr>
        <w:pStyle w:val="BodyText"/>
        <w:spacing w:line="273" w:lineRule="auto" w:before="56"/>
        <w:ind w:right="0" w:firstLine="420"/>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）与互联网企业合作进展的不确定性</w:t>
      </w:r>
      <w:r>
        <w:rPr>
          <w:rFonts w:ascii="宋体" w:hAnsi="宋体" w:cs="宋体" w:eastAsia="宋体" w:hint="default"/>
          <w:b/>
          <w:bCs/>
          <w:w w:val="100"/>
        </w:rPr>
        <w:t> </w:t>
      </w:r>
      <w:r>
        <w:rPr>
          <w:spacing w:val="-2"/>
        </w:rPr>
        <w:t>为了加快公司从软件供应商向平台运营商的转型，基于公司多年来积累的旅游消费信息化行业的丰富客户</w:t>
      </w:r>
      <w:r>
        <w:rPr>
          <w:spacing w:val="-43"/>
        </w:rPr>
        <w:t> </w:t>
      </w:r>
      <w:r>
        <w:rPr>
          <w:spacing w:val="-43"/>
        </w:rPr>
      </w:r>
      <w:r>
        <w:rPr>
          <w:spacing w:val="2"/>
        </w:rPr>
        <w:t>资源和线下行业优势地位并结合在线电商在线上的客户优势，公司从</w:t>
      </w:r>
      <w:r>
        <w:rPr>
          <w:rFonts w:ascii="Times New Roman" w:hAnsi="Times New Roman" w:cs="Times New Roman" w:eastAsia="Times New Roman" w:hint="default"/>
          <w:spacing w:val="2"/>
        </w:rPr>
        <w:t>2014</w:t>
      </w:r>
      <w:r>
        <w:rPr>
          <w:spacing w:val="2"/>
        </w:rPr>
        <w:t>年度开始一直在加强与阿里巴</w:t>
      </w:r>
      <w:r>
        <w:rPr>
          <w:spacing w:val="-25"/>
        </w:rPr>
        <w:t> </w:t>
      </w:r>
      <w:r>
        <w:rPr>
          <w:spacing w:val="-25"/>
        </w:rPr>
      </w:r>
      <w:r>
        <w:rPr>
          <w:spacing w:val="-2"/>
        </w:rPr>
        <w:t>巴、腾讯微信等在线电商的合作，但在合作过程中仍然有可能出现由于市场竞争等多种因素造成合作进展</w:t>
      </w:r>
      <w:r>
        <w:rPr>
          <w:spacing w:val="-44"/>
        </w:rPr>
        <w:t> </w:t>
      </w:r>
      <w:r>
        <w:rPr>
          <w:spacing w:val="-44"/>
        </w:rPr>
      </w:r>
      <w:r>
        <w:rPr>
          <w:spacing w:val="-5"/>
        </w:rPr>
        <w:t>不顺利的风险。为此，公司已成立与在线电商合作的相关专门业务团队，按进度制定了关键绩效考核指标，</w:t>
      </w:r>
      <w:r>
        <w:rPr>
          <w:spacing w:val="-3"/>
        </w:rPr>
        <w:t> </w:t>
      </w:r>
      <w:r>
        <w:rPr>
          <w:spacing w:val="-3"/>
        </w:rPr>
      </w:r>
      <w:r>
        <w:rPr/>
        <w:t>整合公司优势资源，积极投入合作。</w:t>
      </w:r>
    </w:p>
    <w:p>
      <w:pPr>
        <w:spacing w:line="240" w:lineRule="auto" w:before="8"/>
        <w:rPr>
          <w:rFonts w:ascii="宋体" w:hAnsi="宋体" w:cs="宋体" w:eastAsia="宋体" w:hint="default"/>
          <w:sz w:val="21"/>
          <w:szCs w:val="21"/>
        </w:rPr>
      </w:pPr>
    </w:p>
    <w:p>
      <w:pPr>
        <w:pStyle w:val="Heading3"/>
        <w:spacing w:line="240" w:lineRule="auto"/>
        <w:ind w:right="0"/>
        <w:jc w:val="both"/>
        <w:rPr>
          <w:b w:val="0"/>
          <w:bCs w:val="0"/>
        </w:rPr>
      </w:pPr>
      <w:r>
        <w:rPr/>
        <w:t>十、接待调研、沟通、采访等活动</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1560"/>
        <w:gridCol w:w="5034"/>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67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详见投资者关系互动平台</w:t>
            </w:r>
          </w:p>
          <w:p>
            <w:pPr>
              <w:pStyle w:val="TableParagraph"/>
              <w:spacing w:line="240" w:lineRule="auto" w:before="118"/>
              <w:ind w:left="24" w:right="0"/>
              <w:jc w:val="left"/>
              <w:rPr>
                <w:rFonts w:ascii="Times New Roman" w:hAnsi="Times New Roman" w:cs="Times New Roman" w:eastAsia="Times New Roman" w:hint="default"/>
                <w:sz w:val="18"/>
                <w:szCs w:val="18"/>
              </w:rPr>
            </w:pPr>
            <w:hyperlink r:id="rId26">
              <w:r>
                <w:rPr>
                  <w:rFonts w:ascii="Times New Roman"/>
                  <w:sz w:val="18"/>
                </w:rPr>
                <w:t>http://irm.cninfo.com.cn/ircs/ssgs/companyIrmes.do?stockcode=002</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1560"/>
        <w:gridCol w:w="5034"/>
      </w:tblGrid>
      <w:tr>
        <w:trPr>
          <w:trHeight w:val="362"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4" w:right="46"/>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日投资者关系活动记录表》</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45"/>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46"/>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日投资者关系活动记录表》</w:t>
            </w:r>
          </w:p>
        </w:tc>
      </w:tr>
      <w:tr>
        <w:trPr>
          <w:trHeight w:val="10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46"/>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日投资者关系活动记录表》</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71"/>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pacing w:val="-1"/>
                  <w:sz w:val="18"/>
                  <w:szCs w:val="18"/>
                </w:rPr>
                <w:t>http://irm.cninfo.com.cn/ircs/ssgs/companyIrmes.do?stockcode=002</w:t>
              </w:r>
            </w:hyperlink>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3"/>
                <w:sz w:val="18"/>
                <w:szCs w:val="18"/>
              </w:rPr>
            </w:r>
            <w:r>
              <w:rPr>
                <w:rFonts w:ascii="Times New Roman" w:hAnsi="Times New Roman" w:cs="Times New Roman" w:eastAsia="Times New Roman" w:hint="default"/>
                <w:sz w:val="18"/>
                <w:szCs w:val="18"/>
              </w:rPr>
              <w:t>153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71"/>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pacing w:val="-1"/>
                  <w:sz w:val="18"/>
                  <w:szCs w:val="18"/>
                </w:rPr>
                <w:t>http://irm.cninfo.com.cn/ircs/ssgs/companyIrmes.do?stockcode=002</w:t>
              </w:r>
            </w:hyperlink>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3"/>
                <w:sz w:val="18"/>
                <w:szCs w:val="18"/>
              </w:rPr>
            </w:r>
            <w:r>
              <w:rPr>
                <w:rFonts w:ascii="Times New Roman" w:hAnsi="Times New Roman" w:cs="Times New Roman" w:eastAsia="Times New Roman" w:hint="default"/>
                <w:sz w:val="18"/>
                <w:szCs w:val="18"/>
              </w:rPr>
              <w:t>153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10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47"/>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46"/>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日投资者关系活动记录表》</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47"/>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71"/>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pacing w:val="-1"/>
                  <w:sz w:val="18"/>
                  <w:szCs w:val="18"/>
                </w:rPr>
                <w:t>http://irm.cninfo.com.cn/ircs/ssgs/companyIrmes.do?stockcode=002</w:t>
              </w:r>
            </w:hyperlink>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3"/>
                <w:sz w:val="18"/>
                <w:szCs w:val="18"/>
              </w:rPr>
            </w:r>
            <w:r>
              <w:rPr>
                <w:rFonts w:ascii="Times New Roman" w:hAnsi="Times New Roman" w:cs="Times New Roman" w:eastAsia="Times New Roman" w:hint="default"/>
                <w:sz w:val="18"/>
                <w:szCs w:val="18"/>
              </w:rPr>
              <w:t>153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10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4" w:right="46"/>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46"/>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日投资者关系活动记录表》</w:t>
            </w:r>
          </w:p>
        </w:tc>
      </w:tr>
    </w:tbl>
    <w:p>
      <w:pPr>
        <w:spacing w:after="0" w:line="312" w:lineRule="exact"/>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1560"/>
        <w:gridCol w:w="5034"/>
      </w:tblGrid>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详见投资者关系互动平台</w:t>
            </w:r>
          </w:p>
          <w:p>
            <w:pPr>
              <w:pStyle w:val="TableParagraph"/>
              <w:spacing w:line="312" w:lineRule="auto" w:before="119"/>
              <w:ind w:left="24" w:right="46"/>
              <w:jc w:val="left"/>
              <w:rPr>
                <w:rFonts w:ascii="宋体" w:hAnsi="宋体" w:cs="宋体" w:eastAsia="宋体" w:hint="default"/>
                <w:sz w:val="18"/>
                <w:szCs w:val="18"/>
              </w:rPr>
            </w:pP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日投资者关系活动记录表》</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46"/>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日投资者关系活动记录表》</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4" w:right="71"/>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pacing w:val="-1"/>
                  <w:sz w:val="18"/>
                  <w:szCs w:val="18"/>
                </w:rPr>
                <w:t>http://irm.cninfo.com.cn/ircs/ssgs/companyIrmes.do?stockcode=002</w:t>
              </w:r>
            </w:hyperlink>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3"/>
                <w:sz w:val="18"/>
                <w:szCs w:val="18"/>
              </w:rPr>
            </w:r>
            <w:r>
              <w:rPr>
                <w:rFonts w:ascii="Times New Roman" w:hAnsi="Times New Roman" w:cs="Times New Roman" w:eastAsia="Times New Roman" w:hint="default"/>
                <w:sz w:val="18"/>
                <w:szCs w:val="18"/>
              </w:rPr>
              <w:t>153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pacing w:val="-1"/>
                  <w:sz w:val="18"/>
                  <w:szCs w:val="18"/>
                </w:rPr>
                <w:t>http://irm.cninfo.com.cn/ircs/ssgs/companyIrmes.do?stockcode=002</w:t>
              </w:r>
            </w:hyperlink>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3"/>
                <w:sz w:val="18"/>
                <w:szCs w:val="18"/>
              </w:rPr>
            </w:r>
            <w:r>
              <w:rPr>
                <w:rFonts w:ascii="Times New Roman" w:hAnsi="Times New Roman" w:cs="Times New Roman" w:eastAsia="Times New Roman" w:hint="default"/>
                <w:sz w:val="18"/>
                <w:szCs w:val="18"/>
              </w:rPr>
              <w:t>153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46"/>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日投资者关系活动记录表》</w:t>
            </w:r>
          </w:p>
        </w:tc>
      </w:tr>
      <w:tr>
        <w:trPr>
          <w:trHeight w:val="10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46"/>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日投资者关系活动记录表》</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46"/>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日投资者关系活动记录表》</w:t>
            </w:r>
          </w:p>
        </w:tc>
      </w:tr>
      <w:tr>
        <w:trPr>
          <w:trHeight w:val="10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43"/>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日投资者关系活动记录表》</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详见投资者关系互动平台</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1560"/>
        <w:gridCol w:w="5034"/>
      </w:tblGrid>
      <w:tr>
        <w:trPr>
          <w:trHeight w:val="675"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4" w:right="-43"/>
              <w:jc w:val="left"/>
              <w:rPr>
                <w:rFonts w:ascii="宋体" w:hAnsi="宋体" w:cs="宋体" w:eastAsia="宋体" w:hint="default"/>
                <w:sz w:val="18"/>
                <w:szCs w:val="18"/>
              </w:rPr>
            </w:pP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53"/>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日投资者关系活动记录表》</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53"/>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36"/>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日投资者关系活动记录表》</w:t>
            </w:r>
          </w:p>
        </w:tc>
      </w:tr>
      <w:tr>
        <w:trPr>
          <w:trHeight w:val="10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详见投资者关系互动平台</w:t>
            </w:r>
          </w:p>
          <w:p>
            <w:pPr>
              <w:pStyle w:val="TableParagraph"/>
              <w:spacing w:line="312" w:lineRule="auto" w:before="119"/>
              <w:ind w:left="24" w:right="-36"/>
              <w:jc w:val="left"/>
              <w:rPr>
                <w:rFonts w:ascii="宋体" w:hAnsi="宋体" w:cs="宋体" w:eastAsia="宋体" w:hint="default"/>
                <w:sz w:val="18"/>
                <w:szCs w:val="18"/>
              </w:rPr>
            </w:pP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36"/>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日投资者关系活动记录表》</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43"/>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43"/>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日投资者关系活动记录表》</w:t>
            </w:r>
          </w:p>
        </w:tc>
      </w:tr>
      <w:tr>
        <w:trPr>
          <w:trHeight w:val="10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4" w:right="-43"/>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43"/>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日投资者关系活动记录表》</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43"/>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6">
              <w:r>
                <w:rPr>
                  <w:rFonts w:ascii="Times New Roman" w:hAnsi="Times New Roman" w:cs="Times New Roman" w:eastAsia="Times New Roman" w:hint="default"/>
                  <w:sz w:val="18"/>
                  <w:szCs w:val="18"/>
                </w:rPr>
                <w:t>http://irm.cninfo.com.cn/ircs/ssgs/companyIrmes.do?stockcode=002</w:t>
              </w:r>
            </w:hyperlink>
            <w:r>
              <w:rPr>
                <w:rFonts w:ascii="Times New Roman" w:hAnsi="Times New Roman" w:cs="Times New Roman" w:eastAsia="Times New Roman" w:hint="default"/>
                <w:sz w:val="18"/>
                <w:szCs w:val="18"/>
              </w:rPr>
              <w:t> 153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日投资者关系活动记录表》</w:t>
            </w:r>
          </w:p>
        </w:tc>
      </w:tr>
    </w:tbl>
    <w:p>
      <w:pPr>
        <w:spacing w:after="0" w:line="312" w:lineRule="exact"/>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right="1532"/>
        <w:jc w:val="center"/>
        <w:rPr>
          <w:b w:val="0"/>
          <w:bCs w:val="0"/>
        </w:rPr>
      </w:pPr>
      <w:bookmarkStart w:name="_bookmark3" w:id="4"/>
      <w:bookmarkEnd w:id="4"/>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3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6" w:lineRule="auto" w:before="80"/>
        <w:ind w:right="1133"/>
        <w:jc w:val="left"/>
      </w:pPr>
      <w:r>
        <w:rPr>
          <w:rFonts w:ascii="Times New Roman" w:hAnsi="Times New Roman" w:cs="Times New Roman" w:eastAsia="Times New Roman" w:hint="default"/>
          <w:spacing w:val="-2"/>
        </w:rPr>
        <w:t>1</w:t>
      </w:r>
      <w:r>
        <w:rPr>
          <w:spacing w:val="-2"/>
        </w:rPr>
        <w:t>、报告期内，公司严格按照深交所《中小企业板信息披露业务备忘录第</w:t>
      </w:r>
      <w:r>
        <w:rPr>
          <w:rFonts w:ascii="Times New Roman" w:hAnsi="Times New Roman" w:cs="Times New Roman" w:eastAsia="Times New Roman" w:hint="default"/>
          <w:spacing w:val="-2"/>
        </w:rPr>
        <w:t>33</w:t>
      </w:r>
      <w:r>
        <w:rPr>
          <w:spacing w:val="-2"/>
        </w:rPr>
        <w:t>号：利润分配和资本公积转增</w:t>
      </w:r>
      <w:r>
        <w:rPr>
          <w:spacing w:val="-20"/>
        </w:rPr>
        <w:t> </w:t>
      </w:r>
      <w:r>
        <w:rPr>
          <w:spacing w:val="-20"/>
        </w:rPr>
      </w:r>
      <w:r>
        <w:rPr/>
        <w:t>股本》以及《公司章程》等有关制度的规定和要求，积极做好公司利润分配方案制定与实施工作。</w:t>
      </w:r>
    </w:p>
    <w:p>
      <w:pPr>
        <w:pStyle w:val="BodyText"/>
        <w:spacing w:line="240" w:lineRule="auto" w:before="63"/>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spacing w:val="18"/>
        </w:rPr>
        <w:t>、经公司</w:t>
      </w:r>
      <w:r>
        <w:rPr>
          <w:spacing w:val="-7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5"/>
        </w:rPr>
        <w:t> </w:t>
      </w:r>
      <w:r>
        <w:rPr/>
        <w:t>年</w:t>
      </w:r>
      <w:r>
        <w:rPr>
          <w:spacing w:val="-77"/>
        </w:rPr>
        <w:t> </w:t>
      </w: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月</w:t>
      </w:r>
      <w:r>
        <w:rPr>
          <w:spacing w:val="-77"/>
        </w:rPr>
        <w:t> </w:t>
      </w:r>
      <w:r>
        <w:rPr>
          <w:rFonts w:ascii="Times New Roman" w:hAnsi="Times New Roman" w:cs="Times New Roman" w:eastAsia="Times New Roman" w:hint="default"/>
        </w:rPr>
        <w:t>15</w:t>
      </w:r>
      <w:r>
        <w:rPr>
          <w:rFonts w:ascii="Times New Roman" w:hAnsi="Times New Roman" w:cs="Times New Roman" w:eastAsia="Times New Roman" w:hint="default"/>
          <w:spacing w:val="-27"/>
        </w:rPr>
        <w:t> </w:t>
      </w:r>
      <w:r>
        <w:rPr>
          <w:spacing w:val="18"/>
        </w:rPr>
        <w:t>日召开的</w:t>
      </w:r>
      <w:r>
        <w:rPr>
          <w:spacing w:val="-7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5"/>
        </w:rPr>
        <w:t> </w:t>
      </w:r>
      <w:r>
        <w:rPr/>
        <w:t>年</w:t>
      </w:r>
      <w:r>
        <w:rPr>
          <w:spacing w:val="-77"/>
        </w:rPr>
        <w:t> </w:t>
      </w:r>
      <w:r>
        <w:rPr/>
        <w:t>年</w:t>
      </w:r>
      <w:r>
        <w:rPr>
          <w:spacing w:val="-77"/>
        </w:rPr>
        <w:t> </w:t>
      </w:r>
      <w:r>
        <w:rPr/>
        <w:t>度</w:t>
      </w:r>
      <w:r>
        <w:rPr>
          <w:spacing w:val="-77"/>
        </w:rPr>
        <w:t> </w:t>
      </w:r>
      <w:r>
        <w:rPr>
          <w:spacing w:val="11"/>
        </w:rPr>
        <w:t>股东</w:t>
      </w:r>
      <w:r>
        <w:rPr>
          <w:spacing w:val="-77"/>
        </w:rPr>
        <w:t> </w:t>
      </w:r>
      <w:r>
        <w:rPr/>
        <w:t>大</w:t>
      </w:r>
      <w:r>
        <w:rPr>
          <w:spacing w:val="-77"/>
        </w:rPr>
        <w:t> </w:t>
      </w:r>
      <w:r>
        <w:rPr/>
        <w:t>会</w:t>
      </w:r>
      <w:r>
        <w:rPr>
          <w:spacing w:val="-77"/>
        </w:rPr>
        <w:t> </w:t>
      </w:r>
      <w:r>
        <w:rPr/>
        <w:t>审</w:t>
      </w:r>
      <w:r>
        <w:rPr>
          <w:spacing w:val="-77"/>
        </w:rPr>
        <w:t> </w:t>
      </w:r>
      <w:r>
        <w:rPr/>
        <w:t>议</w:t>
      </w:r>
      <w:r>
        <w:rPr>
          <w:spacing w:val="-77"/>
        </w:rPr>
        <w:t> </w:t>
      </w:r>
      <w:r>
        <w:rPr>
          <w:spacing w:val="11"/>
        </w:rPr>
        <w:t>通过</w:t>
      </w:r>
      <w:r>
        <w:rPr>
          <w:spacing w:val="-77"/>
        </w:rPr>
        <w:t> </w:t>
      </w:r>
      <w:r>
        <w:rPr/>
        <w:t>，</w:t>
      </w:r>
      <w:r>
        <w:rPr>
          <w:spacing w:val="-77"/>
        </w:rPr>
        <w:t> </w:t>
      </w:r>
      <w:r>
        <w:rPr/>
        <w:t>公</w:t>
      </w:r>
      <w:r>
        <w:rPr>
          <w:spacing w:val="-77"/>
        </w:rPr>
        <w:t> </w:t>
      </w:r>
      <w:r>
        <w:rPr>
          <w:spacing w:val="11"/>
        </w:rPr>
        <w:t>司以</w:t>
      </w:r>
      <w:r>
        <w:rPr>
          <w:spacing w:val="-7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5"/>
        </w:rPr>
        <w:t> </w:t>
      </w:r>
      <w:r>
        <w:rPr/>
        <w:t>年</w:t>
      </w:r>
      <w:r>
        <w:rPr>
          <w:spacing w:val="-77"/>
        </w:rPr>
        <w:t> </w:t>
      </w: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月</w:t>
      </w:r>
      <w:r>
        <w:rPr>
          <w:spacing w:val="-77"/>
        </w:rPr>
        <w:t> </w:t>
      </w:r>
      <w:r>
        <w:rPr>
          <w:rFonts w:ascii="Times New Roman" w:hAnsi="Times New Roman" w:cs="Times New Roman" w:eastAsia="Times New Roman" w:hint="default"/>
        </w:rPr>
        <w:t>31</w:t>
      </w:r>
      <w:r>
        <w:rPr>
          <w:rFonts w:ascii="Times New Roman" w:hAnsi="Times New Roman" w:cs="Times New Roman" w:eastAsia="Times New Roman" w:hint="default"/>
          <w:spacing w:val="-25"/>
        </w:rPr>
        <w:t> </w:t>
      </w:r>
      <w:r>
        <w:rPr/>
        <w:t>日</w:t>
      </w:r>
      <w:r>
        <w:rPr>
          <w:spacing w:val="-77"/>
        </w:rPr>
        <w:t> </w:t>
      </w:r>
      <w:r>
        <w:rPr>
          <w:spacing w:val="14"/>
        </w:rPr>
        <w:t>总股本</w:t>
      </w:r>
    </w:p>
    <w:p>
      <w:pPr>
        <w:pStyle w:val="BodyText"/>
        <w:spacing w:line="240" w:lineRule="auto" w:before="21"/>
        <w:ind w:right="0"/>
        <w:jc w:val="left"/>
        <w:rPr>
          <w:rFonts w:ascii="Times New Roman" w:hAnsi="Times New Roman" w:cs="Times New Roman" w:eastAsia="Times New Roman" w:hint="default"/>
        </w:rPr>
      </w:pPr>
      <w:r>
        <w:rPr>
          <w:rFonts w:ascii="Times New Roman" w:hAnsi="Times New Roman" w:cs="Times New Roman" w:eastAsia="Times New Roman" w:hint="default"/>
        </w:rPr>
        <w:t>1,066,788,753  </w:t>
      </w:r>
      <w:r>
        <w:rPr/>
        <w:t>为基数，向全体股东按每</w:t>
      </w:r>
      <w:r>
        <w:rPr>
          <w:rFonts w:ascii="Times New Roman" w:hAnsi="Times New Roman" w:cs="Times New Roman" w:eastAsia="Times New Roman" w:hint="default"/>
        </w:rPr>
        <w:t>10</w:t>
      </w:r>
      <w:r>
        <w:rPr/>
        <w:t>股派发现金股利人民币</w:t>
      </w:r>
      <w:r>
        <w:rPr>
          <w:spacing w:val="-8"/>
        </w:rPr>
        <w:t> </w:t>
      </w:r>
      <w:r>
        <w:rPr>
          <w:rFonts w:ascii="Times New Roman" w:hAnsi="Times New Roman" w:cs="Times New Roman" w:eastAsia="Times New Roman" w:hint="default"/>
          <w:spacing w:val="-3"/>
        </w:rPr>
        <w:t>1.00</w:t>
      </w:r>
      <w:r>
        <w:rPr>
          <w:spacing w:val="-3"/>
        </w:rPr>
        <w:t>元（含税），共计派发</w:t>
      </w:r>
      <w:r>
        <w:rPr>
          <w:rFonts w:ascii="Times New Roman" w:hAnsi="Times New Roman" w:cs="Times New Roman" w:eastAsia="Times New Roman" w:hint="default"/>
          <w:spacing w:val="-3"/>
        </w:rPr>
        <w:t>106,678,875.3</w:t>
      </w:r>
    </w:p>
    <w:p>
      <w:pPr>
        <w:pStyle w:val="BodyText"/>
        <w:spacing w:line="240" w:lineRule="auto" w:before="22"/>
        <w:ind w:right="1133"/>
        <w:jc w:val="left"/>
      </w:pPr>
      <w:r>
        <w:rPr/>
        <w:t>元，剩余未分配利润结转至下一年度。该利润分配方案报告期内已经实施完毕。</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6358"/>
        <w:gridCol w:w="3201"/>
      </w:tblGrid>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256" w:lineRule="auto" w:before="83"/>
        <w:ind w:right="1133"/>
        <w:jc w:val="both"/>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2016</w:t>
      </w:r>
      <w:r>
        <w:rPr>
          <w:spacing w:val="-3"/>
        </w:rPr>
        <w:t>年度利润分配方案：公司拟以</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日总股本</w:t>
      </w:r>
      <w:r>
        <w:rPr>
          <w:rFonts w:ascii="Times New Roman" w:hAnsi="Times New Roman" w:cs="Times New Roman" w:eastAsia="Times New Roman" w:hint="default"/>
          <w:spacing w:val="-3"/>
        </w:rPr>
        <w:t>1,066,788,753</w:t>
      </w:r>
      <w:r>
        <w:rPr>
          <w:spacing w:val="-3"/>
        </w:rPr>
        <w:t>为基数，向全体股东每</w:t>
      </w:r>
      <w:r>
        <w:rPr>
          <w:rFonts w:ascii="Times New Roman" w:hAnsi="Times New Roman" w:cs="Times New Roman" w:eastAsia="Times New Roman" w:hint="default"/>
          <w:spacing w:val="-3"/>
        </w:rPr>
        <w:t>10</w:t>
      </w:r>
      <w:r>
        <w:rPr>
          <w:spacing w:val="-3"/>
        </w:rPr>
        <w:t>股派</w:t>
      </w:r>
      <w:r>
        <w:rPr>
          <w:spacing w:val="-16"/>
        </w:rPr>
        <w:t> </w:t>
      </w:r>
      <w:r>
        <w:rPr/>
        <w:t>发现金股利人民币</w:t>
      </w:r>
      <w:r>
        <w:rPr>
          <w:rFonts w:ascii="Times New Roman" w:hAnsi="Times New Roman" w:cs="Times New Roman" w:eastAsia="Times New Roman" w:hint="default"/>
        </w:rPr>
        <w:t>0.4</w:t>
      </w:r>
      <w:r>
        <w:rPr/>
        <w:t>元（含税），共计派发</w:t>
      </w:r>
      <w:r>
        <w:rPr>
          <w:rFonts w:ascii="Times New Roman" w:hAnsi="Times New Roman" w:cs="Times New Roman" w:eastAsia="Times New Roman" w:hint="default"/>
        </w:rPr>
        <w:t>42,671,550.12</w:t>
      </w:r>
      <w:r>
        <w:rPr/>
        <w:t>元，剩余未分配利润结转至下一年度。</w:t>
      </w:r>
    </w:p>
    <w:p>
      <w:pPr>
        <w:pStyle w:val="BodyText"/>
        <w:spacing w:line="256" w:lineRule="auto" w:before="43"/>
        <w:ind w:right="1133"/>
        <w:jc w:val="both"/>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2017</w:t>
      </w:r>
      <w:r>
        <w:rPr>
          <w:spacing w:val="-3"/>
        </w:rPr>
        <w:t>年度利润分配方案：公司拟以</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日总股本</w:t>
      </w:r>
      <w:r>
        <w:rPr>
          <w:rFonts w:ascii="Times New Roman" w:hAnsi="Times New Roman" w:cs="Times New Roman" w:eastAsia="Times New Roman" w:hint="default"/>
          <w:spacing w:val="-3"/>
        </w:rPr>
        <w:t>1,066,788,753</w:t>
      </w:r>
      <w:r>
        <w:rPr>
          <w:spacing w:val="-3"/>
        </w:rPr>
        <w:t>为基数，向全体股东每</w:t>
      </w:r>
      <w:r>
        <w:rPr>
          <w:rFonts w:ascii="Times New Roman" w:hAnsi="Times New Roman" w:cs="Times New Roman" w:eastAsia="Times New Roman" w:hint="default"/>
          <w:spacing w:val="-3"/>
        </w:rPr>
        <w:t>10</w:t>
      </w:r>
      <w:r>
        <w:rPr>
          <w:spacing w:val="-3"/>
        </w:rPr>
        <w:t>股派</w:t>
      </w:r>
      <w:r>
        <w:rPr>
          <w:spacing w:val="-16"/>
        </w:rPr>
        <w:t> </w:t>
      </w:r>
      <w:r>
        <w:rPr/>
        <w:t>发现金股利人民币</w:t>
      </w:r>
      <w:r>
        <w:rPr>
          <w:rFonts w:ascii="Times New Roman" w:hAnsi="Times New Roman" w:cs="Times New Roman" w:eastAsia="Times New Roman" w:hint="default"/>
        </w:rPr>
        <w:t>1.00</w:t>
      </w:r>
      <w:r>
        <w:rPr/>
        <w:t>元（含税），共计派发</w:t>
      </w:r>
      <w:r>
        <w:rPr>
          <w:rFonts w:ascii="Times New Roman" w:hAnsi="Times New Roman" w:cs="Times New Roman" w:eastAsia="Times New Roman" w:hint="default"/>
        </w:rPr>
        <w:t>106,678,875.3</w:t>
      </w:r>
      <w:r>
        <w:rPr/>
        <w:t>元，剩余未分配利润结转至下一年度。</w:t>
      </w:r>
    </w:p>
    <w:p>
      <w:pPr>
        <w:pStyle w:val="BodyText"/>
        <w:spacing w:line="259" w:lineRule="auto" w:before="46"/>
        <w:ind w:right="1104"/>
        <w:jc w:val="both"/>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2018</w:t>
      </w:r>
      <w:r>
        <w:rPr>
          <w:spacing w:val="-3"/>
        </w:rPr>
        <w:t>年度利润分配方案：公司拟以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日总股本</w:t>
      </w:r>
      <w:r>
        <w:rPr>
          <w:rFonts w:ascii="Times New Roman" w:hAnsi="Times New Roman" w:cs="Times New Roman" w:eastAsia="Times New Roman" w:hint="default"/>
          <w:spacing w:val="-3"/>
        </w:rPr>
        <w:t>1,066,903,353</w:t>
      </w:r>
      <w:r>
        <w:rPr>
          <w:spacing w:val="-3"/>
        </w:rPr>
        <w:t>为基数，向全体股东每</w:t>
      </w:r>
      <w:r>
        <w:rPr>
          <w:rFonts w:ascii="Times New Roman" w:hAnsi="Times New Roman" w:cs="Times New Roman" w:eastAsia="Times New Roman" w:hint="default"/>
          <w:spacing w:val="-3"/>
        </w:rPr>
        <w:t>10</w:t>
      </w:r>
      <w:r>
        <w:rPr>
          <w:spacing w:val="-3"/>
        </w:rPr>
        <w:t>股派</w:t>
      </w:r>
      <w:r>
        <w:rPr>
          <w:spacing w:val="-16"/>
        </w:rPr>
        <w:t> </w:t>
      </w:r>
      <w:r>
        <w:rPr/>
        <w:t>发现金股利人民币</w:t>
      </w:r>
      <w:r>
        <w:rPr>
          <w:rFonts w:ascii="Times New Roman" w:hAnsi="Times New Roman" w:cs="Times New Roman" w:eastAsia="Times New Roman" w:hint="default"/>
        </w:rPr>
        <w:t>1.00</w:t>
      </w:r>
      <w:r>
        <w:rPr/>
        <w:t>元（含税），共计派发</w:t>
      </w:r>
      <w:r>
        <w:rPr>
          <w:rFonts w:ascii="Times New Roman" w:hAnsi="Times New Roman" w:cs="Times New Roman" w:eastAsia="Times New Roman" w:hint="default"/>
        </w:rPr>
        <w:t>106,690,335.3</w:t>
      </w:r>
      <w:r>
        <w:rPr/>
        <w:t>元，剩余未分配利润结转至下一年度。公司因</w:t>
      </w:r>
      <w:r>
        <w:rPr>
          <w:spacing w:val="-28"/>
        </w:rPr>
        <w:t> </w:t>
      </w:r>
      <w:r>
        <w:rPr>
          <w:spacing w:val="-28"/>
        </w:rPr>
      </w:r>
      <w:r>
        <w:rPr>
          <w:spacing w:val="-2"/>
        </w:rPr>
        <w:t>正在实施《</w:t>
      </w:r>
      <w:r>
        <w:rPr>
          <w:rFonts w:ascii="宋体" w:hAnsi="宋体" w:cs="宋体" w:eastAsia="宋体" w:hint="default"/>
          <w:spacing w:val="-2"/>
        </w:rPr>
        <w:t>2016</w:t>
      </w:r>
      <w:r>
        <w:rPr>
          <w:spacing w:val="-2"/>
        </w:rPr>
        <w:t>年股权激励计划》，公司股本将因激励对象自主行权而发生变化。截止权益分派实施日，</w:t>
      </w:r>
      <w:r>
        <w:rPr>
          <w:spacing w:val="-17"/>
        </w:rPr>
        <w:t> </w:t>
      </w:r>
      <w:r>
        <w:rPr>
          <w:spacing w:val="-17"/>
        </w:rPr>
      </w:r>
      <w:r>
        <w:rPr>
          <w:spacing w:val="-2"/>
        </w:rPr>
        <w:t>如公司股本发生变化，公司将依据法律规定，按照拟召开的</w:t>
      </w:r>
      <w:r>
        <w:rPr>
          <w:rFonts w:ascii="Times New Roman" w:hAnsi="Times New Roman" w:cs="Times New Roman" w:eastAsia="Times New Roman" w:hint="default"/>
          <w:spacing w:val="-2"/>
        </w:rPr>
        <w:t>2018</w:t>
      </w:r>
      <w:r>
        <w:rPr>
          <w:spacing w:val="-2"/>
        </w:rPr>
        <w:t>年股东大会审议确定的</w:t>
      </w:r>
      <w:r>
        <w:rPr>
          <w:rFonts w:ascii="Times New Roman" w:hAnsi="Times New Roman" w:cs="Times New Roman" w:eastAsia="Times New Roman" w:hint="default"/>
          <w:spacing w:val="-2"/>
        </w:rPr>
        <w:t>“</w:t>
      </w:r>
      <w:r>
        <w:rPr>
          <w:spacing w:val="-2"/>
        </w:rPr>
        <w:t>现金分红总额</w:t>
      </w:r>
      <w:r>
        <w:rPr>
          <w:rFonts w:ascii="Times New Roman" w:hAnsi="Times New Roman" w:cs="Times New Roman" w:eastAsia="Times New Roman" w:hint="default"/>
          <w:spacing w:val="-2"/>
        </w:rPr>
        <w:t>”</w:t>
      </w:r>
      <w:r>
        <w:rPr>
          <w:spacing w:val="-2"/>
        </w:rPr>
        <w:t>固</w:t>
      </w:r>
      <w:r>
        <w:rPr>
          <w:spacing w:val="-13"/>
        </w:rPr>
        <w:t> </w:t>
      </w:r>
      <w:r>
        <w:rPr>
          <w:spacing w:val="-3"/>
        </w:rPr>
        <w:t>定不变的原则，即公司以确定总派发金额（含税）</w:t>
      </w:r>
      <w:r>
        <w:rPr>
          <w:rFonts w:ascii="Times New Roman" w:hAnsi="Times New Roman" w:cs="Times New Roman" w:eastAsia="Times New Roman" w:hint="default"/>
          <w:spacing w:val="-3"/>
        </w:rPr>
        <w:t>106,690,335.30</w:t>
      </w:r>
      <w:r>
        <w:rPr>
          <w:spacing w:val="-3"/>
        </w:rPr>
        <w:t>元固定不变的前提下，披露按最新股本总</w:t>
      </w:r>
      <w:r>
        <w:rPr>
          <w:spacing w:val="-24"/>
        </w:rPr>
        <w:t> </w:t>
      </w:r>
      <w:r>
        <w:rPr>
          <w:spacing w:val="-24"/>
        </w:rPr>
      </w:r>
      <w:r>
        <w:rPr>
          <w:spacing w:val="-2"/>
        </w:rPr>
        <w:t>额计算的分配比例，调整向全体股东每</w:t>
      </w:r>
      <w:r>
        <w:rPr>
          <w:rFonts w:ascii="Times New Roman" w:hAnsi="Times New Roman" w:cs="Times New Roman" w:eastAsia="Times New Roman" w:hint="default"/>
          <w:spacing w:val="-2"/>
        </w:rPr>
        <w:t>10</w:t>
      </w:r>
      <w:r>
        <w:rPr>
          <w:spacing w:val="-2"/>
        </w:rPr>
        <w:t>股派发现金股利的具体金额。本利润分配方案尚需经公司</w:t>
      </w:r>
      <w:r>
        <w:rPr>
          <w:rFonts w:ascii="Times New Roman" w:hAnsi="Times New Roman" w:cs="Times New Roman" w:eastAsia="Times New Roman" w:hint="default"/>
          <w:spacing w:val="-2"/>
        </w:rPr>
        <w:t>2018</w:t>
      </w:r>
      <w:r>
        <w:rPr>
          <w:spacing w:val="-2"/>
        </w:rPr>
        <w:t>年</w:t>
      </w:r>
      <w:r>
        <w:rPr>
          <w:spacing w:val="-40"/>
        </w:rPr>
        <w:t> </w:t>
      </w:r>
      <w:r>
        <w:rPr/>
        <w:t>度股东大会审议通过方可实施。</w:t>
      </w:r>
    </w:p>
    <w:p>
      <w:pPr>
        <w:spacing w:line="240" w:lineRule="auto" w:before="11"/>
        <w:rPr>
          <w:rFonts w:ascii="宋体" w:hAnsi="宋体" w:cs="宋体" w:eastAsia="宋体" w:hint="default"/>
          <w:sz w:val="29"/>
          <w:szCs w:val="29"/>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9"/>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1639"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52" w:right="50"/>
              <w:jc w:val="both"/>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2" w:right="53" w:firstLine="91"/>
              <w:jc w:val="left"/>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w:t>
            </w:r>
          </w:p>
        </w:tc>
      </w:tr>
    </w:tbl>
    <w:p>
      <w:pPr>
        <w:spacing w:after="0" w:line="316"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175"/>
        <w:gridCol w:w="1206"/>
        <w:gridCol w:w="1196"/>
        <w:gridCol w:w="1195"/>
        <w:gridCol w:w="1198"/>
        <w:gridCol w:w="1195"/>
        <w:gridCol w:w="1196"/>
        <w:gridCol w:w="1198"/>
      </w:tblGrid>
      <w:tr>
        <w:trPr>
          <w:trHeight w:val="358" w:hRule="exact"/>
        </w:trPr>
        <w:tc>
          <w:tcPr>
            <w:tcW w:w="1175" w:type="dxa"/>
            <w:vMerge w:val="restart"/>
            <w:tcBorders>
              <w:top w:val="single" w:sz="4" w:space="0" w:color="000000"/>
              <w:left w:val="single" w:sz="4" w:space="0" w:color="000000"/>
              <w:right w:val="single" w:sz="4" w:space="0" w:color="000000"/>
            </w:tcBorders>
            <w:shd w:val="clear" w:color="auto" w:fill="D2D2D2"/>
          </w:tcPr>
          <w:p>
            <w:pPr/>
          </w:p>
        </w:tc>
        <w:tc>
          <w:tcPr>
            <w:tcW w:w="120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净利润的比例</w:t>
            </w: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
              <w:ind w:left="323" w:right="53" w:hanging="272"/>
              <w:jc w:val="left"/>
              <w:rPr>
                <w:rFonts w:ascii="宋体" w:hAnsi="宋体" w:cs="宋体" w:eastAsia="宋体" w:hint="default"/>
                <w:sz w:val="18"/>
                <w:szCs w:val="18"/>
              </w:rPr>
            </w:pPr>
            <w:r>
              <w:rPr>
                <w:rFonts w:ascii="宋体" w:hAnsi="宋体" w:cs="宋体" w:eastAsia="宋体" w:hint="default"/>
                <w:sz w:val="18"/>
                <w:szCs w:val="18"/>
              </w:rPr>
              <w:t>股东的净利润 的比率</w:t>
            </w:r>
          </w:p>
        </w:tc>
      </w:tr>
      <w:tr>
        <w:trPr>
          <w:trHeight w:val="317" w:hRule="exact"/>
        </w:trPr>
        <w:tc>
          <w:tcPr>
            <w:tcW w:w="1175" w:type="dxa"/>
            <w:vMerge/>
            <w:tcBorders>
              <w:left w:val="single" w:sz="4" w:space="0" w:color="000000"/>
              <w:bottom w:val="single" w:sz="4" w:space="0" w:color="000000"/>
              <w:right w:val="single" w:sz="4" w:space="0" w:color="000000"/>
            </w:tcBorders>
            <w:shd w:val="clear" w:color="auto" w:fill="D2D2D2"/>
          </w:tcPr>
          <w:p>
            <w:pPr/>
          </w:p>
        </w:tc>
        <w:tc>
          <w:tcPr>
            <w:tcW w:w="120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106,690,335.30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463,482,459.69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23.02%</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106,690,335.30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23.02%</w:t>
            </w:r>
          </w:p>
        </w:tc>
      </w:tr>
      <w:tr>
        <w:trPr>
          <w:trHeight w:val="403"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106,678,875.30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419,028,697.62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25.46%</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106,678,875.30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25.46%</w:t>
            </w:r>
          </w:p>
        </w:tc>
      </w:tr>
      <w:tr>
        <w:trPr>
          <w:trHeight w:val="401"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42,671,550.12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388,790,331.19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42,671,550.12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10.98%</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二、本报告期利润分配及资本公积金转增股本预案情况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44"/>
        <w:ind w:left="152" w:right="1133" w:firstLine="0"/>
        <w:jc w:val="right"/>
        <w:rPr>
          <w:rFonts w:ascii="宋体" w:hAnsi="宋体" w:cs="宋体" w:eastAsia="宋体" w:hint="default"/>
          <w:sz w:val="18"/>
          <w:szCs w:val="18"/>
        </w:rPr>
      </w:pPr>
      <w:r>
        <w:rPr/>
        <w:pict>
          <v:shape style="position:absolute;margin-left:56.400002pt;margin-top:-257.578278pt;width:479.3pt;height:390.6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20"/>
                    <w:gridCol w:w="4051"/>
                  </w:tblGrid>
                  <w:tr>
                    <w:trPr>
                      <w:trHeight w:val="404" w:hRule="exact"/>
                    </w:trPr>
                    <w:tc>
                      <w:tcPr>
                        <w:tcW w:w="5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40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5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0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3" w:hRule="exact"/>
                    </w:trPr>
                    <w:tc>
                      <w:tcPr>
                        <w:tcW w:w="5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40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5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40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1,066,903,353.00</w:t>
                        </w:r>
                      </w:p>
                    </w:tc>
                  </w:tr>
                  <w:tr>
                    <w:trPr>
                      <w:trHeight w:val="403" w:hRule="exact"/>
                    </w:trPr>
                    <w:tc>
                      <w:tcPr>
                        <w:tcW w:w="5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0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106,690,335.30</w:t>
                        </w:r>
                      </w:p>
                    </w:tc>
                  </w:tr>
                  <w:tr>
                    <w:trPr>
                      <w:trHeight w:val="401" w:hRule="exact"/>
                    </w:trPr>
                    <w:tc>
                      <w:tcPr>
                        <w:tcW w:w="5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40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40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106,690,335.30</w:t>
                        </w:r>
                      </w:p>
                    </w:tc>
                  </w:tr>
                  <w:tr>
                    <w:trPr>
                      <w:trHeight w:val="401" w:hRule="exact"/>
                    </w:trPr>
                    <w:tc>
                      <w:tcPr>
                        <w:tcW w:w="5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40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2,826,287,929.62</w:t>
                        </w:r>
                      </w:p>
                    </w:tc>
                  </w:tr>
                  <w:tr>
                    <w:trPr>
                      <w:trHeight w:val="408" w:hRule="exact"/>
                    </w:trPr>
                    <w:tc>
                      <w:tcPr>
                        <w:tcW w:w="5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40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80</w:t>
                        </w:r>
                        <w:r>
                          <w:rPr>
                            <w:rFonts w:ascii="宋体" w:hAnsi="宋体" w:cs="宋体" w:eastAsia="宋体" w:hint="default"/>
                            <w:spacing w:val="-1"/>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978"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3"/>
                            <w:sz w:val="18"/>
                            <w:szCs w:val="18"/>
                          </w:rPr>
                          <w:t>经信永中和会计师事务所（特殊普通合伙）审计，公司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年度归属于母公司股东净利润为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463,482,459.69</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元，加上</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2,469,484,345.23</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元，扣除支付</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年度股东现金红利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106,678,875.30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元、</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年度提取的盈余公积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加之其他调整减少的留存收益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年度可供全体股东分配的利润为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2,826,287,929.62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103"/>
                          <w:ind w:left="384" w:right="0"/>
                          <w:jc w:val="left"/>
                          <w:rPr>
                            <w:rFonts w:ascii="宋体" w:hAnsi="宋体" w:cs="宋体" w:eastAsia="宋体" w:hint="default"/>
                            <w:sz w:val="18"/>
                            <w:szCs w:val="18"/>
                          </w:rPr>
                        </w:pPr>
                        <w:r>
                          <w:rPr>
                            <w:rFonts w:ascii="宋体" w:hAnsi="宋体" w:cs="宋体" w:eastAsia="宋体" w:hint="default"/>
                            <w:sz w:val="18"/>
                            <w:szCs w:val="18"/>
                          </w:rPr>
                          <w:t>公司拟以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总</w:t>
                        </w:r>
                        <w:r>
                          <w:rPr>
                            <w:rFonts w:ascii="宋体" w:hAnsi="宋体" w:cs="宋体" w:eastAsia="宋体" w:hint="default"/>
                            <w:sz w:val="18"/>
                            <w:szCs w:val="18"/>
                          </w:rPr>
                          <w:t>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03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为基数</w:t>
                        </w:r>
                        <w:r>
                          <w:rPr>
                            <w:rFonts w:ascii="宋体" w:hAnsi="宋体" w:cs="宋体" w:eastAsia="宋体" w:hint="default"/>
                            <w:spacing w:val="-85"/>
                            <w:sz w:val="18"/>
                            <w:szCs w:val="18"/>
                          </w:rPr>
                          <w:t>，</w:t>
                        </w:r>
                        <w:r>
                          <w:rPr>
                            <w:rFonts w:ascii="宋体" w:hAnsi="宋体" w:cs="宋体" w:eastAsia="宋体" w:hint="default"/>
                            <w:sz w:val="18"/>
                            <w:szCs w:val="18"/>
                          </w:rPr>
                          <w:t>向全体股东按每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w:t>
                        </w:r>
                        <w:r>
                          <w:rPr>
                            <w:rFonts w:ascii="宋体" w:hAnsi="宋体" w:cs="宋体" w:eastAsia="宋体" w:hint="default"/>
                            <w:spacing w:val="-3"/>
                            <w:sz w:val="18"/>
                            <w:szCs w:val="18"/>
                          </w:rPr>
                          <w:t>金</w:t>
                        </w:r>
                        <w:r>
                          <w:rPr>
                            <w:rFonts w:ascii="宋体" w:hAnsi="宋体" w:cs="宋体" w:eastAsia="宋体" w:hint="default"/>
                            <w:sz w:val="18"/>
                            <w:szCs w:val="18"/>
                          </w:rPr>
                          <w:t>股利人民币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82"/>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共计派发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106,690,335.30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元，剩余未分配利润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2,719,597,594.32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元结转至下一年度。</w:t>
                        </w:r>
                      </w:p>
                      <w:p>
                        <w:pPr>
                          <w:pStyle w:val="TableParagraph"/>
                          <w:spacing w:line="300" w:lineRule="auto" w:before="101"/>
                          <w:ind w:left="24" w:right="21" w:firstLine="360"/>
                          <w:jc w:val="both"/>
                          <w:rPr>
                            <w:rFonts w:ascii="宋体" w:hAnsi="宋体" w:cs="宋体" w:eastAsia="宋体" w:hint="default"/>
                            <w:sz w:val="18"/>
                            <w:szCs w:val="18"/>
                          </w:rPr>
                        </w:pPr>
                        <w:r>
                          <w:rPr>
                            <w:rFonts w:ascii="宋体" w:hAnsi="宋体" w:cs="宋体" w:eastAsia="宋体" w:hint="default"/>
                            <w:spacing w:val="-1"/>
                            <w:sz w:val="18"/>
                            <w:szCs w:val="18"/>
                          </w:rPr>
                          <w:t>公司因正在实施《</w:t>
                        </w:r>
                        <w:r>
                          <w:rPr>
                            <w:rFonts w:ascii="Times New Roman" w:hAnsi="Times New Roman" w:cs="Times New Roman" w:eastAsia="Times New Roman" w:hint="default"/>
                            <w:spacing w:val="-1"/>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年股权激励计划》，公司股本将因激励对象自主行权而发生变化。截止权益分派实施日，如公</w:t>
                        </w:r>
                        <w:r>
                          <w:rPr>
                            <w:rFonts w:ascii="宋体" w:hAnsi="宋体" w:cs="宋体" w:eastAsia="宋体" w:hint="default"/>
                            <w:sz w:val="18"/>
                            <w:szCs w:val="18"/>
                          </w:rPr>
                          <w:t> 司股本发生变化，公司将依据法律规定，按照拟召开的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年股东大会审议确定的“现金分红总额”固定不变的原则， 即公司以确定总派发金额（含税）</w:t>
                        </w:r>
                        <w:r>
                          <w:rPr>
                            <w:rFonts w:ascii="Times New Roman" w:hAnsi="Times New Roman" w:cs="Times New Roman" w:eastAsia="Times New Roman" w:hint="default"/>
                            <w:sz w:val="18"/>
                            <w:szCs w:val="18"/>
                          </w:rPr>
                          <w:t>106,690,335.30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元固定不变的前提下，披露按最新股本总额计算的分配比例，调整向全 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股派发现金股利的具体金额。</w:t>
                        </w:r>
                      </w:p>
                    </w:tc>
                  </w:tr>
                </w:tbl>
                <w:p>
                  <w:pPr/>
                </w:p>
              </w:txbxContent>
            </v:textbox>
            <w10:wrap type="none"/>
          </v:shape>
        </w:pict>
      </w:r>
      <w:r>
        <w:rPr>
          <w:rFonts w:ascii="宋体" w:hAnsi="宋体" w:cs="宋体" w:eastAsia="宋体" w:hint="default"/>
          <w:sz w:val="18"/>
          <w:szCs w:val="18"/>
        </w:rPr>
        <w:t>，</w:t>
      </w:r>
    </w:p>
    <w:p>
      <w:pPr>
        <w:spacing w:line="240" w:lineRule="auto" w:before="5"/>
        <w:rPr>
          <w:rFonts w:ascii="宋体" w:hAnsi="宋体" w:cs="宋体" w:eastAsia="宋体" w:hint="default"/>
          <w:sz w:val="29"/>
          <w:szCs w:val="29"/>
        </w:rPr>
      </w:pPr>
    </w:p>
    <w:p>
      <w:pPr>
        <w:spacing w:before="44"/>
        <w:ind w:left="152"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3"/>
        <w:spacing w:line="240" w:lineRule="auto" w:before="26"/>
        <w:ind w:right="1133"/>
        <w:jc w:val="left"/>
        <w:rPr>
          <w:b w:val="0"/>
          <w:bCs w:val="0"/>
        </w:rPr>
      </w:pP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7"/>
        <w:spacing w:line="256" w:lineRule="auto"/>
        <w:ind w:right="113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15pt;height:691.8pt;mso-position-horizontal-relative:page;mso-position-vertical-relative:page;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850"/>
                    <w:gridCol w:w="991"/>
                    <w:gridCol w:w="3380"/>
                    <w:gridCol w:w="732"/>
                    <w:gridCol w:w="566"/>
                    <w:gridCol w:w="2055"/>
                  </w:tblGrid>
                  <w:tr>
                    <w:trPr>
                      <w:trHeight w:val="161" w:hRule="exact"/>
                    </w:trPr>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71" w:right="89" w:hanging="180"/>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20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92"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3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732"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2055" w:type="dxa"/>
                        <w:vMerge/>
                        <w:tcBorders>
                          <w:left w:val="single" w:sz="4" w:space="0" w:color="000000"/>
                          <w:right w:val="single" w:sz="4" w:space="0" w:color="000000"/>
                        </w:tcBorders>
                        <w:shd w:val="clear" w:color="auto" w:fill="D2D2D2"/>
                      </w:tcPr>
                      <w:p>
                        <w:pPr/>
                      </w:p>
                    </w:tc>
                  </w:tr>
                  <w:tr>
                    <w:trPr>
                      <w:trHeight w:val="161" w:hRule="exact"/>
                    </w:trPr>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2"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2055" w:type="dxa"/>
                        <w:vMerge/>
                        <w:tcBorders>
                          <w:left w:val="single" w:sz="4" w:space="0" w:color="000000"/>
                          <w:bottom w:val="single" w:sz="4" w:space="0" w:color="000000"/>
                          <w:right w:val="single" w:sz="4" w:space="0" w:color="000000"/>
                        </w:tcBorders>
                        <w:shd w:val="clear" w:color="auto" w:fill="D2D2D2"/>
                      </w:tcPr>
                      <w:p>
                        <w:pPr/>
                      </w:p>
                    </w:tc>
                  </w:tr>
                  <w:tr>
                    <w:trPr>
                      <w:trHeight w:val="2587" w:hRule="exact"/>
                    </w:trPr>
                    <w:tc>
                      <w:tcPr>
                        <w:tcW w:w="99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公司董事 长、控股 股东李仲 初先生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如由于中电器件位于北京市海淀区复兴路 甲</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号的房产以及北京市朝阳区新源街</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号楼院的土地和房产权属证明在预期办理 期限内未能办理完毕，或由于与上述房产 相关的任何潜在债权债务关系或任何形式 的纠纷在本次交易完成后对中电器件或石 基信息造成任何损失，本人愿意以现金补 偿的方式承担补偿责任。</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6" w:right="38"/>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中电器件位于北京市海淀 区复兴路甲</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号的房产 已不存在瑕疵或潜在纠 纷，其余相关土地及房产 损失事项未有发生，承诺 方严格遵守承诺但无需承 担经济补偿责任。</w:t>
                        </w:r>
                      </w:p>
                    </w:tc>
                  </w:tr>
                  <w:tr>
                    <w:trPr>
                      <w:trHeight w:val="161" w:hRule="exact"/>
                    </w:trPr>
                    <w:tc>
                      <w:tcPr>
                        <w:tcW w:w="994"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18" w:right="95"/>
                          <w:jc w:val="both"/>
                          <w:rPr>
                            <w:rFonts w:ascii="宋体" w:hAnsi="宋体" w:cs="宋体" w:eastAsia="宋体" w:hint="default"/>
                            <w:sz w:val="18"/>
                            <w:szCs w:val="18"/>
                          </w:rPr>
                        </w:pPr>
                        <w:r>
                          <w:rPr>
                            <w:rFonts w:ascii="宋体" w:hAnsi="宋体" w:cs="宋体" w:eastAsia="宋体" w:hint="default"/>
                            <w:sz w:val="18"/>
                            <w:szCs w:val="18"/>
                          </w:rPr>
                          <w:t>公司董事 长、控股 股东李仲 初先生</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380"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如未来中国电子器件工业有限公司或其子 公司中国电子器件工业海南有限公司因香 港精密模具有限公司（</w:t>
                        </w:r>
                        <w:r>
                          <w:rPr>
                            <w:rFonts w:ascii="Times New Roman" w:hAnsi="Times New Roman" w:cs="Times New Roman" w:eastAsia="Times New Roman" w:hint="default"/>
                            <w:sz w:val="18"/>
                            <w:szCs w:val="18"/>
                          </w:rPr>
                          <w:t>KINGSWELL MOULDS</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）投资主体登记与境外</w:t>
                        </w:r>
                        <w:r>
                          <w:rPr>
                            <w:rFonts w:ascii="宋体" w:hAnsi="宋体" w:cs="宋体" w:eastAsia="宋体" w:hint="default"/>
                            <w:w w:val="99"/>
                            <w:sz w:val="18"/>
                            <w:szCs w:val="18"/>
                          </w:rPr>
                          <w:t> </w:t>
                        </w:r>
                        <w:r>
                          <w:rPr>
                            <w:rFonts w:ascii="宋体" w:hAnsi="宋体" w:cs="宋体" w:eastAsia="宋体" w:hint="default"/>
                            <w:sz w:val="18"/>
                            <w:szCs w:val="18"/>
                          </w:rPr>
                          <w:t>公司股东登记不一致受到行政处罚或其他</w:t>
                        </w:r>
                        <w:r>
                          <w:rPr>
                            <w:rFonts w:ascii="宋体" w:hAnsi="宋体" w:cs="宋体" w:eastAsia="宋体" w:hint="default"/>
                            <w:w w:val="99"/>
                            <w:sz w:val="18"/>
                            <w:szCs w:val="18"/>
                          </w:rPr>
                          <w:t> </w:t>
                        </w:r>
                        <w:r>
                          <w:rPr>
                            <w:rFonts w:ascii="宋体" w:hAnsi="宋体" w:cs="宋体" w:eastAsia="宋体" w:hint="default"/>
                            <w:sz w:val="18"/>
                            <w:szCs w:val="18"/>
                          </w:rPr>
                          <w:t>损失，本人愿意以现金补偿的方式承担补</w:t>
                        </w:r>
                        <w:r>
                          <w:rPr>
                            <w:rFonts w:ascii="宋体" w:hAnsi="宋体" w:cs="宋体" w:eastAsia="宋体" w:hint="default"/>
                            <w:w w:val="99"/>
                            <w:sz w:val="18"/>
                            <w:szCs w:val="18"/>
                          </w:rPr>
                          <w:t> </w:t>
                        </w:r>
                        <w:r>
                          <w:rPr>
                            <w:rFonts w:ascii="宋体" w:hAnsi="宋体" w:cs="宋体" w:eastAsia="宋体" w:hint="default"/>
                            <w:sz w:val="18"/>
                            <w:szCs w:val="18"/>
                          </w:rPr>
                          <w:t>偿责任。</w:t>
                        </w:r>
                      </w:p>
                    </w:tc>
                    <w:tc>
                      <w:tcPr>
                        <w:tcW w:w="7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0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2" w:lineRule="auto"/>
                          <w:ind w:left="26" w:right="38"/>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损失事项未有发生，承诺 方严格遵守承诺但无需承 担经济补偿责任。</w:t>
                        </w:r>
                      </w:p>
                    </w:tc>
                  </w:tr>
                  <w:tr>
                    <w:trPr>
                      <w:trHeight w:val="703"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850" w:type="dxa"/>
                        <w:vMerge/>
                        <w:tcBorders>
                          <w:left w:val="single" w:sz="9" w:space="0" w:color="D2D2D2"/>
                          <w:right w:val="single" w:sz="4" w:space="0" w:color="000000"/>
                        </w:tcBorders>
                      </w:tcPr>
                      <w:p>
                        <w:pPr/>
                      </w:p>
                    </w:tc>
                    <w:tc>
                      <w:tcPr>
                        <w:tcW w:w="991" w:type="dxa"/>
                        <w:vMerge/>
                        <w:tcBorders>
                          <w:left w:val="single" w:sz="4" w:space="0" w:color="000000"/>
                          <w:right w:val="single" w:sz="4" w:space="0" w:color="000000"/>
                        </w:tcBorders>
                      </w:tcPr>
                      <w:p>
                        <w:pPr/>
                      </w:p>
                    </w:tc>
                    <w:tc>
                      <w:tcPr>
                        <w:tcW w:w="3380"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2055" w:type="dxa"/>
                        <w:vMerge/>
                        <w:tcBorders>
                          <w:left w:val="single" w:sz="4" w:space="0" w:color="000000"/>
                          <w:right w:val="single" w:sz="4" w:space="0" w:color="000000"/>
                        </w:tcBorders>
                      </w:tcPr>
                      <w:p>
                        <w:pPr/>
                      </w:p>
                    </w:tc>
                  </w:tr>
                  <w:tr>
                    <w:trPr>
                      <w:trHeight w:val="1409" w:hRule="exact"/>
                    </w:trPr>
                    <w:tc>
                      <w:tcPr>
                        <w:tcW w:w="994"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380" w:type="dxa"/>
                        <w:vMerge/>
                        <w:tcBorders>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2055" w:type="dxa"/>
                        <w:vMerge/>
                        <w:tcBorders>
                          <w:left w:val="single" w:sz="4" w:space="0" w:color="000000"/>
                          <w:bottom w:val="single" w:sz="4" w:space="0" w:color="000000"/>
                          <w:right w:val="single" w:sz="4" w:space="0" w:color="000000"/>
                        </w:tcBorders>
                      </w:tcPr>
                      <w:p>
                        <w:pPr/>
                      </w:p>
                    </w:tc>
                  </w:tr>
                  <w:tr>
                    <w:trPr>
                      <w:trHeight w:val="1339"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both"/>
                          <w:rPr>
                            <w:rFonts w:ascii="宋体" w:hAnsi="宋体" w:cs="宋体" w:eastAsia="宋体" w:hint="default"/>
                            <w:sz w:val="18"/>
                            <w:szCs w:val="18"/>
                          </w:rPr>
                        </w:pPr>
                        <w:r>
                          <w:rPr>
                            <w:rFonts w:ascii="宋体" w:hAnsi="宋体" w:cs="宋体" w:eastAsia="宋体" w:hint="default"/>
                            <w:sz w:val="18"/>
                            <w:szCs w:val="18"/>
                          </w:rPr>
                          <w:t>公司董事 长、控股 股东李仲 初先生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53"/>
                          <w:jc w:val="both"/>
                          <w:rPr>
                            <w:rFonts w:ascii="宋体" w:hAnsi="宋体" w:cs="宋体" w:eastAsia="宋体" w:hint="default"/>
                            <w:sz w:val="18"/>
                            <w:szCs w:val="18"/>
                          </w:rPr>
                        </w:pPr>
                        <w:r>
                          <w:rPr>
                            <w:rFonts w:ascii="宋体" w:hAnsi="宋体" w:cs="宋体" w:eastAsia="宋体" w:hint="default"/>
                            <w:sz w:val="18"/>
                            <w:szCs w:val="18"/>
                          </w:rPr>
                          <w:t>如深圳京宝实业有限公司需承担任何形式 的负债</w:t>
                        </w:r>
                        <w:r>
                          <w:rPr>
                            <w:rFonts w:ascii="Times New Roman" w:hAnsi="Times New Roman" w:cs="Times New Roman" w:eastAsia="Times New Roman" w:hint="default"/>
                            <w:sz w:val="18"/>
                            <w:szCs w:val="18"/>
                          </w:rPr>
                          <w:t>/</w:t>
                        </w:r>
                        <w:r>
                          <w:rPr>
                            <w:rFonts w:ascii="宋体" w:hAnsi="宋体" w:cs="宋体" w:eastAsia="宋体" w:hint="default"/>
                            <w:sz w:val="18"/>
                            <w:szCs w:val="18"/>
                          </w:rPr>
                          <w:t>或有负债，对中电器件或石基信息 造成损失，本人愿意以现金补偿的方式承 担补偿责任。</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6" w:right="38"/>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损失事项未有发生，承诺 方严格遵守承诺但无需承 担经济补偿责任。</w:t>
                        </w:r>
                      </w:p>
                    </w:tc>
                  </w:tr>
                  <w:tr>
                    <w:trPr>
                      <w:trHeight w:val="1611" w:hRule="exact"/>
                    </w:trPr>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8" w:right="95"/>
                          <w:jc w:val="both"/>
                          <w:rPr>
                            <w:rFonts w:ascii="宋体" w:hAnsi="宋体" w:cs="宋体" w:eastAsia="宋体" w:hint="default"/>
                            <w:sz w:val="18"/>
                            <w:szCs w:val="18"/>
                          </w:rPr>
                        </w:pPr>
                        <w:r>
                          <w:rPr>
                            <w:rFonts w:ascii="宋体" w:hAnsi="宋体" w:cs="宋体" w:eastAsia="宋体" w:hint="default"/>
                            <w:sz w:val="18"/>
                            <w:szCs w:val="18"/>
                          </w:rPr>
                          <w:t>发行前股 东、公司 董事长、 控股股东 李仲初先 生</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380"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自本公司股票上市之日起三十六个月内， 不转让或者委托他人管理其持有的发行人 股份，也不由发行人回购其持有的股份。 三十六个月后，任职期间每年转让的股份 不得超过其所持有本公司股份总数的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，离职后半年内不转让其所持有的本公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司股份，其后一年转让不超过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的所持 有本公司股份。</w:t>
                        </w:r>
                      </w:p>
                    </w:tc>
                    <w:tc>
                      <w:tcPr>
                        <w:tcW w:w="7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0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6" w:right="38"/>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股东李仲初信守承诺，没 有转让或委托他人管理其 持有的公司股份，也没有 由公司回购该股份。</w:t>
                        </w:r>
                      </w:p>
                    </w:tc>
                  </w:tr>
                  <w:tr>
                    <w:trPr>
                      <w:trHeight w:val="974"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58"/>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850" w:type="dxa"/>
                        <w:vMerge/>
                        <w:tcBorders>
                          <w:left w:val="single" w:sz="9" w:space="0" w:color="D2D2D2"/>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380" w:type="dxa"/>
                        <w:vMerge/>
                        <w:tcBorders>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2055" w:type="dxa"/>
                        <w:vMerge/>
                        <w:tcBorders>
                          <w:left w:val="single" w:sz="4" w:space="0" w:color="000000"/>
                          <w:bottom w:val="single" w:sz="4" w:space="0" w:color="000000"/>
                          <w:right w:val="single" w:sz="4" w:space="0" w:color="000000"/>
                        </w:tcBorders>
                      </w:tcPr>
                      <w:p>
                        <w:pPr/>
                      </w:p>
                    </w:tc>
                  </w:tr>
                  <w:tr>
                    <w:trPr>
                      <w:trHeight w:val="1651" w:hRule="exact"/>
                    </w:trPr>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95"/>
                          <w:jc w:val="both"/>
                          <w:rPr>
                            <w:rFonts w:ascii="宋体" w:hAnsi="宋体" w:cs="宋体" w:eastAsia="宋体" w:hint="default"/>
                            <w:sz w:val="18"/>
                            <w:szCs w:val="18"/>
                          </w:rPr>
                        </w:pPr>
                        <w:r>
                          <w:rPr>
                            <w:rFonts w:ascii="宋体" w:hAnsi="宋体" w:cs="宋体" w:eastAsia="宋体" w:hint="default"/>
                            <w:sz w:val="18"/>
                            <w:szCs w:val="18"/>
                          </w:rPr>
                          <w:t>淘宝（中 国）软件 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3" w:right="22"/>
                          <w:jc w:val="left"/>
                          <w:rPr>
                            <w:rFonts w:ascii="宋体" w:hAnsi="宋体" w:cs="宋体" w:eastAsia="宋体" w:hint="default"/>
                            <w:sz w:val="18"/>
                            <w:szCs w:val="18"/>
                          </w:rPr>
                        </w:pPr>
                        <w:r>
                          <w:rPr>
                            <w:rFonts w:ascii="宋体" w:hAnsi="宋体" w:cs="宋体" w:eastAsia="宋体" w:hint="default"/>
                            <w:sz w:val="18"/>
                            <w:szCs w:val="18"/>
                          </w:rPr>
                          <w:t>淘宝（中国）软件有限公司认购的股票自 上市首日起六十个月内不转让，可上市流 通时间为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日（非交易日顺 </w:t>
                        </w:r>
                        <w:r>
                          <w:rPr>
                            <w:rFonts w:ascii="宋体" w:hAnsi="宋体" w:cs="宋体" w:eastAsia="宋体" w:hint="default"/>
                            <w:spacing w:val="-31"/>
                            <w:sz w:val="18"/>
                            <w:szCs w:val="18"/>
                          </w:rPr>
                          <w:t>延）。</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97" w:lineRule="auto"/>
                          <w:ind w:left="24"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35"/>
                          <w:jc w:val="both"/>
                          <w:rPr>
                            <w:rFonts w:ascii="宋体" w:hAnsi="宋体" w:cs="宋体" w:eastAsia="宋体" w:hint="default"/>
                            <w:sz w:val="18"/>
                            <w:szCs w:val="18"/>
                          </w:rPr>
                        </w:pPr>
                        <w:r>
                          <w:rPr>
                            <w:rFonts w:ascii="宋体" w:hAnsi="宋体" w:cs="宋体" w:eastAsia="宋体" w:hint="default"/>
                            <w:sz w:val="18"/>
                            <w:szCs w:val="18"/>
                          </w:rPr>
                          <w:t>该承诺正在履行中，截止 本报告期末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09" w:lineRule="auto" w:before="1"/>
                          <w:ind w:left="26" w:right="-10"/>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日，股东淘宝（中国） 软件有限公司不存在违反 承诺的任何情形。</w:t>
                        </w:r>
                      </w:p>
                    </w:tc>
                  </w:tr>
                  <w:tr>
                    <w:trPr>
                      <w:trHeight w:val="629" w:hRule="exact"/>
                    </w:trPr>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 w:right="95"/>
                          <w:jc w:val="left"/>
                          <w:rPr>
                            <w:rFonts w:ascii="宋体" w:hAnsi="宋体" w:cs="宋体" w:eastAsia="宋体" w:hint="default"/>
                            <w:sz w:val="18"/>
                            <w:szCs w:val="18"/>
                          </w:rPr>
                        </w:pPr>
                        <w:r>
                          <w:rPr>
                            <w:rFonts w:ascii="宋体" w:hAnsi="宋体" w:cs="宋体" w:eastAsia="宋体" w:hint="default"/>
                            <w:sz w:val="18"/>
                            <w:szCs w:val="18"/>
                          </w:rPr>
                          <w:t>所有激励 对象</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380"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105"/>
                          <w:jc w:val="both"/>
                          <w:rPr>
                            <w:rFonts w:ascii="宋体" w:hAnsi="宋体" w:cs="宋体" w:eastAsia="宋体" w:hint="default"/>
                            <w:sz w:val="18"/>
                            <w:szCs w:val="18"/>
                          </w:rPr>
                        </w:pPr>
                        <w:r>
                          <w:rPr>
                            <w:rFonts w:ascii="宋体" w:hAnsi="宋体" w:cs="宋体" w:eastAsia="宋体" w:hint="default"/>
                            <w:sz w:val="18"/>
                            <w:szCs w:val="18"/>
                          </w:rPr>
                          <w:t>公司因信息披露文件中有虚假记载、误导 性陈述或者重大遗漏，导致不符合授予权 益或行使权益安排的，激励对象应当自相 关信息披露文件被确认存在虚假记载、误 导性陈述或者重大遗漏后，将由股权激励 计划所获得的全部利益返还公司。</w:t>
                        </w:r>
                      </w:p>
                    </w:tc>
                    <w:tc>
                      <w:tcPr>
                        <w:tcW w:w="7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4"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20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6" w:right="35"/>
                          <w:jc w:val="left"/>
                          <w:rPr>
                            <w:rFonts w:ascii="宋体" w:hAnsi="宋体" w:cs="宋体" w:eastAsia="宋体" w:hint="default"/>
                            <w:sz w:val="18"/>
                            <w:szCs w:val="18"/>
                          </w:rPr>
                        </w:pPr>
                        <w:r>
                          <w:rPr>
                            <w:rFonts w:ascii="宋体" w:hAnsi="宋体" w:cs="宋体" w:eastAsia="宋体" w:hint="default"/>
                            <w:sz w:val="18"/>
                            <w:szCs w:val="18"/>
                          </w:rPr>
                          <w:t>该承诺正在履行中，截止 本报告期末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00" w:lineRule="auto"/>
                          <w:ind w:left="26"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日，承诺方严格遵守承</w:t>
                        </w:r>
                        <w:r>
                          <w:rPr>
                            <w:rFonts w:ascii="宋体" w:hAnsi="宋体" w:cs="宋体" w:eastAsia="宋体" w:hint="default"/>
                            <w:sz w:val="18"/>
                            <w:szCs w:val="18"/>
                          </w:rPr>
                          <w:t> 诺。</w:t>
                        </w:r>
                      </w:p>
                    </w:tc>
                  </w:tr>
                  <w:tr>
                    <w:trPr>
                      <w:trHeight w:val="703"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850" w:type="dxa"/>
                        <w:vMerge/>
                        <w:tcBorders>
                          <w:left w:val="single" w:sz="9" w:space="0" w:color="D2D2D2"/>
                          <w:right w:val="single" w:sz="4" w:space="0" w:color="000000"/>
                        </w:tcBorders>
                      </w:tcPr>
                      <w:p>
                        <w:pPr/>
                      </w:p>
                    </w:tc>
                    <w:tc>
                      <w:tcPr>
                        <w:tcW w:w="991" w:type="dxa"/>
                        <w:vMerge/>
                        <w:tcBorders>
                          <w:left w:val="single" w:sz="4" w:space="0" w:color="000000"/>
                          <w:right w:val="single" w:sz="4" w:space="0" w:color="000000"/>
                        </w:tcBorders>
                      </w:tcPr>
                      <w:p>
                        <w:pPr/>
                      </w:p>
                    </w:tc>
                    <w:tc>
                      <w:tcPr>
                        <w:tcW w:w="3380"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2055" w:type="dxa"/>
                        <w:vMerge/>
                        <w:tcBorders>
                          <w:left w:val="single" w:sz="4" w:space="0" w:color="000000"/>
                          <w:right w:val="single" w:sz="4" w:space="0" w:color="000000"/>
                        </w:tcBorders>
                      </w:tcPr>
                      <w:p>
                        <w:pPr/>
                      </w:p>
                    </w:tc>
                  </w:tr>
                  <w:tr>
                    <w:trPr>
                      <w:trHeight w:val="629" w:hRule="exact"/>
                    </w:trPr>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380" w:type="dxa"/>
                        <w:vMerge/>
                        <w:tcBorders>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2055" w:type="dxa"/>
                        <w:vMerge/>
                        <w:tcBorders>
                          <w:left w:val="single" w:sz="4" w:space="0" w:color="000000"/>
                          <w:bottom w:val="single" w:sz="4" w:space="0" w:color="000000"/>
                          <w:right w:val="single" w:sz="4" w:space="0" w:color="000000"/>
                        </w:tcBorders>
                      </w:tcPr>
                      <w:p>
                        <w:pP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24" w:right="58"/>
                          <w:jc w:val="left"/>
                          <w:rPr>
                            <w:rFonts w:ascii="宋体" w:hAnsi="宋体" w:cs="宋体" w:eastAsia="宋体" w:hint="default"/>
                            <w:sz w:val="18"/>
                            <w:szCs w:val="18"/>
                          </w:rPr>
                        </w:pPr>
                        <w:r>
                          <w:rPr>
                            <w:rFonts w:ascii="宋体" w:hAnsi="宋体" w:cs="宋体" w:eastAsia="宋体" w:hint="default"/>
                            <w:sz w:val="18"/>
                            <w:szCs w:val="18"/>
                          </w:rPr>
                          <w:t>其他对公司 中小股东所</w:t>
                        </w:r>
                      </w:p>
                    </w:tc>
                    <w:tc>
                      <w:tcPr>
                        <w:tcW w:w="850" w:type="dxa"/>
                        <w:tcBorders>
                          <w:top w:val="single" w:sz="4" w:space="0" w:color="000000"/>
                          <w:left w:val="single" w:sz="12" w:space="0" w:color="D2D2D2"/>
                          <w:bottom w:val="single" w:sz="4" w:space="0" w:color="000000"/>
                          <w:right w:val="single" w:sz="4" w:space="0" w:color="000000"/>
                        </w:tcBorders>
                      </w:tcPr>
                      <w:p>
                        <w:pPr>
                          <w:pStyle w:val="TableParagraph"/>
                          <w:spacing w:line="316" w:lineRule="auto" w:before="70"/>
                          <w:ind w:left="13" w:right="95"/>
                          <w:jc w:val="left"/>
                          <w:rPr>
                            <w:rFonts w:ascii="宋体" w:hAnsi="宋体" w:cs="宋体" w:eastAsia="宋体" w:hint="default"/>
                            <w:sz w:val="18"/>
                            <w:szCs w:val="18"/>
                          </w:rPr>
                        </w:pPr>
                        <w:r>
                          <w:rPr>
                            <w:rFonts w:ascii="宋体" w:hAnsi="宋体" w:cs="宋体" w:eastAsia="宋体" w:hint="default"/>
                            <w:sz w:val="18"/>
                            <w:szCs w:val="18"/>
                          </w:rPr>
                          <w:t>本公司主 要股东以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55"/>
                          <w:jc w:val="left"/>
                          <w:rPr>
                            <w:rFonts w:ascii="宋体" w:hAnsi="宋体" w:cs="宋体" w:eastAsia="宋体" w:hint="default"/>
                            <w:sz w:val="18"/>
                            <w:szCs w:val="18"/>
                          </w:rPr>
                        </w:pPr>
                        <w:r>
                          <w:rPr>
                            <w:rFonts w:ascii="宋体" w:hAnsi="宋体" w:cs="宋体" w:eastAsia="宋体" w:hint="default"/>
                            <w:sz w:val="18"/>
                            <w:szCs w:val="18"/>
                          </w:rPr>
                          <w:t>关于同业竞 争、关联交</w:t>
                        </w:r>
                      </w:p>
                    </w:tc>
                    <w:tc>
                      <w:tcPr>
                        <w:tcW w:w="3380"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70"/>
                          <w:ind w:left="23" w:right="-46"/>
                          <w:jc w:val="left"/>
                          <w:rPr>
                            <w:rFonts w:ascii="宋体" w:hAnsi="宋体" w:cs="宋体" w:eastAsia="宋体" w:hint="default"/>
                            <w:sz w:val="18"/>
                            <w:szCs w:val="18"/>
                          </w:rPr>
                        </w:pPr>
                        <w:r>
                          <w:rPr>
                            <w:rFonts w:ascii="宋体" w:hAnsi="宋体" w:cs="宋体" w:eastAsia="宋体" w:hint="default"/>
                            <w:sz w:val="18"/>
                            <w:szCs w:val="18"/>
                          </w:rPr>
                          <w:t>承诺将不会直接或间接从事与本公司相 </w:t>
                        </w:r>
                        <w:r>
                          <w:rPr>
                            <w:rFonts w:ascii="宋体" w:hAnsi="宋体" w:cs="宋体" w:eastAsia="宋体" w:hint="default"/>
                            <w:spacing w:val="-3"/>
                            <w:sz w:val="18"/>
                            <w:szCs w:val="18"/>
                          </w:rPr>
                          <w:t>同、相似的业务，也不在与本公司有相同、</w:t>
                        </w:r>
                        <w:r>
                          <w:rPr>
                            <w:rFonts w:ascii="宋体" w:hAnsi="宋体" w:cs="宋体" w:eastAsia="宋体" w:hint="default"/>
                            <w:sz w:val="18"/>
                            <w:szCs w:val="18"/>
                          </w:rPr>
                        </w:r>
                      </w:p>
                    </w:tc>
                    <w:tc>
                      <w:tcPr>
                        <w:tcW w:w="73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6" w:right="122"/>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承诺方严格遵守承诺。</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44"/>
        <w:ind w:left="152" w:right="115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152" w:right="115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44"/>
        <w:ind w:left="152" w:right="115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44"/>
        <w:ind w:left="152" w:right="115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44"/>
        <w:ind w:left="152" w:right="115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9"/>
        <w:rPr>
          <w:rFonts w:ascii="宋体" w:hAnsi="宋体" w:cs="宋体" w:eastAsia="宋体" w:hint="default"/>
          <w:sz w:val="6"/>
          <w:szCs w:val="6"/>
        </w:rPr>
      </w:pPr>
    </w:p>
    <w:p>
      <w:pPr>
        <w:spacing w:line="312" w:lineRule="exact"/>
        <w:ind w:left="6396"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33.85pt;height:15.6pt;mso-position-horizontal-relative:char;mso-position-vertical-relative:line" coordorigin="0,0" coordsize="677,312">
            <v:group style="position:absolute;left:0;top:0;width:677;height:312" coordorigin="0,0" coordsize="677,312">
              <v:shape style="position:absolute;left:0;top:0;width:677;height:312" coordorigin="0,0" coordsize="677,312" path="m0,312l677,312,677,0,0,0,0,312xe" filled="true" fillcolor="#ffffff" stroked="false">
                <v:path arrowok="t"/>
                <v:fill type="solid"/>
              </v:shape>
            </v:group>
          </v:group>
        </w:pict>
      </w:r>
      <w:r>
        <w:rPr>
          <w:rFonts w:ascii="宋体" w:hAnsi="宋体" w:cs="宋体" w:eastAsia="宋体" w:hint="default"/>
          <w:position w:val="-5"/>
          <w:sz w:val="20"/>
          <w:szCs w:val="20"/>
        </w:rPr>
      </w:r>
    </w:p>
    <w:p>
      <w:pPr>
        <w:spacing w:after="0" w:line="312" w:lineRule="exact"/>
        <w:rPr>
          <w:rFonts w:ascii="宋体" w:hAnsi="宋体" w:cs="宋体" w:eastAsia="宋体" w:hint="default"/>
          <w:sz w:val="20"/>
          <w:szCs w:val="20"/>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r>
        <w:rPr/>
        <w:pict>
          <v:group style="position:absolute;margin-left:150.259995pt;margin-top:103.699982pt;width:46.8pt;height:17.650pt;mso-position-horizontal-relative:page;mso-position-vertical-relative:page;z-index:-1384024" coordorigin="3005,2074" coordsize="936,353">
            <v:shape style="position:absolute;left:3005;top:2074;width:936;height:353" coordorigin="3005,2074" coordsize="936,353" path="m3005,2427l3941,2427,3941,2074,3005,2074,3005,2427xe" filled="true" fillcolor="#ffffff" stroked="false">
              <v:path arrowok="t"/>
              <v:fill type="solid"/>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982"/>
        <w:gridCol w:w="862"/>
        <w:gridCol w:w="979"/>
        <w:gridCol w:w="3380"/>
        <w:gridCol w:w="732"/>
        <w:gridCol w:w="566"/>
        <w:gridCol w:w="2055"/>
      </w:tblGrid>
      <w:tr>
        <w:trPr>
          <w:trHeight w:val="358" w:hRule="exact"/>
        </w:trPr>
        <w:tc>
          <w:tcPr>
            <w:tcW w:w="98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862" w:type="dxa"/>
            <w:vMerge w:val="restart"/>
            <w:tcBorders>
              <w:top w:val="single" w:sz="4" w:space="0" w:color="000000"/>
              <w:left w:val="single" w:sz="9" w:space="0" w:color="D2D2D2"/>
              <w:right w:val="single" w:sz="10" w:space="0" w:color="FFFFFF"/>
            </w:tcBorders>
          </w:tcPr>
          <w:p>
            <w:pPr>
              <w:pStyle w:val="TableParagraph"/>
              <w:spacing w:line="319" w:lineRule="auto" w:before="8"/>
              <w:ind w:left="18" w:right="-29"/>
              <w:jc w:val="left"/>
              <w:rPr>
                <w:rFonts w:ascii="宋体" w:hAnsi="宋体" w:cs="宋体" w:eastAsia="宋体" w:hint="default"/>
                <w:sz w:val="18"/>
                <w:szCs w:val="18"/>
              </w:rPr>
            </w:pPr>
            <w:r>
              <w:rPr>
                <w:rFonts w:ascii="宋体" w:hAnsi="宋体" w:cs="宋体" w:eastAsia="宋体" w:hint="default"/>
                <w:sz w:val="18"/>
                <w:szCs w:val="18"/>
              </w:rPr>
              <w:t>及作为股 东的董 </w:t>
            </w:r>
            <w:r>
              <w:rPr>
                <w:rFonts w:ascii="宋体" w:hAnsi="宋体" w:cs="宋体" w:eastAsia="宋体" w:hint="default"/>
                <w:spacing w:val="-11"/>
                <w:sz w:val="18"/>
                <w:szCs w:val="18"/>
              </w:rPr>
              <w:t>事、监事、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高级管理</w:t>
            </w:r>
            <w:r>
              <w:rPr>
                <w:rFonts w:ascii="宋体" w:hAnsi="宋体" w:cs="宋体" w:eastAsia="宋体" w:hint="default"/>
                <w:sz w:val="18"/>
                <w:szCs w:val="18"/>
              </w:rPr>
              <w:t> 人员</w:t>
            </w:r>
          </w:p>
        </w:tc>
        <w:tc>
          <w:tcPr>
            <w:tcW w:w="979" w:type="dxa"/>
            <w:vMerge w:val="restart"/>
            <w:tcBorders>
              <w:top w:val="single" w:sz="4" w:space="0" w:color="000000"/>
              <w:left w:val="single" w:sz="10" w:space="0" w:color="FFFFFF"/>
              <w:right w:val="single" w:sz="4" w:space="0" w:color="000000"/>
            </w:tcBorders>
          </w:tcPr>
          <w:p>
            <w:pPr>
              <w:pStyle w:val="TableParagraph"/>
              <w:spacing w:line="319" w:lineRule="auto" w:before="8"/>
              <w:ind w:left="4" w:right="55"/>
              <w:jc w:val="both"/>
              <w:rPr>
                <w:rFonts w:ascii="宋体" w:hAnsi="宋体" w:cs="宋体" w:eastAsia="宋体" w:hint="default"/>
                <w:sz w:val="18"/>
                <w:szCs w:val="18"/>
              </w:rPr>
            </w:pPr>
            <w:r>
              <w:rPr>
                <w:rFonts w:ascii="宋体" w:hAnsi="宋体" w:cs="宋体" w:eastAsia="宋体" w:hint="default"/>
                <w:sz w:val="18"/>
                <w:szCs w:val="18"/>
              </w:rPr>
              <w:t>易、资金占 用方面的承 诺</w:t>
            </w:r>
          </w:p>
        </w:tc>
        <w:tc>
          <w:tcPr>
            <w:tcW w:w="3380" w:type="dxa"/>
            <w:vMerge w:val="restart"/>
            <w:tcBorders>
              <w:top w:val="single" w:sz="4" w:space="0" w:color="000000"/>
              <w:left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相似业务的其他企业任职。</w:t>
            </w:r>
          </w:p>
        </w:tc>
        <w:tc>
          <w:tcPr>
            <w:tcW w:w="732" w:type="dxa"/>
            <w:vMerge w:val="restart"/>
            <w:tcBorders>
              <w:top w:val="single" w:sz="4" w:space="0" w:color="000000"/>
              <w:left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vMerge w:val="restart"/>
            <w:tcBorders>
              <w:top w:val="single" w:sz="4" w:space="0" w:color="000000"/>
              <w:left w:val="single" w:sz="4" w:space="0" w:color="000000"/>
              <w:right w:val="single" w:sz="4" w:space="0" w:color="000000"/>
            </w:tcBorders>
          </w:tcPr>
          <w:p>
            <w:pPr/>
          </w:p>
        </w:tc>
        <w:tc>
          <w:tcPr>
            <w:tcW w:w="2055" w:type="dxa"/>
            <w:vMerge w:val="restart"/>
            <w:tcBorders>
              <w:top w:val="single" w:sz="4" w:space="0" w:color="000000"/>
              <w:left w:val="single" w:sz="4" w:space="0" w:color="000000"/>
              <w:right w:val="single" w:sz="4" w:space="0" w:color="000000"/>
            </w:tcBorders>
          </w:tcPr>
          <w:p>
            <w:pPr/>
          </w:p>
        </w:tc>
      </w:tr>
      <w:tr>
        <w:trPr>
          <w:trHeight w:val="1253" w:hRule="exact"/>
        </w:trPr>
        <w:tc>
          <w:tcPr>
            <w:tcW w:w="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9" w:space="0" w:color="D2D2D2"/>
              <w:bottom w:val="single" w:sz="4" w:space="0" w:color="000000"/>
              <w:right w:val="single" w:sz="10" w:space="0" w:color="FFFFFF"/>
            </w:tcBorders>
          </w:tcPr>
          <w:p>
            <w:pPr/>
          </w:p>
        </w:tc>
        <w:tc>
          <w:tcPr>
            <w:tcW w:w="979" w:type="dxa"/>
            <w:vMerge/>
            <w:tcBorders>
              <w:left w:val="single" w:sz="10" w:space="0" w:color="FFFFFF"/>
              <w:bottom w:val="single" w:sz="4" w:space="0" w:color="000000"/>
              <w:right w:val="single" w:sz="4" w:space="0" w:color="000000"/>
            </w:tcBorders>
          </w:tcPr>
          <w:p>
            <w:pPr/>
          </w:p>
        </w:tc>
        <w:tc>
          <w:tcPr>
            <w:tcW w:w="3380" w:type="dxa"/>
            <w:vMerge/>
            <w:tcBorders>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2055" w:type="dxa"/>
            <w:vMerge/>
            <w:tcBorders>
              <w:left w:val="single" w:sz="4" w:space="0" w:color="000000"/>
              <w:bottom w:val="single" w:sz="4" w:space="0" w:color="000000"/>
              <w:right w:val="single" w:sz="4" w:space="0" w:color="000000"/>
            </w:tcBorders>
          </w:tcPr>
          <w:p>
            <w:pPr/>
          </w:p>
        </w:tc>
      </w:tr>
      <w:tr>
        <w:trPr>
          <w:trHeight w:val="401" w:hRule="exact"/>
        </w:trPr>
        <w:tc>
          <w:tcPr>
            <w:tcW w:w="282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4"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282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9"/>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4"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7"/>
        <w:spacing w:line="259" w:lineRule="auto" w:before="36"/>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3"/>
        <w:spacing w:line="240" w:lineRule="auto"/>
        <w:ind w:right="0"/>
        <w:jc w:val="both"/>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both"/>
        <w:rPr>
          <w:b w:val="0"/>
          <w:bCs w:val="0"/>
        </w:rPr>
      </w:pP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6"/>
        <w:spacing w:line="550" w:lineRule="exact" w:before="92"/>
        <w:ind w:left="592" w:right="0" w:hanging="440"/>
        <w:jc w:val="left"/>
      </w:pPr>
      <w:r>
        <w:rPr>
          <w:rFonts w:ascii="宋体" w:hAnsi="宋体" w:cs="宋体" w:eastAsia="宋体" w:hint="default"/>
        </w:rPr>
        <w:t>1.</w:t>
      </w:r>
      <w:r>
        <w:rPr>
          <w:rFonts w:ascii="宋体" w:hAnsi="宋体" w:cs="宋体" w:eastAsia="宋体" w:hint="default"/>
          <w:spacing w:val="29"/>
        </w:rPr>
        <w:t> </w:t>
      </w:r>
      <w:r>
        <w:rPr/>
        <w:t>重要会计政策变更</w:t>
      </w:r>
      <w:r>
        <w:rPr>
          <w:w w:val="100"/>
        </w:rPr>
        <w:t> </w:t>
      </w:r>
      <w:r>
        <w:rPr>
          <w:spacing w:val="-4"/>
        </w:rPr>
        <w:t>根据财政部颁发的《关于修订印发</w:t>
      </w:r>
      <w:r>
        <w:rPr>
          <w:rFonts w:ascii="Times New Roman" w:hAnsi="Times New Roman" w:cs="Times New Roman" w:eastAsia="Times New Roman" w:hint="default"/>
          <w:spacing w:val="-4"/>
        </w:rPr>
        <w:t>2018</w:t>
      </w:r>
      <w:r>
        <w:rPr>
          <w:spacing w:val="-4"/>
        </w:rPr>
        <w:t>年度一般企业财务报表格式的通知》（财会〔</w:t>
      </w:r>
      <w:r>
        <w:rPr>
          <w:rFonts w:ascii="Times New Roman" w:hAnsi="Times New Roman" w:cs="Times New Roman" w:eastAsia="Times New Roman" w:hint="default"/>
          <w:spacing w:val="-4"/>
        </w:rPr>
        <w:t>2018</w:t>
      </w:r>
      <w:r>
        <w:rPr>
          <w:spacing w:val="-4"/>
        </w:rPr>
        <w:t>〕</w:t>
      </w:r>
      <w:r>
        <w:rPr>
          <w:rFonts w:ascii="Times New Roman" w:hAnsi="Times New Roman" w:cs="Times New Roman" w:eastAsia="Times New Roman" w:hint="default"/>
          <w:spacing w:val="-4"/>
        </w:rPr>
        <w:t>15</w:t>
      </w:r>
      <w:r>
        <w:rPr>
          <w:spacing w:val="-4"/>
        </w:rPr>
        <w:t>号）</w:t>
      </w:r>
    </w:p>
    <w:p>
      <w:pPr>
        <w:pStyle w:val="Heading6"/>
        <w:spacing w:line="250" w:lineRule="exact"/>
        <w:ind w:right="0" w:firstLine="0"/>
        <w:jc w:val="both"/>
      </w:pPr>
      <w:r>
        <w:rPr/>
        <w:t>的有关规定，对于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日及之后的财务报表按照新报表格式编制，并对可比期间的比较数据</w:t>
      </w:r>
    </w:p>
    <w:p>
      <w:pPr>
        <w:pStyle w:val="Heading6"/>
        <w:spacing w:line="244" w:lineRule="auto" w:before="7"/>
        <w:ind w:right="1088" w:firstLine="0"/>
        <w:jc w:val="both"/>
      </w:pPr>
      <w:r>
        <w:rPr>
          <w:spacing w:val="-2"/>
        </w:rPr>
        <w:t>按照新报表格式要求进行调整。本集团因未提前执行新金融准则和新收入准则，因此在编制</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7"/>
        </w:rPr>
        <w:t> </w:t>
      </w:r>
      <w:r>
        <w:rPr>
          <w:spacing w:val="-1"/>
        </w:rPr>
        <w:t>月</w:t>
      </w:r>
      <w:r>
        <w:rPr>
          <w:rFonts w:ascii="Times New Roman" w:hAnsi="Times New Roman" w:cs="Times New Roman" w:eastAsia="Times New Roman" w:hint="default"/>
          <w:spacing w:val="-1"/>
        </w:rPr>
        <w:t>31</w:t>
      </w:r>
      <w:r>
        <w:rPr>
          <w:spacing w:val="-1"/>
        </w:rPr>
        <w:t>日报表时，按照《一般企业财务报表格式（适用于尚未执行新金融准则和新收入准则的企业）》</w:t>
      </w:r>
      <w:r>
        <w:rPr>
          <w:spacing w:val="-71"/>
        </w:rPr>
        <w:t> </w:t>
      </w:r>
      <w:r>
        <w:rPr>
          <w:spacing w:val="-71"/>
        </w:rPr>
      </w:r>
      <w:r>
        <w:rPr/>
        <w:t>格式进行列报，主要变化内容如下：</w:t>
      </w:r>
    </w:p>
    <w:p>
      <w:pPr>
        <w:spacing w:line="240" w:lineRule="auto" w:before="4"/>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704"/>
        <w:gridCol w:w="1981"/>
        <w:gridCol w:w="1985"/>
        <w:gridCol w:w="3980"/>
      </w:tblGrid>
      <w:tr>
        <w:trPr>
          <w:trHeight w:val="350" w:hRule="exact"/>
        </w:trPr>
        <w:tc>
          <w:tcPr>
            <w:tcW w:w="170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8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532" w:right="0"/>
              <w:jc w:val="left"/>
              <w:rPr>
                <w:rFonts w:ascii="宋体" w:hAnsi="宋体" w:cs="宋体" w:eastAsia="宋体" w:hint="default"/>
                <w:sz w:val="18"/>
                <w:szCs w:val="18"/>
              </w:rPr>
            </w:pPr>
            <w:r>
              <w:rPr>
                <w:rFonts w:ascii="宋体" w:hAnsi="宋体" w:cs="宋体" w:eastAsia="宋体" w:hint="default"/>
                <w:b/>
                <w:bCs/>
                <w:sz w:val="18"/>
                <w:szCs w:val="18"/>
              </w:rPr>
              <w:t>新报表名称</w:t>
            </w:r>
            <w:r>
              <w:rPr>
                <w:rFonts w:ascii="宋体" w:hAnsi="宋体" w:cs="宋体" w:eastAsia="宋体" w:hint="default"/>
                <w:sz w:val="18"/>
                <w:szCs w:val="18"/>
              </w:rPr>
            </w:r>
          </w:p>
        </w:tc>
        <w:tc>
          <w:tcPr>
            <w:tcW w:w="198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535" w:right="0"/>
              <w:jc w:val="left"/>
              <w:rPr>
                <w:rFonts w:ascii="宋体" w:hAnsi="宋体" w:cs="宋体" w:eastAsia="宋体" w:hint="default"/>
                <w:sz w:val="18"/>
                <w:szCs w:val="18"/>
              </w:rPr>
            </w:pPr>
            <w:r>
              <w:rPr>
                <w:rFonts w:ascii="宋体" w:hAnsi="宋体" w:cs="宋体" w:eastAsia="宋体" w:hint="default"/>
                <w:b/>
                <w:bCs/>
                <w:sz w:val="18"/>
                <w:szCs w:val="18"/>
              </w:rPr>
              <w:t>旧报表名称</w:t>
            </w:r>
            <w:r>
              <w:rPr>
                <w:rFonts w:ascii="宋体" w:hAnsi="宋体" w:cs="宋体" w:eastAsia="宋体" w:hint="default"/>
                <w:sz w:val="18"/>
                <w:szCs w:val="18"/>
              </w:rPr>
            </w:r>
          </w:p>
        </w:tc>
        <w:tc>
          <w:tcPr>
            <w:tcW w:w="398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变化情况</w:t>
            </w:r>
            <w:r>
              <w:rPr>
                <w:rFonts w:ascii="宋体" w:hAnsi="宋体" w:cs="宋体" w:eastAsia="宋体" w:hint="default"/>
                <w:sz w:val="18"/>
                <w:szCs w:val="18"/>
              </w:rPr>
            </w:r>
          </w:p>
        </w:tc>
      </w:tr>
      <w:tr>
        <w:trPr>
          <w:trHeight w:val="661" w:hRule="exact"/>
        </w:trPr>
        <w:tc>
          <w:tcPr>
            <w:tcW w:w="1704" w:type="dxa"/>
            <w:vMerge w:val="restart"/>
            <w:tcBorders>
              <w:top w:val="single" w:sz="8"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7"/>
                <w:sz w:val="18"/>
                <w:szCs w:val="18"/>
              </w:rPr>
              <w:t> </w:t>
            </w:r>
            <w:r>
              <w:rPr>
                <w:rFonts w:ascii="宋体" w:hAnsi="宋体" w:cs="宋体" w:eastAsia="宋体" w:hint="default"/>
                <w:b/>
                <w:bCs/>
                <w:sz w:val="18"/>
                <w:szCs w:val="18"/>
              </w:rPr>
              <w:t>资产负债表</w:t>
            </w:r>
            <w:r>
              <w:rPr>
                <w:rFonts w:ascii="宋体" w:hAnsi="宋体" w:cs="宋体" w:eastAsia="宋体" w:hint="default"/>
                <w:sz w:val="18"/>
                <w:szCs w:val="18"/>
              </w:rPr>
            </w:r>
          </w:p>
        </w:tc>
        <w:tc>
          <w:tcPr>
            <w:tcW w:w="198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p>
        </w:tc>
        <w:tc>
          <w:tcPr>
            <w:tcW w:w="3980" w:type="dxa"/>
            <w:tcBorders>
              <w:top w:val="single" w:sz="8" w:space="0" w:color="000000"/>
              <w:left w:val="single" w:sz="6" w:space="0" w:color="000000"/>
              <w:bottom w:val="single" w:sz="8" w:space="0" w:color="000000"/>
              <w:right w:val="single" w:sz="6" w:space="0" w:color="000000"/>
            </w:tcBorders>
          </w:tcPr>
          <w:p>
            <w:pPr>
              <w:pStyle w:val="TableParagraph"/>
              <w:spacing w:line="30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项目合并为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应收票据及应</w:t>
            </w:r>
            <w:r>
              <w:rPr>
                <w:rFonts w:ascii="宋体" w:hAnsi="宋体" w:cs="宋体" w:eastAsia="宋体" w:hint="default"/>
                <w:spacing w:val="-84"/>
                <w:sz w:val="18"/>
                <w:szCs w:val="18"/>
              </w:rPr>
              <w:t> </w:t>
            </w:r>
            <w:r>
              <w:rPr>
                <w:rFonts w:ascii="宋体" w:hAnsi="宋体" w:cs="宋体" w:eastAsia="宋体" w:hint="default"/>
                <w:sz w:val="18"/>
                <w:szCs w:val="18"/>
              </w:rPr>
              <w:t>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r>
      <w:tr>
        <w:trPr>
          <w:trHeight w:val="970" w:hRule="exact"/>
        </w:trPr>
        <w:tc>
          <w:tcPr>
            <w:tcW w:w="1704" w:type="dxa"/>
            <w:vMerge/>
            <w:tcBorders>
              <w:left w:val="single" w:sz="6" w:space="0" w:color="000000"/>
              <w:right w:val="single" w:sz="6" w:space="0" w:color="000000"/>
            </w:tcBorders>
          </w:tcPr>
          <w:p>
            <w:pPr/>
          </w:p>
        </w:tc>
        <w:tc>
          <w:tcPr>
            <w:tcW w:w="198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应收股利</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p>
        </w:tc>
        <w:tc>
          <w:tcPr>
            <w:tcW w:w="39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w:t>
            </w:r>
            <w:r>
              <w:rPr>
                <w:rFonts w:ascii="宋体" w:hAnsi="宋体" w:cs="宋体" w:eastAsia="宋体" w:hint="default"/>
                <w:sz w:val="18"/>
                <w:szCs w:val="18"/>
              </w:rPr>
              <w:t>科目归并至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科目</w:t>
            </w:r>
          </w:p>
        </w:tc>
      </w:tr>
      <w:tr>
        <w:trPr>
          <w:trHeight w:val="660" w:hRule="exact"/>
        </w:trPr>
        <w:tc>
          <w:tcPr>
            <w:tcW w:w="1704" w:type="dxa"/>
            <w:vMerge/>
            <w:tcBorders>
              <w:left w:val="single" w:sz="6" w:space="0" w:color="000000"/>
              <w:bottom w:val="single" w:sz="8" w:space="0" w:color="000000"/>
              <w:right w:val="single" w:sz="6" w:space="0" w:color="000000"/>
            </w:tcBorders>
          </w:tcPr>
          <w:p>
            <w:pPr/>
          </w:p>
        </w:tc>
        <w:tc>
          <w:tcPr>
            <w:tcW w:w="198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p>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p>
        </w:tc>
        <w:tc>
          <w:tcPr>
            <w:tcW w:w="39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1704"/>
        <w:gridCol w:w="1981"/>
        <w:gridCol w:w="1985"/>
        <w:gridCol w:w="3980"/>
      </w:tblGrid>
      <w:tr>
        <w:trPr>
          <w:trHeight w:val="663" w:hRule="exact"/>
        </w:trPr>
        <w:tc>
          <w:tcPr>
            <w:tcW w:w="1704" w:type="dxa"/>
            <w:vMerge w:val="restart"/>
            <w:tcBorders>
              <w:top w:val="single" w:sz="6" w:space="0" w:color="000000"/>
              <w:left w:val="single" w:sz="6" w:space="0" w:color="000000"/>
              <w:right w:val="single" w:sz="6" w:space="0" w:color="000000"/>
            </w:tcBorders>
          </w:tcPr>
          <w:p>
            <w:pPr/>
          </w:p>
        </w:tc>
        <w:tc>
          <w:tcPr>
            <w:tcW w:w="198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8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工程物资</w:t>
            </w:r>
          </w:p>
        </w:tc>
        <w:tc>
          <w:tcPr>
            <w:tcW w:w="398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工程物资</w:t>
            </w:r>
            <w:r>
              <w:rPr>
                <w:rFonts w:ascii="Times New Roman" w:hAnsi="Times New Roman" w:cs="Times New Roman" w:eastAsia="Times New Roman" w:hint="default"/>
                <w:sz w:val="18"/>
                <w:szCs w:val="18"/>
              </w:rPr>
              <w:t>”</w:t>
            </w:r>
            <w:r>
              <w:rPr>
                <w:rFonts w:ascii="宋体" w:hAnsi="宋体" w:cs="宋体" w:eastAsia="宋体" w:hint="default"/>
                <w:sz w:val="18"/>
                <w:szCs w:val="18"/>
              </w:rPr>
              <w:t>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r>
      <w:tr>
        <w:trPr>
          <w:trHeight w:val="658" w:hRule="exact"/>
        </w:trPr>
        <w:tc>
          <w:tcPr>
            <w:tcW w:w="1704" w:type="dxa"/>
            <w:vMerge/>
            <w:tcBorders>
              <w:left w:val="single" w:sz="6" w:space="0" w:color="000000"/>
              <w:right w:val="single" w:sz="6" w:space="0" w:color="000000"/>
            </w:tcBorders>
          </w:tcPr>
          <w:p>
            <w:pPr/>
          </w:p>
        </w:tc>
        <w:tc>
          <w:tcPr>
            <w:tcW w:w="198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p>
        </w:tc>
        <w:tc>
          <w:tcPr>
            <w:tcW w:w="3980" w:type="dxa"/>
            <w:tcBorders>
              <w:top w:val="single" w:sz="8" w:space="0" w:color="000000"/>
              <w:left w:val="single" w:sz="6" w:space="0" w:color="000000"/>
              <w:bottom w:val="single" w:sz="8" w:space="0" w:color="000000"/>
              <w:right w:val="single" w:sz="6" w:space="0" w:color="000000"/>
            </w:tcBorders>
          </w:tcPr>
          <w:p>
            <w:pPr>
              <w:pStyle w:val="TableParagraph"/>
              <w:spacing w:line="300" w:lineRule="auto" w:before="13"/>
              <w:ind w:left="4"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项目合并为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 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r>
      <w:tr>
        <w:trPr>
          <w:trHeight w:val="972" w:hRule="exact"/>
        </w:trPr>
        <w:tc>
          <w:tcPr>
            <w:tcW w:w="1704" w:type="dxa"/>
            <w:vMerge/>
            <w:tcBorders>
              <w:left w:val="single" w:sz="6" w:space="0" w:color="000000"/>
              <w:right w:val="single" w:sz="6" w:space="0" w:color="000000"/>
            </w:tcBorders>
          </w:tcPr>
          <w:p>
            <w:pPr/>
          </w:p>
        </w:tc>
        <w:tc>
          <w:tcPr>
            <w:tcW w:w="198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应付利息</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p>
        </w:tc>
        <w:tc>
          <w:tcPr>
            <w:tcW w:w="39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项目</w:t>
            </w:r>
          </w:p>
        </w:tc>
      </w:tr>
      <w:tr>
        <w:trPr>
          <w:trHeight w:val="658" w:hRule="exact"/>
        </w:trPr>
        <w:tc>
          <w:tcPr>
            <w:tcW w:w="1704" w:type="dxa"/>
            <w:vMerge/>
            <w:tcBorders>
              <w:left w:val="single" w:sz="6" w:space="0" w:color="000000"/>
              <w:bottom w:val="single" w:sz="8" w:space="0" w:color="000000"/>
              <w:right w:val="single" w:sz="6" w:space="0" w:color="000000"/>
            </w:tcBorders>
          </w:tcPr>
          <w:p>
            <w:pPr/>
          </w:p>
        </w:tc>
        <w:tc>
          <w:tcPr>
            <w:tcW w:w="198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专项应付款</w:t>
            </w:r>
          </w:p>
        </w:tc>
        <w:tc>
          <w:tcPr>
            <w:tcW w:w="39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专项应付款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r>
      <w:tr>
        <w:trPr>
          <w:trHeight w:val="348" w:hRule="exact"/>
        </w:trPr>
        <w:tc>
          <w:tcPr>
            <w:tcW w:w="17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利润表</w:t>
            </w:r>
            <w:r>
              <w:rPr>
                <w:rFonts w:ascii="宋体" w:hAnsi="宋体" w:cs="宋体" w:eastAsia="宋体" w:hint="default"/>
                <w:sz w:val="18"/>
                <w:szCs w:val="18"/>
              </w:rPr>
            </w:r>
          </w:p>
        </w:tc>
        <w:tc>
          <w:tcPr>
            <w:tcW w:w="198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9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从</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项目中分拆</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r>
    </w:tbl>
    <w:p>
      <w:pPr>
        <w:spacing w:line="240" w:lineRule="auto" w:before="2"/>
        <w:rPr>
          <w:rFonts w:ascii="宋体" w:hAnsi="宋体" w:cs="宋体" w:eastAsia="宋体" w:hint="default"/>
          <w:sz w:val="14"/>
          <w:szCs w:val="14"/>
        </w:rPr>
      </w:pPr>
    </w:p>
    <w:p>
      <w:pPr>
        <w:pStyle w:val="Heading6"/>
        <w:spacing w:line="240" w:lineRule="auto" w:before="32"/>
        <w:ind w:left="592" w:right="1133" w:firstLine="0"/>
        <w:jc w:val="left"/>
      </w:pPr>
      <w:r>
        <w:rPr>
          <w:rFonts w:ascii="Times New Roman" w:hAnsi="Times New Roman" w:cs="Times New Roman" w:eastAsia="Times New Roman" w:hint="default"/>
        </w:rPr>
        <w:t>1</w:t>
      </w:r>
      <w:r>
        <w:rPr/>
        <w:t>）本集团据此对比较报表数据进行追溯调整，具体调整明细列示如下：</w:t>
      </w:r>
    </w:p>
    <w:p>
      <w:pPr>
        <w:spacing w:line="240" w:lineRule="auto" w:before="5"/>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2552"/>
        <w:gridCol w:w="2413"/>
        <w:gridCol w:w="2408"/>
        <w:gridCol w:w="2129"/>
      </w:tblGrid>
      <w:tr>
        <w:trPr>
          <w:trHeight w:val="34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49" w:right="0"/>
              <w:jc w:val="left"/>
              <w:rPr>
                <w:rFonts w:ascii="宋体" w:hAnsi="宋体" w:cs="宋体" w:eastAsia="宋体" w:hint="default"/>
                <w:sz w:val="18"/>
                <w:szCs w:val="18"/>
              </w:rPr>
            </w:pPr>
            <w:r>
              <w:rPr>
                <w:rFonts w:ascii="宋体" w:hAnsi="宋体" w:cs="宋体" w:eastAsia="宋体" w:hint="default"/>
                <w:b/>
                <w:bCs/>
                <w:sz w:val="18"/>
                <w:szCs w:val="18"/>
              </w:rPr>
              <w:t>调整前金额</w:t>
            </w:r>
            <w:r>
              <w:rPr>
                <w:rFonts w:ascii="宋体" w:hAnsi="宋体" w:cs="宋体" w:eastAsia="宋体" w:hint="default"/>
                <w:sz w:val="18"/>
                <w:szCs w:val="18"/>
              </w:rPr>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调整金额</w:t>
            </w:r>
            <w:r>
              <w:rPr>
                <w:rFonts w:ascii="宋体" w:hAnsi="宋体" w:cs="宋体" w:eastAsia="宋体" w:hint="default"/>
                <w:sz w:val="18"/>
                <w:szCs w:val="18"/>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07" w:right="0"/>
              <w:jc w:val="left"/>
              <w:rPr>
                <w:rFonts w:ascii="宋体" w:hAnsi="宋体" w:cs="宋体" w:eastAsia="宋体" w:hint="default"/>
                <w:sz w:val="18"/>
                <w:szCs w:val="18"/>
              </w:rPr>
            </w:pPr>
            <w:r>
              <w:rPr>
                <w:rFonts w:ascii="宋体" w:hAnsi="宋体" w:cs="宋体" w:eastAsia="宋体" w:hint="default"/>
                <w:b/>
                <w:bCs/>
                <w:sz w:val="18"/>
                <w:szCs w:val="18"/>
              </w:rPr>
              <w:t>调整后金额</w:t>
            </w:r>
            <w:r>
              <w:rPr>
                <w:rFonts w:ascii="宋体" w:hAnsi="宋体" w:cs="宋体" w:eastAsia="宋体" w:hint="default"/>
                <w:sz w:val="18"/>
                <w:szCs w:val="18"/>
              </w:rPr>
            </w:r>
          </w:p>
        </w:tc>
      </w:tr>
      <w:tr>
        <w:trPr>
          <w:trHeight w:val="346"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701,358.65</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-701,358.65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441,234,382.22</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r>
              <w:rPr>
                <w:rFonts w:ascii="Times New Roman"/>
                <w:spacing w:val="-4"/>
                <w:sz w:val="18"/>
              </w:rPr>
              <w:t> </w:t>
            </w:r>
            <w:r>
              <w:rPr>
                <w:rFonts w:ascii="Times New Roman"/>
                <w:sz w:val="18"/>
              </w:rPr>
              <w:t>441,234,382.22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color w:val="333333"/>
                <w:sz w:val="18"/>
                <w:szCs w:val="18"/>
              </w:rPr>
              <w:t>应收票据及应收账款</w:t>
            </w:r>
            <w:r>
              <w:rPr>
                <w:rFonts w:ascii="宋体" w:hAnsi="宋体" w:cs="宋体" w:eastAsia="宋体" w:hint="default"/>
                <w:sz w:val="18"/>
                <w:szCs w:val="18"/>
              </w:rPr>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441,935,740.87</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441,935,740.87</w:t>
            </w:r>
          </w:p>
        </w:tc>
      </w:tr>
      <w:tr>
        <w:trPr>
          <w:trHeight w:val="346"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191,892.43</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-191,892.43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6"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59,746,332.89</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191,892.43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59,938,225.32</w:t>
            </w: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333333"/>
                <w:sz w:val="18"/>
                <w:szCs w:val="18"/>
              </w:rPr>
              <w:t>应付票据</w:t>
            </w:r>
            <w:r>
              <w:rPr>
                <w:rFonts w:ascii="宋体" w:hAnsi="宋体" w:cs="宋体" w:eastAsia="宋体" w:hint="default"/>
                <w:sz w:val="18"/>
                <w:szCs w:val="18"/>
              </w:rPr>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84,077,205.31</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-84,077,205.31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6"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color w:val="333333"/>
                <w:sz w:val="18"/>
                <w:szCs w:val="18"/>
              </w:rPr>
              <w:t>应付账款</w:t>
            </w:r>
            <w:r>
              <w:rPr>
                <w:rFonts w:ascii="宋体" w:hAnsi="宋体" w:cs="宋体" w:eastAsia="宋体" w:hint="default"/>
                <w:sz w:val="18"/>
                <w:szCs w:val="18"/>
              </w:rPr>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175,038,841.02</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-175,038,841.02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333333"/>
                <w:sz w:val="18"/>
                <w:szCs w:val="18"/>
              </w:rPr>
              <w:t>应付票据及应付账款</w:t>
            </w:r>
            <w:r>
              <w:rPr>
                <w:rFonts w:ascii="宋体" w:hAnsi="宋体" w:cs="宋体" w:eastAsia="宋体" w:hint="default"/>
                <w:sz w:val="18"/>
                <w:szCs w:val="18"/>
              </w:rPr>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259,116,046.33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259,116,046.33</w:t>
            </w: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6"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114,200,855.20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114,200,855.20</w:t>
            </w:r>
          </w:p>
        </w:tc>
      </w:tr>
      <w:tr>
        <w:trPr>
          <w:trHeight w:val="346"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196,160.00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-196,160.00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2,081,250.00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196,160.00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2,277,410.00</w:t>
            </w: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718,086,379.26</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-199,668,174.15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518,418,205.11</w:t>
            </w:r>
          </w:p>
        </w:tc>
      </w:tr>
      <w:tr>
        <w:trPr>
          <w:trHeight w:val="346"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199,668,174.15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199,668,174.15</w:t>
            </w:r>
          </w:p>
        </w:tc>
      </w:tr>
    </w:tbl>
    <w:p>
      <w:pPr>
        <w:spacing w:line="240" w:lineRule="auto" w:before="2"/>
        <w:rPr>
          <w:rFonts w:ascii="宋体" w:hAnsi="宋体" w:cs="宋体" w:eastAsia="宋体" w:hint="default"/>
          <w:sz w:val="14"/>
          <w:szCs w:val="14"/>
        </w:rPr>
      </w:pPr>
    </w:p>
    <w:p>
      <w:pPr>
        <w:pStyle w:val="Heading6"/>
        <w:spacing w:line="240" w:lineRule="auto" w:before="32"/>
        <w:ind w:left="592" w:right="1133" w:firstLine="0"/>
        <w:jc w:val="left"/>
      </w:pPr>
      <w:r>
        <w:rPr>
          <w:rFonts w:ascii="Times New Roman" w:hAnsi="Times New Roman" w:cs="Times New Roman" w:eastAsia="Times New Roman" w:hint="default"/>
        </w:rPr>
        <w:t>2</w:t>
      </w:r>
      <w:r>
        <w:rPr/>
        <w:t>）本公司亦根据前述政策变更情况对比较报表数据进行追溯调整，具体调整明细列示如下：</w:t>
      </w:r>
    </w:p>
    <w:p>
      <w:pPr>
        <w:spacing w:line="240" w:lineRule="auto" w:before="5"/>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2552"/>
        <w:gridCol w:w="2413"/>
        <w:gridCol w:w="2408"/>
        <w:gridCol w:w="2129"/>
      </w:tblGrid>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49" w:right="0"/>
              <w:jc w:val="left"/>
              <w:rPr>
                <w:rFonts w:ascii="宋体" w:hAnsi="宋体" w:cs="宋体" w:eastAsia="宋体" w:hint="default"/>
                <w:sz w:val="18"/>
                <w:szCs w:val="18"/>
              </w:rPr>
            </w:pPr>
            <w:r>
              <w:rPr>
                <w:rFonts w:ascii="宋体" w:hAnsi="宋体" w:cs="宋体" w:eastAsia="宋体" w:hint="default"/>
                <w:b/>
                <w:bCs/>
                <w:sz w:val="18"/>
                <w:szCs w:val="18"/>
              </w:rPr>
              <w:t>调整前金额</w:t>
            </w:r>
            <w:r>
              <w:rPr>
                <w:rFonts w:ascii="宋体" w:hAnsi="宋体" w:cs="宋体" w:eastAsia="宋体" w:hint="default"/>
                <w:sz w:val="18"/>
                <w:szCs w:val="18"/>
              </w:rPr>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调整金额</w:t>
            </w:r>
            <w:r>
              <w:rPr>
                <w:rFonts w:ascii="宋体" w:hAnsi="宋体" w:cs="宋体" w:eastAsia="宋体" w:hint="default"/>
                <w:sz w:val="18"/>
                <w:szCs w:val="18"/>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07" w:right="0"/>
              <w:jc w:val="left"/>
              <w:rPr>
                <w:rFonts w:ascii="宋体" w:hAnsi="宋体" w:cs="宋体" w:eastAsia="宋体" w:hint="default"/>
                <w:sz w:val="18"/>
                <w:szCs w:val="18"/>
              </w:rPr>
            </w:pPr>
            <w:r>
              <w:rPr>
                <w:rFonts w:ascii="宋体" w:hAnsi="宋体" w:cs="宋体" w:eastAsia="宋体" w:hint="default"/>
                <w:b/>
                <w:bCs/>
                <w:sz w:val="18"/>
                <w:szCs w:val="18"/>
              </w:rPr>
              <w:t>调整后金额</w:t>
            </w:r>
            <w:r>
              <w:rPr>
                <w:rFonts w:ascii="宋体" w:hAnsi="宋体" w:cs="宋体" w:eastAsia="宋体" w:hint="default"/>
                <w:sz w:val="18"/>
                <w:szCs w:val="18"/>
              </w:rPr>
            </w: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6"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35,762,072.00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-35,762,072.00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333333"/>
                <w:sz w:val="18"/>
                <w:szCs w:val="18"/>
              </w:rPr>
              <w:t>应收票据及应收账款</w:t>
            </w:r>
            <w:r>
              <w:rPr>
                <w:rFonts w:ascii="宋体" w:hAnsi="宋体" w:cs="宋体" w:eastAsia="宋体" w:hint="default"/>
                <w:sz w:val="18"/>
                <w:szCs w:val="18"/>
              </w:rPr>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35,762,072.00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35,762,072.00</w:t>
            </w:r>
          </w:p>
        </w:tc>
      </w:tr>
      <w:tr>
        <w:trPr>
          <w:trHeight w:val="346"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51,998,479.31</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-51,998,479.31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6"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499,376,993.08</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51,998,479.31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551,375,472.39</w:t>
            </w: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333333"/>
                <w:sz w:val="18"/>
                <w:szCs w:val="18"/>
              </w:rPr>
              <w:t>应付票据</w:t>
            </w:r>
            <w:r>
              <w:rPr>
                <w:rFonts w:ascii="宋体" w:hAnsi="宋体" w:cs="宋体" w:eastAsia="宋体" w:hint="default"/>
                <w:sz w:val="18"/>
                <w:szCs w:val="18"/>
              </w:rPr>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color w:val="333333"/>
                <w:sz w:val="18"/>
                <w:szCs w:val="18"/>
              </w:rPr>
              <w:t>应付账款</w:t>
            </w:r>
            <w:r>
              <w:rPr>
                <w:rFonts w:ascii="宋体" w:hAnsi="宋体" w:cs="宋体" w:eastAsia="宋体" w:hint="default"/>
                <w:sz w:val="18"/>
                <w:szCs w:val="18"/>
              </w:rPr>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171,306,803.42</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-171,306,803.42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2552"/>
        <w:gridCol w:w="2413"/>
        <w:gridCol w:w="2408"/>
        <w:gridCol w:w="2129"/>
      </w:tblGrid>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color w:val="333333"/>
                <w:sz w:val="18"/>
                <w:szCs w:val="18"/>
              </w:rPr>
              <w:t>应付票据及应付账款</w:t>
            </w:r>
            <w:r>
              <w:rPr>
                <w:rFonts w:ascii="宋体" w:hAnsi="宋体" w:cs="宋体" w:eastAsia="宋体" w:hint="default"/>
                <w:sz w:val="18"/>
                <w:szCs w:val="18"/>
              </w:rPr>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171,306,803.42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171,306,803.42</w:t>
            </w:r>
          </w:p>
        </w:tc>
      </w:tr>
      <w:tr>
        <w:trPr>
          <w:trHeight w:val="346"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6"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869,775,485.58</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869,775,485.58</w:t>
            </w: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180,687,801.60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-46,074,845.12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134,612,956.48</w:t>
            </w: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46,074,845.12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46,074,845.12</w:t>
            </w:r>
          </w:p>
        </w:tc>
      </w:tr>
    </w:tbl>
    <w:p>
      <w:pPr>
        <w:spacing w:line="240" w:lineRule="auto" w:before="2"/>
        <w:rPr>
          <w:rFonts w:ascii="宋体" w:hAnsi="宋体" w:cs="宋体" w:eastAsia="宋体" w:hint="default"/>
          <w:sz w:val="14"/>
          <w:szCs w:val="14"/>
        </w:rPr>
      </w:pPr>
    </w:p>
    <w:p>
      <w:pPr>
        <w:pStyle w:val="Heading6"/>
        <w:spacing w:line="434" w:lineRule="auto" w:before="32"/>
        <w:ind w:left="592" w:right="6254" w:hanging="440"/>
        <w:jc w:val="left"/>
      </w:pPr>
      <w:r>
        <w:rPr>
          <w:rFonts w:ascii="Times New Roman" w:hAnsi="Times New Roman" w:cs="Times New Roman" w:eastAsia="Times New Roman" w:hint="default"/>
          <w:spacing w:val="-1"/>
        </w:rPr>
        <w:t>2.</w:t>
      </w:r>
      <w:r>
        <w:rPr>
          <w:spacing w:val="-1"/>
        </w:rPr>
        <w:t>重要会计估计变更及前期会计差错更正事项</w:t>
      </w:r>
      <w:r>
        <w:rPr>
          <w:spacing w:val="-92"/>
        </w:rPr>
        <w:t> </w:t>
      </w:r>
      <w:r>
        <w:rPr>
          <w:spacing w:val="-92"/>
        </w:rPr>
      </w:r>
      <w:r>
        <w:rPr/>
        <w:t>无</w:t>
      </w:r>
    </w:p>
    <w:p>
      <w:pPr>
        <w:spacing w:line="240" w:lineRule="auto" w:before="0"/>
        <w:rPr>
          <w:rFonts w:ascii="宋体" w:hAnsi="宋体" w:cs="宋体" w:eastAsia="宋体" w:hint="default"/>
          <w:sz w:val="22"/>
          <w:szCs w:val="22"/>
        </w:rPr>
      </w:pPr>
    </w:p>
    <w:p>
      <w:pPr>
        <w:pStyle w:val="Heading3"/>
        <w:spacing w:line="240" w:lineRule="auto" w:before="154"/>
        <w:ind w:right="1133"/>
        <w:jc w:val="left"/>
        <w:rPr>
          <w:b w:val="0"/>
          <w:bCs w:val="0"/>
        </w:rPr>
      </w:pPr>
      <w:r>
        <w:rPr/>
        <w:t>七、报告期内发生重大会计差错更正需追溯重述的情况说明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3"/>
        <w:spacing w:line="240" w:lineRule="auto"/>
        <w:ind w:right="1133"/>
        <w:jc w:val="left"/>
        <w:rPr>
          <w:b w:val="0"/>
          <w:bCs w:val="0"/>
        </w:rPr>
      </w:pPr>
      <w:r>
        <w:rPr/>
        <w:t>八、与上年度财务报告相比，合并报表范围发生变化的情况说明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6"/>
        <w:spacing w:line="244" w:lineRule="auto"/>
        <w:ind w:right="1018"/>
        <w:jc w:val="left"/>
      </w:pPr>
      <w:r>
        <w:rPr/>
        <w:t>本集团合并财务报表范围包括</w:t>
      </w:r>
      <w:r>
        <w:rPr>
          <w:rFonts w:ascii="Times New Roman" w:hAnsi="Times New Roman" w:cs="Times New Roman" w:eastAsia="Times New Roman" w:hint="default"/>
        </w:rPr>
        <w:t>78</w:t>
      </w:r>
      <w:r>
        <w:rPr/>
        <w:t>家子公司，其中二级子公司</w:t>
      </w:r>
      <w:r>
        <w:rPr>
          <w:rFonts w:ascii="Times New Roman" w:hAnsi="Times New Roman" w:cs="Times New Roman" w:eastAsia="Times New Roman" w:hint="default"/>
        </w:rPr>
        <w:t>13</w:t>
      </w:r>
      <w:r>
        <w:rPr/>
        <w:t>家、三级子公司</w:t>
      </w:r>
      <w:r>
        <w:rPr>
          <w:rFonts w:ascii="Times New Roman" w:hAnsi="Times New Roman" w:cs="Times New Roman" w:eastAsia="Times New Roman" w:hint="default"/>
        </w:rPr>
        <w:t>23</w:t>
      </w:r>
      <w:r>
        <w:rPr/>
        <w:t>家、四级子公司</w:t>
      </w:r>
      <w:r>
        <w:rPr>
          <w:w w:val="100"/>
        </w:rPr>
        <w:t> </w:t>
      </w:r>
      <w:r>
        <w:rPr>
          <w:rFonts w:ascii="Times New Roman" w:hAnsi="Times New Roman" w:cs="Times New Roman" w:eastAsia="Times New Roman" w:hint="default"/>
        </w:rPr>
        <w:t>33</w:t>
      </w:r>
      <w:r>
        <w:rPr/>
        <w:t>家、五级子公司</w:t>
      </w:r>
      <w:r>
        <w:rPr>
          <w:rFonts w:ascii="Times New Roman" w:hAnsi="Times New Roman" w:cs="Times New Roman" w:eastAsia="Times New Roman" w:hint="default"/>
        </w:rPr>
        <w:t>8</w:t>
      </w:r>
      <w:r>
        <w:rPr/>
        <w:t>家，六级子公司</w:t>
      </w:r>
      <w:r>
        <w:rPr>
          <w:rFonts w:ascii="Times New Roman" w:hAnsi="Times New Roman" w:cs="Times New Roman" w:eastAsia="Times New Roman" w:hint="default"/>
        </w:rPr>
        <w:t>1</w:t>
      </w:r>
      <w:r>
        <w:rPr/>
        <w:t>家。与上年相比，本年因非同一控制下企业合并增加北京宝库在</w:t>
      </w:r>
      <w:r>
        <w:rPr>
          <w:w w:val="100"/>
        </w:rPr>
        <w:t> </w:t>
      </w:r>
      <w:r>
        <w:rPr/>
        <w:t>线</w:t>
      </w:r>
      <w:r>
        <w:rPr>
          <w:spacing w:val="-77"/>
        </w:rPr>
        <w:t> </w:t>
      </w:r>
      <w:r>
        <w:rPr/>
        <w:t>技</w:t>
      </w:r>
      <w:r>
        <w:rPr>
          <w:spacing w:val="-77"/>
        </w:rPr>
        <w:t> </w:t>
      </w:r>
      <w:r>
        <w:rPr/>
        <w:t>术</w:t>
      </w:r>
      <w:r>
        <w:rPr>
          <w:spacing w:val="-77"/>
        </w:rPr>
        <w:t> </w:t>
      </w:r>
      <w:r>
        <w:rPr/>
        <w:t>有</w:t>
      </w:r>
      <w:r>
        <w:rPr>
          <w:spacing w:val="-80"/>
        </w:rPr>
        <w:t> </w:t>
      </w:r>
      <w:r>
        <w:rPr/>
        <w:t>限</w:t>
      </w:r>
      <w:r>
        <w:rPr>
          <w:spacing w:val="-77"/>
        </w:rPr>
        <w:t> </w:t>
      </w:r>
      <w:r>
        <w:rPr/>
        <w:t>公</w:t>
      </w:r>
      <w:r>
        <w:rPr>
          <w:spacing w:val="-77"/>
        </w:rPr>
        <w:t> </w:t>
      </w:r>
      <w:r>
        <w:rPr/>
        <w:t>司</w:t>
      </w:r>
      <w:r>
        <w:rPr>
          <w:spacing w:val="-80"/>
        </w:rPr>
        <w:t> </w:t>
      </w:r>
      <w:r>
        <w:rPr/>
        <w:t>、</w:t>
      </w:r>
      <w:r>
        <w:rPr>
          <w:spacing w:val="-77"/>
        </w:rPr>
        <w:t> </w:t>
      </w:r>
      <w:r>
        <w:rPr/>
        <w:t>广</w:t>
      </w:r>
      <w:r>
        <w:rPr>
          <w:spacing w:val="-80"/>
        </w:rPr>
        <w:t> </w:t>
      </w:r>
      <w:r>
        <w:rPr/>
        <w:t>州</w:t>
      </w:r>
      <w:r>
        <w:rPr>
          <w:spacing w:val="-77"/>
        </w:rPr>
        <w:t> </w:t>
      </w:r>
      <w:r>
        <w:rPr/>
        <w:t>合</w:t>
      </w:r>
      <w:r>
        <w:rPr>
          <w:spacing w:val="-77"/>
        </w:rPr>
        <w:t> </w:t>
      </w:r>
      <w:r>
        <w:rPr/>
        <w:t>光</w:t>
      </w:r>
      <w:r>
        <w:rPr>
          <w:spacing w:val="-77"/>
        </w:rPr>
        <w:t> </w:t>
      </w:r>
      <w:r>
        <w:rPr/>
        <w:t>信</w:t>
      </w:r>
      <w:r>
        <w:rPr>
          <w:spacing w:val="-80"/>
        </w:rPr>
        <w:t> </w:t>
      </w:r>
      <w:r>
        <w:rPr/>
        <w:t>息</w:t>
      </w:r>
      <w:r>
        <w:rPr>
          <w:spacing w:val="-77"/>
        </w:rPr>
        <w:t> </w:t>
      </w:r>
      <w:r>
        <w:rPr/>
        <w:t>技</w:t>
      </w:r>
      <w:r>
        <w:rPr>
          <w:spacing w:val="-77"/>
        </w:rPr>
        <w:t> </w:t>
      </w:r>
      <w:r>
        <w:rPr/>
        <w:t>术</w:t>
      </w:r>
      <w:r>
        <w:rPr>
          <w:spacing w:val="-80"/>
        </w:rPr>
        <w:t> </w:t>
      </w:r>
      <w:r>
        <w:rPr/>
        <w:t>有</w:t>
      </w:r>
      <w:r>
        <w:rPr>
          <w:spacing w:val="-77"/>
        </w:rPr>
        <w:t> </w:t>
      </w:r>
      <w:r>
        <w:rPr/>
        <w:t>限</w:t>
      </w:r>
      <w:r>
        <w:rPr>
          <w:spacing w:val="-80"/>
        </w:rPr>
        <w:t> </w:t>
      </w:r>
      <w:r>
        <w:rPr/>
        <w:t>公</w:t>
      </w:r>
      <w:r>
        <w:rPr>
          <w:spacing w:val="-77"/>
        </w:rPr>
        <w:t> </w:t>
      </w:r>
      <w:r>
        <w:rPr/>
        <w:t>司</w:t>
      </w:r>
      <w:r>
        <w:rPr>
          <w:spacing w:val="-77"/>
        </w:rPr>
        <w:t> </w:t>
      </w:r>
      <w:r>
        <w:rPr/>
        <w:t>、</w:t>
      </w:r>
      <w:r>
        <w:rPr>
          <w:spacing w:val="-77"/>
        </w:rPr>
        <w:t> </w:t>
      </w:r>
      <w:r>
        <w:rPr/>
        <w:t>南</w:t>
      </w:r>
      <w:r>
        <w:rPr>
          <w:spacing w:val="-80"/>
        </w:rPr>
        <w:t> </w:t>
      </w:r>
      <w:r>
        <w:rPr/>
        <w:t>京</w:t>
      </w:r>
      <w:r>
        <w:rPr>
          <w:spacing w:val="-77"/>
        </w:rPr>
        <w:t> </w:t>
      </w:r>
      <w:r>
        <w:rPr/>
        <w:t>客</w:t>
      </w:r>
      <w:r>
        <w:rPr>
          <w:spacing w:val="-77"/>
        </w:rPr>
        <w:t> </w:t>
      </w:r>
      <w:r>
        <w:rPr/>
        <w:t>至</w:t>
      </w:r>
      <w:r>
        <w:rPr>
          <w:spacing w:val="-80"/>
        </w:rPr>
        <w:t> </w:t>
      </w:r>
      <w:r>
        <w:rPr/>
        <w:t>软</w:t>
      </w:r>
      <w:r>
        <w:rPr>
          <w:spacing w:val="-77"/>
        </w:rPr>
        <w:t> </w:t>
      </w:r>
      <w:r>
        <w:rPr/>
        <w:t>件</w:t>
      </w:r>
      <w:r>
        <w:rPr>
          <w:spacing w:val="-80"/>
        </w:rPr>
        <w:t> </w:t>
      </w:r>
      <w:r>
        <w:rPr/>
        <w:t>有</w:t>
      </w:r>
      <w:r>
        <w:rPr>
          <w:spacing w:val="-77"/>
        </w:rPr>
        <w:t> </w:t>
      </w:r>
      <w:r>
        <w:rPr/>
        <w:t>限</w:t>
      </w:r>
      <w:r>
        <w:rPr>
          <w:spacing w:val="-77"/>
        </w:rPr>
        <w:t> </w:t>
      </w:r>
      <w:r>
        <w:rPr/>
        <w:t>公</w:t>
      </w:r>
      <w:r>
        <w:rPr>
          <w:spacing w:val="-77"/>
        </w:rPr>
        <w:t> </w:t>
      </w:r>
      <w:r>
        <w:rPr/>
        <w:t>司</w:t>
      </w:r>
      <w:r>
        <w:rPr>
          <w:spacing w:val="-80"/>
        </w:rPr>
        <w:t> </w:t>
      </w:r>
      <w:r>
        <w:rPr/>
        <w:t>、</w:t>
      </w:r>
      <w:r>
        <w:rPr>
          <w:spacing w:val="-67"/>
        </w:rPr>
        <w:t> </w:t>
      </w:r>
      <w:r>
        <w:rPr>
          <w:rFonts w:ascii="Times New Roman" w:hAnsi="Times New Roman" w:cs="Times New Roman" w:eastAsia="Times New Roman" w:hint="default"/>
        </w:rPr>
        <w:t>StayntouchInc</w:t>
      </w:r>
      <w:r>
        <w:rPr>
          <w:rFonts w:ascii="Times New Roman" w:hAnsi="Times New Roman" w:cs="Times New Roman" w:eastAsia="Times New Roman" w:hint="default"/>
          <w:spacing w:val="-21"/>
        </w:rPr>
        <w:t> </w:t>
      </w:r>
      <w:r>
        <w:rPr/>
        <w:t>、</w:t>
      </w:r>
      <w:r>
        <w:rPr>
          <w:spacing w:val="-108"/>
        </w:rPr>
        <w:t> </w:t>
      </w:r>
      <w:r>
        <w:rPr>
          <w:rFonts w:ascii="Times New Roman" w:hAnsi="Times New Roman" w:cs="Times New Roman" w:eastAsia="Times New Roman" w:hint="default"/>
        </w:rPr>
        <w:t>CONCEPTEK-SISTEMASDEINFORMA</w:t>
      </w:r>
      <w:r>
        <w:rPr>
          <w:rFonts w:ascii="Calibri" w:hAnsi="Calibri" w:cs="Calibri" w:eastAsia="Calibri" w:hint="default"/>
        </w:rPr>
        <w:t>ÇÃ</w:t>
      </w:r>
      <w:r>
        <w:rPr>
          <w:rFonts w:ascii="Times New Roman" w:hAnsi="Times New Roman" w:cs="Times New Roman" w:eastAsia="Times New Roman" w:hint="default"/>
        </w:rPr>
        <w:t>OS.A.</w:t>
      </w:r>
      <w:r>
        <w:rPr>
          <w:rFonts w:ascii="Times New Roman" w:hAnsi="Times New Roman" w:cs="Times New Roman" w:eastAsia="Times New Roman" w:hint="default"/>
          <w:spacing w:val="-15"/>
        </w:rPr>
        <w:t> </w:t>
      </w:r>
      <w:r>
        <w:rPr/>
        <w:t>等</w:t>
      </w:r>
      <w:r>
        <w:rPr>
          <w:spacing w:val="-67"/>
        </w:rPr>
        <w:t> </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家</w:t>
      </w:r>
      <w:r>
        <w:rPr>
          <w:spacing w:val="-70"/>
        </w:rPr>
        <w:t> </w:t>
      </w:r>
      <w:r>
        <w:rPr/>
        <w:t>，</w:t>
      </w:r>
      <w:r>
        <w:rPr>
          <w:spacing w:val="-70"/>
        </w:rPr>
        <w:t> </w:t>
      </w:r>
      <w:r>
        <w:rPr/>
        <w:t>因</w:t>
      </w:r>
      <w:r>
        <w:rPr>
          <w:spacing w:val="-72"/>
        </w:rPr>
        <w:t> </w:t>
      </w:r>
      <w:r>
        <w:rPr/>
        <w:t>新</w:t>
      </w:r>
      <w:r>
        <w:rPr>
          <w:spacing w:val="-70"/>
        </w:rPr>
        <w:t> </w:t>
      </w:r>
      <w:r>
        <w:rPr/>
        <w:t>设</w:t>
      </w:r>
      <w:r>
        <w:rPr>
          <w:spacing w:val="-72"/>
        </w:rPr>
        <w:t> </w:t>
      </w:r>
      <w:r>
        <w:rPr/>
        <w:t>北</w:t>
      </w:r>
      <w:r>
        <w:rPr>
          <w:spacing w:val="-70"/>
        </w:rPr>
        <w:t> </w:t>
      </w:r>
      <w:r>
        <w:rPr/>
        <w:t>海</w:t>
      </w:r>
      <w:r>
        <w:rPr>
          <w:spacing w:val="-70"/>
        </w:rPr>
        <w:t> </w:t>
      </w:r>
      <w:r>
        <w:rPr/>
        <w:t>环</w:t>
      </w:r>
      <w:r>
        <w:rPr>
          <w:spacing w:val="-72"/>
        </w:rPr>
        <w:t> </w:t>
      </w:r>
      <w:r>
        <w:rPr/>
        <w:t>企</w:t>
      </w:r>
      <w:r>
        <w:rPr>
          <w:spacing w:val="-70"/>
        </w:rPr>
        <w:t> </w:t>
      </w:r>
      <w:r>
        <w:rPr/>
        <w:t>软</w:t>
      </w:r>
      <w:r>
        <w:rPr>
          <w:spacing w:val="-70"/>
        </w:rPr>
        <w:t> </w:t>
      </w:r>
      <w:r>
        <w:rPr/>
        <w:t>件</w:t>
      </w:r>
      <w:r>
        <w:rPr>
          <w:spacing w:val="-72"/>
        </w:rPr>
        <w:t> </w:t>
      </w:r>
      <w:r>
        <w:rPr/>
        <w:t>科</w:t>
      </w:r>
      <w:r>
        <w:rPr>
          <w:spacing w:val="-70"/>
        </w:rPr>
        <w:t> </w:t>
      </w:r>
      <w:r>
        <w:rPr/>
        <w:t>技</w:t>
      </w:r>
      <w:r>
        <w:rPr>
          <w:spacing w:val="-70"/>
        </w:rPr>
        <w:t> </w:t>
      </w:r>
      <w:r>
        <w:rPr/>
        <w:t>有</w:t>
      </w:r>
      <w:r>
        <w:rPr>
          <w:spacing w:val="-72"/>
        </w:rPr>
        <w:t> </w:t>
      </w:r>
      <w:r>
        <w:rPr/>
        <w:t>限</w:t>
      </w:r>
      <w:r>
        <w:rPr>
          <w:spacing w:val="-70"/>
        </w:rPr>
        <w:t> </w:t>
      </w:r>
      <w:r>
        <w:rPr/>
        <w:t>公</w:t>
      </w:r>
      <w:r>
        <w:rPr>
          <w:spacing w:val="-72"/>
        </w:rPr>
        <w:t> </w:t>
      </w:r>
      <w:r>
        <w:rPr/>
        <w:t>司</w:t>
      </w:r>
      <w:r>
        <w:rPr>
          <w:spacing w:val="-72"/>
        </w:rPr>
        <w:t> </w:t>
      </w:r>
      <w:r>
        <w:rPr/>
        <w:t>、</w:t>
      </w:r>
      <w:r>
        <w:rPr>
          <w:w w:val="100"/>
        </w:rPr>
        <w:t> </w:t>
      </w:r>
      <w:r>
        <w:rPr>
          <w:rFonts w:ascii="Times New Roman" w:hAnsi="Times New Roman" w:cs="Times New Roman" w:eastAsia="Times New Roman" w:hint="default"/>
          <w:spacing w:val="-3"/>
        </w:rPr>
        <w:t>ShijiIndiaLLP</w:t>
      </w:r>
      <w:r>
        <w:rPr>
          <w:spacing w:val="-3"/>
        </w:rPr>
        <w:t>、</w:t>
      </w:r>
      <w:r>
        <w:rPr>
          <w:rFonts w:ascii="Times New Roman" w:hAnsi="Times New Roman" w:cs="Times New Roman" w:eastAsia="Times New Roman" w:hint="default"/>
          <w:spacing w:val="-3"/>
        </w:rPr>
        <w:t>ShijiJapan</w:t>
      </w:r>
      <w:r>
        <w:rPr>
          <w:spacing w:val="-3"/>
        </w:rPr>
        <w:t>株式会社、</w:t>
      </w:r>
      <w:r>
        <w:rPr>
          <w:rFonts w:ascii="Times New Roman" w:hAnsi="Times New Roman" w:cs="Times New Roman" w:eastAsia="Times New Roman" w:hint="default"/>
          <w:spacing w:val="-3"/>
        </w:rPr>
        <w:t>Shiji(Thailand)Limited</w:t>
      </w:r>
      <w:r>
        <w:rPr>
          <w:spacing w:val="-3"/>
        </w:rPr>
        <w:t>、</w:t>
      </w:r>
      <w:r>
        <w:rPr>
          <w:rFonts w:ascii="Times New Roman" w:hAnsi="Times New Roman" w:cs="Times New Roman" w:eastAsia="Times New Roman" w:hint="default"/>
          <w:spacing w:val="-3"/>
        </w:rPr>
        <w:t>ShijiMiddleEast-FZLLC</w:t>
      </w:r>
      <w:r>
        <w:rPr>
          <w:spacing w:val="-3"/>
        </w:rPr>
        <w:t>、</w:t>
      </w:r>
      <w:r>
        <w:rPr>
          <w:rFonts w:ascii="Times New Roman" w:hAnsi="Times New Roman" w:cs="Times New Roman" w:eastAsia="Times New Roman" w:hint="default"/>
          <w:spacing w:val="-3"/>
        </w:rPr>
        <w:t>ShijiSlovakias.r.o</w:t>
      </w:r>
      <w:r>
        <w:rPr>
          <w:spacing w:val="-3"/>
        </w:rPr>
        <w:t>、</w:t>
      </w:r>
      <w:r>
        <w:rPr>
          <w:spacing w:val="-40"/>
        </w:rPr>
        <w:t> </w:t>
      </w:r>
      <w:r>
        <w:rPr>
          <w:rFonts w:ascii="Times New Roman" w:hAnsi="Times New Roman" w:cs="Times New Roman" w:eastAsia="Times New Roman" w:hint="default"/>
        </w:rPr>
        <w:t>Shiji(Macau)Limited</w:t>
      </w:r>
      <w:r>
        <w:rPr/>
        <w:t>等增加</w:t>
      </w:r>
      <w:r>
        <w:rPr>
          <w:spacing w:val="-79"/>
        </w:rPr>
        <w:t> </w:t>
      </w:r>
      <w:r>
        <w:rPr>
          <w:rFonts w:ascii="Times New Roman" w:hAnsi="Times New Roman" w:cs="Times New Roman" w:eastAsia="Times New Roman" w:hint="default"/>
          <w:spacing w:val="12"/>
        </w:rPr>
        <w:t>8</w:t>
      </w:r>
      <w:r>
        <w:rPr>
          <w:spacing w:val="12"/>
        </w:rPr>
        <w:t>家。</w:t>
      </w:r>
      <w:r>
        <w:rPr>
          <w:spacing w:val="-79"/>
        </w:rPr>
        <w:t> </w:t>
      </w:r>
      <w:r>
        <w:rPr>
          <w:spacing w:val="17"/>
        </w:rPr>
        <w:t>因注销海南富基融通科技有限公司、</w:t>
      </w:r>
      <w:r>
        <w:rPr>
          <w:spacing w:val="-76"/>
        </w:rPr>
        <w:t> </w:t>
      </w:r>
      <w:r>
        <w:rPr>
          <w:rFonts w:ascii="Times New Roman" w:hAnsi="Times New Roman" w:cs="Times New Roman" w:eastAsia="Times New Roman" w:hint="default"/>
        </w:rPr>
        <w:t>ArmitageHoldingsLimited</w:t>
      </w:r>
      <w:r>
        <w:rPr/>
        <w:t>、</w:t>
      </w:r>
      <w:r>
        <w:rPr>
          <w:spacing w:val="-38"/>
        </w:rPr>
        <w:t> </w:t>
      </w:r>
      <w:r>
        <w:rPr>
          <w:rFonts w:ascii="Times New Roman" w:hAnsi="Times New Roman" w:cs="Times New Roman" w:eastAsia="Times New Roman" w:hint="default"/>
        </w:rPr>
        <w:t>SnapshotUSAInc.</w:t>
      </w:r>
      <w:r>
        <w:rPr/>
        <w:t>、</w:t>
      </w:r>
      <w:r>
        <w:rPr>
          <w:rFonts w:ascii="Times New Roman" w:hAnsi="Times New Roman" w:cs="Times New Roman" w:eastAsia="Times New Roman" w:hint="default"/>
        </w:rPr>
        <w:t>ACSoftwareDeutsechlandGmbH</w:t>
      </w:r>
      <w:r>
        <w:rPr/>
        <w:t>减少</w:t>
      </w:r>
      <w:r>
        <w:rPr>
          <w:rFonts w:ascii="Times New Roman" w:hAnsi="Times New Roman" w:cs="Times New Roman" w:eastAsia="Times New Roman" w:hint="default"/>
        </w:rPr>
        <w:t>4</w:t>
      </w:r>
      <w:r>
        <w:rPr/>
        <w:t>家，因</w:t>
      </w:r>
      <w:r>
        <w:rPr>
          <w:rFonts w:ascii="Times New Roman" w:hAnsi="Times New Roman" w:cs="Times New Roman" w:eastAsia="Times New Roman" w:hint="default"/>
        </w:rPr>
        <w:t>ACProjectGmbH</w:t>
      </w:r>
      <w:r>
        <w:rPr/>
        <w:t>和</w:t>
      </w:r>
      <w:r>
        <w:rPr>
          <w:rFonts w:ascii="Times New Roman" w:hAnsi="Times New Roman" w:cs="Times New Roman" w:eastAsia="Times New Roman" w:hint="default"/>
        </w:rPr>
        <w:t>SnapshotGmbh</w:t>
      </w:r>
      <w:r>
        <w:rPr/>
        <w:t>合并为</w:t>
      </w:r>
      <w:r>
        <w:rPr>
          <w:w w:val="100"/>
        </w:rPr>
        <w:t> </w:t>
      </w:r>
      <w:r>
        <w:rPr>
          <w:rFonts w:ascii="Times New Roman" w:hAnsi="Times New Roman" w:cs="Times New Roman" w:eastAsia="Times New Roman" w:hint="default"/>
        </w:rPr>
        <w:t>ShijiGmbH</w:t>
      </w:r>
      <w:r>
        <w:rPr/>
        <w:t>而减少</w:t>
      </w:r>
      <w:r>
        <w:rPr>
          <w:rFonts w:ascii="Times New Roman" w:hAnsi="Times New Roman" w:cs="Times New Roman" w:eastAsia="Times New Roman" w:hint="default"/>
        </w:rPr>
        <w:t>1</w:t>
      </w:r>
      <w:r>
        <w:rPr/>
        <w:t>家。</w:t>
      </w:r>
    </w:p>
    <w:p>
      <w:pPr>
        <w:spacing w:line="240" w:lineRule="auto" w:before="7"/>
        <w:rPr>
          <w:rFonts w:ascii="宋体" w:hAnsi="宋体" w:cs="宋体" w:eastAsia="宋体" w:hint="default"/>
          <w:sz w:val="18"/>
          <w:szCs w:val="18"/>
        </w:rPr>
      </w:pPr>
    </w:p>
    <w:p>
      <w:pPr>
        <w:pStyle w:val="Heading6"/>
        <w:spacing w:line="240" w:lineRule="auto"/>
        <w:ind w:left="592" w:right="1133" w:firstLine="0"/>
        <w:jc w:val="left"/>
      </w:pPr>
      <w:r>
        <w:rPr/>
        <w:t>详见本附注</w:t>
      </w:r>
      <w:r>
        <w:rPr>
          <w:rFonts w:ascii="Times New Roman" w:hAnsi="Times New Roman" w:cs="Times New Roman" w:eastAsia="Times New Roman" w:hint="default"/>
        </w:rPr>
        <w:t>“</w:t>
      </w:r>
      <w:r>
        <w:rPr/>
        <w:t>八、合并范围的变化</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及本附注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相关内容。</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4"/>
          <w:szCs w:val="24"/>
        </w:rPr>
      </w:pPr>
    </w:p>
    <w:p>
      <w:pPr>
        <w:pStyle w:val="Heading3"/>
        <w:spacing w:line="240" w:lineRule="auto"/>
        <w:ind w:right="1133"/>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张昆、张海啸</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聘请内部控制审计会计师事务所、财务顾问或保荐人情况</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8"/>
        <w:rPr>
          <w:rFonts w:ascii="宋体" w:hAnsi="宋体" w:cs="宋体" w:eastAsia="宋体" w:hint="default"/>
          <w:sz w:val="19"/>
          <w:szCs w:val="19"/>
        </w:rPr>
      </w:pPr>
    </w:p>
    <w:p>
      <w:pPr>
        <w:pStyle w:val="Heading3"/>
        <w:spacing w:line="240" w:lineRule="auto"/>
        <w:ind w:right="1133"/>
        <w:jc w:val="left"/>
        <w:rPr>
          <w:b w:val="0"/>
          <w:bCs w:val="0"/>
        </w:rPr>
      </w:pPr>
      <w:r>
        <w:rPr/>
        <w:t>十二、重大诉讼、仲裁事项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line="328" w:lineRule="auto" w:before="0"/>
        <w:ind w:left="152" w:right="11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公司及其控股股东、实际控制人不存在任何不诚信的行为，包括但不限于：不存在未履行的法院生效判决、所负数额较大的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债务到期未清偿等情况。</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0"/>
        <w:ind w:left="556" w:right="5919"/>
        <w:jc w:val="center"/>
      </w:pPr>
      <w:r>
        <w:rPr/>
        <w:t>（一）股权激励计划已履行审批程序及实施情况</w:t>
      </w:r>
    </w:p>
    <w:p>
      <w:pPr>
        <w:pStyle w:val="BodyText"/>
        <w:spacing w:line="256" w:lineRule="auto" w:before="78"/>
        <w:ind w:right="1131"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日，公司召开第五届董事会</w:t>
      </w:r>
      <w:r>
        <w:rPr>
          <w:rFonts w:ascii="Times New Roman" w:hAnsi="Times New Roman" w:cs="Times New Roman" w:eastAsia="Times New Roman" w:hint="default"/>
        </w:rPr>
        <w:t>2016</w:t>
      </w:r>
      <w:r>
        <w:rPr/>
        <w:t>年第九次临时会议审议通过《关于</w:t>
      </w:r>
      <w:r>
        <w:rPr>
          <w:rFonts w:ascii="Times New Roman" w:hAnsi="Times New Roman" w:cs="Times New Roman" w:eastAsia="Times New Roman" w:hint="default"/>
        </w:rPr>
        <w:t>&lt;</w:t>
      </w:r>
      <w:r>
        <w:rPr/>
        <w:t>北京中长石基信</w:t>
      </w:r>
      <w:r>
        <w:rPr>
          <w:w w:val="100"/>
        </w:rPr>
        <w:t> </w:t>
      </w:r>
      <w:r>
        <w:rPr>
          <w:spacing w:val="-2"/>
        </w:rPr>
        <w:t>息技术股份有限公司</w:t>
      </w:r>
      <w:r>
        <w:rPr>
          <w:rFonts w:ascii="Times New Roman" w:hAnsi="Times New Roman" w:cs="Times New Roman" w:eastAsia="Times New Roman" w:hint="default"/>
          <w:spacing w:val="-2"/>
        </w:rPr>
        <w:t>2016</w:t>
      </w:r>
      <w:r>
        <w:rPr>
          <w:spacing w:val="-2"/>
        </w:rPr>
        <w:t>年股票期权激励计划（草案）</w:t>
      </w:r>
      <w:r>
        <w:rPr>
          <w:rFonts w:ascii="Times New Roman" w:hAnsi="Times New Roman" w:cs="Times New Roman" w:eastAsia="Times New Roman" w:hint="default"/>
          <w:spacing w:val="-2"/>
        </w:rPr>
        <w:t>&gt;</w:t>
      </w:r>
      <w:r>
        <w:rPr>
          <w:spacing w:val="-2"/>
        </w:rPr>
        <w:t>及其摘要的议案》等相关议案。详见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13</w:t>
      </w:r>
      <w:r>
        <w:rPr>
          <w:rFonts w:ascii="Times New Roman" w:hAnsi="Times New Roman" w:cs="Times New Roman" w:eastAsia="Times New Roman" w:hint="default"/>
          <w:spacing w:val="2"/>
        </w:rPr>
        <w:t> </w:t>
      </w:r>
      <w:r>
        <w:rPr/>
        <w:t>日刊登于《中国证券报》、《证券时报》以及巨潮资讯网</w:t>
      </w:r>
      <w:hyperlink r:id="rId27">
        <w:r>
          <w:rPr>
            <w:rFonts w:ascii="Times New Roman" w:hAnsi="Times New Roman" w:cs="Times New Roman" w:eastAsia="Times New Roman" w:hint="default"/>
          </w:rPr>
          <w:t>www.cninfo.com.cn</w:t>
        </w:r>
        <w:r>
          <w:rPr/>
          <w:t>的相关公告</w:t>
        </w:r>
      </w:hyperlink>
      <w:r>
        <w:rPr/>
        <w:t>。</w:t>
      </w:r>
    </w:p>
    <w:p>
      <w:pPr>
        <w:pStyle w:val="BodyText"/>
        <w:spacing w:line="240" w:lineRule="auto" w:before="5"/>
        <w:ind w:left="573" w:right="1133"/>
        <w:jc w:val="left"/>
      </w:pPr>
      <w:r>
        <w:rPr>
          <w:rFonts w:ascii="Times New Roman" w:hAnsi="Times New Roman" w:cs="Times New Roman" w:eastAsia="Times New Roman" w:hint="default"/>
        </w:rPr>
        <w:t>2</w:t>
      </w:r>
      <w:r>
        <w:rPr/>
        <w:t>、为了公司股权激励计划严格符合《股权激励管理办法》及深交所备忘录等配套制度规定，公司对</w:t>
      </w:r>
    </w:p>
    <w:p>
      <w:pPr>
        <w:pStyle w:val="BodyText"/>
        <w:spacing w:line="256" w:lineRule="auto" w:before="22"/>
        <w:ind w:right="1128"/>
        <w:jc w:val="both"/>
      </w:pPr>
      <w:r>
        <w:rPr>
          <w:spacing w:val="-2"/>
        </w:rPr>
        <w:t>《</w:t>
      </w:r>
      <w:r>
        <w:rPr>
          <w:rFonts w:ascii="Times New Roman" w:hAnsi="Times New Roman" w:cs="Times New Roman" w:eastAsia="Times New Roman" w:hint="default"/>
          <w:spacing w:val="-2"/>
        </w:rPr>
        <w:t>2016</w:t>
      </w:r>
      <w:r>
        <w:rPr>
          <w:spacing w:val="-2"/>
        </w:rPr>
        <w:t>年股票期权激励计划（草案）</w:t>
      </w:r>
      <w:r>
        <w:rPr>
          <w:rFonts w:ascii="Times New Roman" w:hAnsi="Times New Roman" w:cs="Times New Roman" w:eastAsia="Times New Roman" w:hint="default"/>
          <w:spacing w:val="-2"/>
        </w:rPr>
        <w:t>&gt;</w:t>
      </w:r>
      <w:r>
        <w:rPr>
          <w:spacing w:val="-2"/>
        </w:rPr>
        <w:t>及其摘要》进行了修订，并于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19</w:t>
      </w:r>
      <w:r>
        <w:rPr>
          <w:spacing w:val="-2"/>
        </w:rPr>
        <w:t>日召开第五届董事会</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年第十次临时会议审议通过《关于</w:t>
      </w:r>
      <w:r>
        <w:rPr>
          <w:rFonts w:ascii="Times New Roman" w:hAnsi="Times New Roman" w:cs="Times New Roman" w:eastAsia="Times New Roman" w:hint="default"/>
        </w:rPr>
        <w:t>&lt;</w:t>
      </w:r>
      <w:r>
        <w:rPr/>
        <w:t>北京中长石基信息技术股份有限公司</w:t>
      </w:r>
      <w:r>
        <w:rPr>
          <w:rFonts w:ascii="Times New Roman" w:hAnsi="Times New Roman" w:cs="Times New Roman" w:eastAsia="Times New Roman" w:hint="default"/>
        </w:rPr>
        <w:t>2016</w:t>
      </w:r>
      <w:r>
        <w:rPr/>
        <w:t>年股票期权激励计划（草案</w:t>
      </w:r>
      <w:r>
        <w:rPr>
          <w:spacing w:val="-37"/>
        </w:rPr>
        <w:t> </w:t>
      </w:r>
      <w:r>
        <w:rPr>
          <w:spacing w:val="-37"/>
        </w:rPr>
      </w:r>
      <w:r>
        <w:rPr>
          <w:spacing w:val="-3"/>
        </w:rPr>
        <w:t>修订稿）</w:t>
      </w:r>
      <w:r>
        <w:rPr>
          <w:rFonts w:ascii="Times New Roman" w:hAnsi="Times New Roman" w:cs="Times New Roman" w:eastAsia="Times New Roman" w:hint="default"/>
          <w:spacing w:val="-3"/>
        </w:rPr>
        <w:t>&gt;</w:t>
      </w:r>
      <w:r>
        <w:rPr>
          <w:spacing w:val="-3"/>
        </w:rPr>
        <w:t>及其摘要的议案》等相关议案。详见</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22</w:t>
      </w:r>
      <w:r>
        <w:rPr>
          <w:spacing w:val="-3"/>
        </w:rPr>
        <w:t>日刊登于《中国证券报》、《证券时报》以及</w:t>
      </w:r>
      <w:r>
        <w:rPr>
          <w:spacing w:val="-5"/>
        </w:rPr>
        <w:t> </w:t>
      </w:r>
      <w:r>
        <w:rPr>
          <w:spacing w:val="-5"/>
        </w:rPr>
      </w:r>
      <w:r>
        <w:rPr/>
        <w:t>巨潮资讯网</w:t>
      </w:r>
      <w:hyperlink r:id="rId27">
        <w:r>
          <w:rPr>
            <w:rFonts w:ascii="Times New Roman" w:hAnsi="Times New Roman" w:cs="Times New Roman" w:eastAsia="Times New Roman" w:hint="default"/>
          </w:rPr>
          <w:t>www.cninfo.com.cn</w:t>
        </w:r>
        <w:r>
          <w:rPr/>
          <w:t>的相关公告。</w:t>
        </w:r>
      </w:hyperlink>
    </w:p>
    <w:p>
      <w:pPr>
        <w:pStyle w:val="BodyText"/>
        <w:spacing w:line="256" w:lineRule="auto" w:before="5"/>
        <w:ind w:right="1129" w:firstLine="42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日，公司召开</w:t>
      </w:r>
      <w:r>
        <w:rPr>
          <w:rFonts w:ascii="Times New Roman" w:hAnsi="Times New Roman" w:cs="Times New Roman" w:eastAsia="Times New Roman" w:hint="default"/>
        </w:rPr>
        <w:t>2016</w:t>
      </w:r>
      <w:r>
        <w:rPr/>
        <w:t>年第三次临时股东大会审议通过上述议案，公司确定</w:t>
      </w:r>
      <w:r>
        <w:rPr>
          <w:rFonts w:ascii="Times New Roman" w:hAnsi="Times New Roman" w:cs="Times New Roman" w:eastAsia="Times New Roman" w:hint="default"/>
        </w:rPr>
        <w:t>2016</w:t>
      </w:r>
      <w:r>
        <w:rPr/>
        <w:t>年股权激</w:t>
      </w:r>
      <w:r>
        <w:rPr>
          <w:w w:val="100"/>
        </w:rPr>
        <w:t> </w:t>
      </w:r>
      <w:r>
        <w:rPr/>
        <w:t>励计划为：公司拟授予激励对象</w:t>
      </w:r>
      <w:r>
        <w:rPr>
          <w:rFonts w:ascii="Times New Roman" w:hAnsi="Times New Roman" w:cs="Times New Roman" w:eastAsia="Times New Roman" w:hint="default"/>
        </w:rPr>
        <w:t>800</w:t>
      </w:r>
      <w:r>
        <w:rPr/>
        <w:t>万份股票期权（首次授予</w:t>
      </w:r>
      <w:r>
        <w:rPr>
          <w:rFonts w:ascii="Times New Roman" w:hAnsi="Times New Roman" w:cs="Times New Roman" w:eastAsia="Times New Roman" w:hint="default"/>
        </w:rPr>
        <w:t>738.5</w:t>
      </w:r>
      <w:r>
        <w:rPr/>
        <w:t>万股，预留</w:t>
      </w:r>
      <w:r>
        <w:rPr>
          <w:rFonts w:ascii="Times New Roman" w:hAnsi="Times New Roman" w:cs="Times New Roman" w:eastAsia="Times New Roman" w:hint="default"/>
        </w:rPr>
        <w:t>61.5</w:t>
      </w:r>
      <w:r>
        <w:rPr/>
        <w:t>万股），首次授予对象</w:t>
      </w:r>
      <w:r>
        <w:rPr>
          <w:spacing w:val="-26"/>
        </w:rPr>
        <w:t> </w:t>
      </w:r>
      <w:r>
        <w:rPr>
          <w:spacing w:val="-26"/>
        </w:rPr>
      </w:r>
      <w:r>
        <w:rPr>
          <w:rFonts w:ascii="Times New Roman" w:hAnsi="Times New Roman" w:cs="Times New Roman" w:eastAsia="Times New Roman" w:hint="default"/>
          <w:spacing w:val="-1"/>
        </w:rPr>
        <w:t>510</w:t>
      </w:r>
      <w:r>
        <w:rPr>
          <w:spacing w:val="-1"/>
        </w:rPr>
        <w:t>人，行权价格为</w:t>
      </w:r>
      <w:r>
        <w:rPr>
          <w:rFonts w:ascii="Times New Roman" w:hAnsi="Times New Roman" w:cs="Times New Roman" w:eastAsia="Times New Roman" w:hint="default"/>
          <w:spacing w:val="-1"/>
        </w:rPr>
        <w:t>25.38</w:t>
      </w:r>
      <w:r>
        <w:rPr>
          <w:spacing w:val="-1"/>
        </w:rPr>
        <w:t>元，自授权日开始经过</w:t>
      </w:r>
      <w:r>
        <w:rPr>
          <w:rFonts w:ascii="Times New Roman" w:hAnsi="Times New Roman" w:cs="Times New Roman" w:eastAsia="Times New Roman" w:hint="default"/>
          <w:spacing w:val="-1"/>
        </w:rPr>
        <w:t>24</w:t>
      </w:r>
      <w:r>
        <w:rPr>
          <w:spacing w:val="-1"/>
        </w:rPr>
        <w:t>个月的等待期，在满足行权条件的前提下，在可行权日</w:t>
      </w:r>
    </w:p>
    <w:p>
      <w:pPr>
        <w:spacing w:after="0" w:line="256"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56" w:lineRule="auto" w:before="36"/>
        <w:ind w:right="1133"/>
        <w:jc w:val="left"/>
      </w:pPr>
      <w:r>
        <w:rPr>
          <w:spacing w:val="-2"/>
        </w:rPr>
        <w:t>按照</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40%</w:t>
      </w:r>
      <w:r>
        <w:rPr>
          <w:spacing w:val="-2"/>
        </w:rPr>
        <w:t>的行权比例分三期行权。详见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日刊登于《中国证券报》、《证券时报》</w:t>
      </w:r>
      <w:r>
        <w:rPr>
          <w:spacing w:val="-12"/>
        </w:rPr>
        <w:t> </w:t>
      </w:r>
      <w:r>
        <w:rPr>
          <w:spacing w:val="-12"/>
        </w:rPr>
      </w:r>
      <w:r>
        <w:rPr/>
        <w:t>以及巨潮资讯网</w:t>
      </w:r>
      <w:hyperlink r:id="rId27">
        <w:r>
          <w:rPr>
            <w:rFonts w:ascii="Times New Roman" w:hAnsi="Times New Roman" w:cs="Times New Roman" w:eastAsia="Times New Roman" w:hint="default"/>
          </w:rPr>
          <w:t>www.cninfo.com.cn</w:t>
        </w:r>
        <w:r>
          <w:rPr/>
          <w:t>的相关公告。</w:t>
        </w:r>
      </w:hyperlink>
    </w:p>
    <w:p>
      <w:pPr>
        <w:pStyle w:val="BodyText"/>
        <w:spacing w:line="256" w:lineRule="auto" w:before="5"/>
        <w:ind w:right="1022" w:firstLine="420"/>
        <w:jc w:val="both"/>
      </w:pPr>
      <w:r>
        <w:rPr>
          <w:rFonts w:ascii="Times New Roman" w:hAnsi="Times New Roman" w:cs="Times New Roman" w:eastAsia="Times New Roman" w:hint="default"/>
        </w:rPr>
        <w:t>4</w:t>
      </w:r>
      <w:r>
        <w:rPr/>
        <w:t>、根据股东大会授权及激励对象因离职或个人原因放弃本次授予的股票期权，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日，公</w:t>
      </w:r>
      <w:r>
        <w:rPr>
          <w:w w:val="100"/>
        </w:rPr>
        <w:t> </w:t>
      </w:r>
      <w:r>
        <w:rPr>
          <w:spacing w:val="-2"/>
        </w:rPr>
        <w:t>司召开第五届董事会</w:t>
      </w:r>
      <w:r>
        <w:rPr>
          <w:rFonts w:ascii="Times New Roman" w:hAnsi="Times New Roman" w:cs="Times New Roman" w:eastAsia="Times New Roman" w:hint="default"/>
          <w:spacing w:val="-2"/>
        </w:rPr>
        <w:t>2016</w:t>
      </w:r>
      <w:r>
        <w:rPr>
          <w:spacing w:val="-2"/>
        </w:rPr>
        <w:t>年第十四次临时会议审议通过《关于调整</w:t>
      </w:r>
      <w:r>
        <w:rPr>
          <w:rFonts w:ascii="Times New Roman" w:hAnsi="Times New Roman" w:cs="Times New Roman" w:eastAsia="Times New Roman" w:hint="default"/>
          <w:spacing w:val="-2"/>
        </w:rPr>
        <w:t>2016</w:t>
      </w:r>
      <w:r>
        <w:rPr>
          <w:spacing w:val="-2"/>
        </w:rPr>
        <w:t>年股票期权激励计划授予对象及授</w:t>
      </w:r>
      <w:r>
        <w:rPr>
          <w:spacing w:val="-36"/>
        </w:rPr>
        <w:t> </w:t>
      </w:r>
      <w:r>
        <w:rPr>
          <w:spacing w:val="-36"/>
        </w:rPr>
      </w:r>
      <w:r>
        <w:rPr>
          <w:spacing w:val="-2"/>
        </w:rPr>
        <w:t>予数量的议案》及《关于公司</w:t>
      </w:r>
      <w:r>
        <w:rPr>
          <w:rFonts w:ascii="Times New Roman" w:hAnsi="Times New Roman" w:cs="Times New Roman" w:eastAsia="Times New Roman" w:hint="default"/>
          <w:spacing w:val="-2"/>
        </w:rPr>
        <w:t>2016</w:t>
      </w:r>
      <w:r>
        <w:rPr>
          <w:spacing w:val="-2"/>
        </w:rPr>
        <w:t>年股票期权激励计划首次授予事项的议案》，确定以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日作</w:t>
      </w:r>
      <w:r>
        <w:rPr>
          <w:spacing w:val="-32"/>
        </w:rPr>
        <w:t> </w:t>
      </w:r>
      <w:r>
        <w:rPr>
          <w:spacing w:val="-4"/>
        </w:rPr>
        <w:t>为股票期权激励计划的首次授予日，将首次授予激励对象由</w:t>
      </w:r>
      <w:r>
        <w:rPr>
          <w:rFonts w:ascii="Times New Roman" w:hAnsi="Times New Roman" w:cs="Times New Roman" w:eastAsia="Times New Roman" w:hint="default"/>
          <w:spacing w:val="-4"/>
        </w:rPr>
        <w:t>510</w:t>
      </w:r>
      <w:r>
        <w:rPr>
          <w:spacing w:val="-4"/>
        </w:rPr>
        <w:t>名调整为</w:t>
      </w:r>
      <w:r>
        <w:rPr>
          <w:rFonts w:ascii="Times New Roman" w:hAnsi="Times New Roman" w:cs="Times New Roman" w:eastAsia="Times New Roman" w:hint="default"/>
          <w:spacing w:val="-4"/>
        </w:rPr>
        <w:t>506</w:t>
      </w:r>
      <w:r>
        <w:rPr>
          <w:spacing w:val="-4"/>
        </w:rPr>
        <w:t>名，授予的股票期权数量由</w:t>
      </w:r>
      <w:r>
        <w:rPr>
          <w:rFonts w:ascii="Times New Roman" w:hAnsi="Times New Roman" w:cs="Times New Roman" w:eastAsia="Times New Roman" w:hint="default"/>
          <w:spacing w:val="-4"/>
        </w:rPr>
        <w:t>800</w:t>
      </w:r>
      <w:r>
        <w:rPr>
          <w:rFonts w:ascii="Times New Roman" w:hAnsi="Times New Roman" w:cs="Times New Roman" w:eastAsia="Times New Roman" w:hint="default"/>
          <w:spacing w:val="15"/>
        </w:rPr>
        <w:t> </w:t>
      </w:r>
      <w:r>
        <w:rPr>
          <w:spacing w:val="-3"/>
        </w:rPr>
        <w:t>万份（首次授予</w:t>
      </w:r>
      <w:r>
        <w:rPr>
          <w:rFonts w:ascii="Times New Roman" w:hAnsi="Times New Roman" w:cs="Times New Roman" w:eastAsia="Times New Roman" w:hint="default"/>
          <w:spacing w:val="-3"/>
        </w:rPr>
        <w:t>738.5</w:t>
      </w:r>
      <w:r>
        <w:rPr>
          <w:spacing w:val="-3"/>
        </w:rPr>
        <w:t>万份，预留</w:t>
      </w:r>
      <w:r>
        <w:rPr>
          <w:rFonts w:ascii="Times New Roman" w:hAnsi="Times New Roman" w:cs="Times New Roman" w:eastAsia="Times New Roman" w:hint="default"/>
          <w:spacing w:val="-3"/>
        </w:rPr>
        <w:t>61.5</w:t>
      </w:r>
      <w:r>
        <w:rPr>
          <w:spacing w:val="-3"/>
        </w:rPr>
        <w:t>万份）调整为</w:t>
      </w:r>
      <w:r>
        <w:rPr>
          <w:rFonts w:ascii="Times New Roman" w:hAnsi="Times New Roman" w:cs="Times New Roman" w:eastAsia="Times New Roman" w:hint="default"/>
          <w:spacing w:val="-3"/>
        </w:rPr>
        <w:t>797.28</w:t>
      </w:r>
      <w:r>
        <w:rPr>
          <w:spacing w:val="-3"/>
        </w:rPr>
        <w:t>万份（首次授予</w:t>
      </w:r>
      <w:r>
        <w:rPr>
          <w:rFonts w:ascii="Times New Roman" w:hAnsi="Times New Roman" w:cs="Times New Roman" w:eastAsia="Times New Roman" w:hint="default"/>
          <w:spacing w:val="-3"/>
        </w:rPr>
        <w:t>735.78</w:t>
      </w:r>
      <w:r>
        <w:rPr>
          <w:spacing w:val="-3"/>
        </w:rPr>
        <w:t>万份，预留</w:t>
      </w:r>
      <w:r>
        <w:rPr>
          <w:rFonts w:ascii="Times New Roman" w:hAnsi="Times New Roman" w:cs="Times New Roman" w:eastAsia="Times New Roman" w:hint="default"/>
          <w:spacing w:val="-3"/>
        </w:rPr>
        <w:t>61.5</w:t>
      </w:r>
      <w:r>
        <w:rPr>
          <w:spacing w:val="-3"/>
        </w:rPr>
        <w:t>万份）。详</w:t>
      </w:r>
      <w:r>
        <w:rPr>
          <w:spacing w:val="-20"/>
        </w:rPr>
        <w:t> </w:t>
      </w:r>
      <w:r>
        <w:rPr>
          <w:spacing w:val="-20"/>
        </w:rPr>
      </w:r>
      <w:r>
        <w:rPr>
          <w:spacing w:val="-2"/>
        </w:rPr>
        <w:t>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20</w:t>
      </w:r>
      <w:r>
        <w:rPr>
          <w:spacing w:val="-2"/>
        </w:rPr>
        <w:t>日刊登于《中国证券报》、《证券时报》以及巨潮资讯网</w:t>
      </w:r>
      <w:hyperlink r:id="rId13">
        <w:r>
          <w:rPr>
            <w:rFonts w:ascii="Times New Roman" w:hAnsi="Times New Roman" w:cs="Times New Roman" w:eastAsia="Times New Roman" w:hint="default"/>
            <w:spacing w:val="-2"/>
          </w:rPr>
          <w:t>www.cninfo.com.cn</w:t>
        </w:r>
      </w:hyperlink>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spacing w:val="-2"/>
        </w:rPr>
        <w:t>的相关公告。</w:t>
      </w:r>
    </w:p>
    <w:p>
      <w:pPr>
        <w:pStyle w:val="BodyText"/>
        <w:spacing w:line="256" w:lineRule="auto" w:before="5"/>
        <w:ind w:right="0" w:firstLine="420"/>
        <w:jc w:val="left"/>
      </w:pPr>
      <w:r>
        <w:rPr>
          <w:rFonts w:ascii="Times New Roman" w:hAnsi="Times New Roman" w:cs="Times New Roman" w:eastAsia="Times New Roman" w:hint="default"/>
        </w:rPr>
        <w:t>5</w:t>
      </w:r>
      <w:r>
        <w:rPr/>
        <w:t>、根据股东大会授权董事会办理公司股票期权激励计划的相关事宜，且经深圳证券交易所及中国证</w:t>
      </w:r>
      <w:r>
        <w:rPr>
          <w:w w:val="100"/>
        </w:rPr>
        <w:t> </w:t>
      </w:r>
      <w:r>
        <w:rPr>
          <w:spacing w:val="-2"/>
        </w:rPr>
        <w:t>券登记结算有限责任公司深圳分公司审核确认，公司于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日完成股票期权首次授予的登记工作，</w:t>
      </w:r>
      <w:r>
        <w:rPr>
          <w:spacing w:val="-38"/>
        </w:rPr>
        <w:t> </w:t>
      </w:r>
      <w:r>
        <w:rPr>
          <w:spacing w:val="-38"/>
        </w:rPr>
      </w:r>
      <w:r>
        <w:rPr/>
        <w:t>期权简称：石基</w:t>
      </w:r>
      <w:r>
        <w:rPr>
          <w:rFonts w:ascii="Times New Roman" w:hAnsi="Times New Roman" w:cs="Times New Roman" w:eastAsia="Times New Roman" w:hint="default"/>
        </w:rPr>
        <w:t>JLC2</w:t>
      </w:r>
      <w:r>
        <w:rPr/>
        <w:t>；期权代码：</w:t>
      </w:r>
      <w:r>
        <w:rPr>
          <w:rFonts w:ascii="Times New Roman" w:hAnsi="Times New Roman" w:cs="Times New Roman" w:eastAsia="Times New Roman" w:hint="default"/>
        </w:rPr>
        <w:t>037724</w:t>
      </w:r>
      <w:r>
        <w:rPr/>
        <w:t>。首次授予</w:t>
      </w:r>
      <w:r>
        <w:rPr>
          <w:rFonts w:ascii="Times New Roman" w:hAnsi="Times New Roman" w:cs="Times New Roman" w:eastAsia="Times New Roman" w:hint="default"/>
        </w:rPr>
        <w:t>506</w:t>
      </w:r>
      <w:r>
        <w:rPr/>
        <w:t>名激励对象</w:t>
      </w:r>
      <w:r>
        <w:rPr>
          <w:rFonts w:ascii="Times New Roman" w:hAnsi="Times New Roman" w:cs="Times New Roman" w:eastAsia="Times New Roman" w:hint="default"/>
        </w:rPr>
        <w:t>735.78</w:t>
      </w:r>
      <w:r>
        <w:rPr/>
        <w:t>万股股票期权，授予价格</w:t>
      </w:r>
      <w:r>
        <w:rPr>
          <w:rFonts w:ascii="Times New Roman" w:hAnsi="Times New Roman" w:cs="Times New Roman" w:eastAsia="Times New Roman" w:hint="default"/>
        </w:rPr>
        <w:t>25.38</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元，期权有效期</w:t>
      </w:r>
      <w:r>
        <w:rPr>
          <w:rFonts w:ascii="Times New Roman" w:hAnsi="Times New Roman" w:cs="Times New Roman" w:eastAsia="Times New Roman" w:hint="default"/>
        </w:rPr>
        <w:t>60</w:t>
      </w:r>
      <w:r>
        <w:rPr/>
        <w:t>个月，等待期</w:t>
      </w:r>
      <w:r>
        <w:rPr>
          <w:rFonts w:ascii="Times New Roman" w:hAnsi="Times New Roman" w:cs="Times New Roman" w:eastAsia="Times New Roman" w:hint="default"/>
        </w:rPr>
        <w:t>24</w:t>
      </w:r>
      <w:r>
        <w:rPr/>
        <w:t>个月，分三期行权。详见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日刊登于《中国证券报》、《证</w:t>
      </w:r>
      <w:r>
        <w:rPr>
          <w:spacing w:val="-27"/>
        </w:rPr>
        <w:t> </w:t>
      </w:r>
      <w:r>
        <w:rPr>
          <w:spacing w:val="-27"/>
        </w:rPr>
      </w:r>
      <w:r>
        <w:rPr>
          <w:spacing w:val="-2"/>
        </w:rPr>
        <w:t>券时报》以及巨潮资讯网</w:t>
      </w:r>
      <w:hyperlink r:id="rId28">
        <w:r>
          <w:rPr>
            <w:rFonts w:ascii="Times New Roman" w:hAnsi="Times New Roman" w:cs="Times New Roman" w:eastAsia="Times New Roman" w:hint="default"/>
            <w:spacing w:val="-2"/>
          </w:rPr>
          <w:t>www.cninfo.com.cn</w:t>
        </w:r>
        <w:r>
          <w:rPr>
            <w:spacing w:val="-2"/>
          </w:rPr>
          <w:t>的《关</w:t>
        </w:r>
      </w:hyperlink>
      <w:r>
        <w:rPr>
          <w:spacing w:val="-2"/>
        </w:rPr>
        <w:t>于</w:t>
      </w:r>
      <w:r>
        <w:rPr>
          <w:rFonts w:ascii="Times New Roman" w:hAnsi="Times New Roman" w:cs="Times New Roman" w:eastAsia="Times New Roman" w:hint="default"/>
          <w:spacing w:val="-2"/>
        </w:rPr>
        <w:t>2016</w:t>
      </w:r>
      <w:r>
        <w:rPr>
          <w:spacing w:val="-2"/>
        </w:rPr>
        <w:t>年股票期权激励计划首次授予登记完成的公告》</w:t>
      </w:r>
    </w:p>
    <w:p>
      <w:pPr>
        <w:pStyle w:val="BodyText"/>
        <w:spacing w:line="240" w:lineRule="auto" w:before="5"/>
        <w:ind w:right="1133"/>
        <w:jc w:val="left"/>
      </w:pPr>
      <w:r>
        <w:rPr/>
        <w:t>（</w:t>
      </w:r>
      <w:r>
        <w:rPr>
          <w:rFonts w:ascii="Times New Roman" w:hAnsi="Times New Roman" w:cs="Times New Roman" w:eastAsia="Times New Roman" w:hint="default"/>
        </w:rPr>
        <w:t>2016-71</w:t>
      </w:r>
      <w:r>
        <w:rPr/>
        <w:t>）。</w:t>
      </w:r>
    </w:p>
    <w:p>
      <w:pPr>
        <w:pStyle w:val="BodyText"/>
        <w:spacing w:line="256" w:lineRule="auto" w:before="21"/>
        <w:ind w:right="1126" w:firstLine="420"/>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日，鉴于公司</w:t>
      </w:r>
      <w:r>
        <w:rPr>
          <w:rFonts w:ascii="Times New Roman" w:hAnsi="Times New Roman" w:cs="Times New Roman" w:eastAsia="Times New Roman" w:hint="default"/>
        </w:rPr>
        <w:t>2016</w:t>
      </w:r>
      <w:r>
        <w:rPr/>
        <w:t>年度利润分配方案已实施完毕，根据公司《</w:t>
      </w:r>
      <w:r>
        <w:rPr>
          <w:rFonts w:ascii="Times New Roman" w:hAnsi="Times New Roman" w:cs="Times New Roman" w:eastAsia="Times New Roman" w:hint="default"/>
        </w:rPr>
        <w:t>2016</w:t>
      </w:r>
      <w:r>
        <w:rPr/>
        <w:t>年股票期权激励计</w:t>
      </w:r>
      <w:r>
        <w:rPr>
          <w:w w:val="100"/>
        </w:rPr>
        <w:t> </w:t>
      </w:r>
      <w:r>
        <w:rPr/>
        <w:t>划</w:t>
      </w:r>
      <w:r>
        <w:rPr>
          <w:spacing w:val="65"/>
        </w:rPr>
        <w:t> </w:t>
      </w:r>
      <w:r>
        <w:rPr/>
        <w:t>（草案修订稿）》的相关规定及</w:t>
      </w:r>
      <w:r>
        <w:rPr>
          <w:rFonts w:ascii="Times New Roman" w:hAnsi="Times New Roman" w:cs="Times New Roman" w:eastAsia="Times New Roman" w:hint="default"/>
        </w:rPr>
        <w:t>2016</w:t>
      </w:r>
      <w:r>
        <w:rPr/>
        <w:t>年第三次临时股东大会的授权，公司召开第六届董事会</w:t>
      </w:r>
      <w:r>
        <w:rPr>
          <w:rFonts w:ascii="Times New Roman" w:hAnsi="Times New Roman" w:cs="Times New Roman" w:eastAsia="Times New Roman" w:hint="default"/>
        </w:rPr>
        <w:t>2017</w:t>
      </w:r>
      <w:r>
        <w:rPr/>
        <w:t>年第</w:t>
      </w:r>
      <w:r>
        <w:rPr>
          <w:spacing w:val="-91"/>
        </w:rPr>
        <w:t> </w:t>
      </w:r>
      <w:r>
        <w:rPr>
          <w:spacing w:val="-2"/>
        </w:rPr>
        <w:t>六次临时会议审议通过《关于调整公司</w:t>
      </w:r>
      <w:r>
        <w:rPr>
          <w:rFonts w:ascii="Times New Roman" w:hAnsi="Times New Roman" w:cs="Times New Roman" w:eastAsia="Times New Roman" w:hint="default"/>
          <w:spacing w:val="-2"/>
        </w:rPr>
        <w:t>2016</w:t>
      </w:r>
      <w:r>
        <w:rPr>
          <w:spacing w:val="-2"/>
        </w:rPr>
        <w:t>年股票期权激励计划首次授予期权行权价格的议案》，同意公</w:t>
      </w:r>
      <w:r>
        <w:rPr>
          <w:spacing w:val="-40"/>
        </w:rPr>
        <w:t> </w:t>
      </w:r>
      <w:r>
        <w:rPr>
          <w:spacing w:val="-40"/>
        </w:rPr>
      </w:r>
      <w:r>
        <w:rPr>
          <w:spacing w:val="-1"/>
        </w:rPr>
        <w:t>司董事会对公司</w:t>
      </w:r>
      <w:r>
        <w:rPr>
          <w:rFonts w:ascii="Times New Roman" w:hAnsi="Times New Roman" w:cs="Times New Roman" w:eastAsia="Times New Roman" w:hint="default"/>
          <w:spacing w:val="-1"/>
        </w:rPr>
        <w:t>2016</w:t>
      </w:r>
      <w:r>
        <w:rPr>
          <w:spacing w:val="-1"/>
        </w:rPr>
        <w:t>年股票期权激励计划首次授予期权的行权价格由原行权价格</w:t>
      </w:r>
      <w:r>
        <w:rPr>
          <w:rFonts w:ascii="Times New Roman" w:hAnsi="Times New Roman" w:cs="Times New Roman" w:eastAsia="Times New Roman" w:hint="default"/>
          <w:spacing w:val="-1"/>
        </w:rPr>
        <w:t>25.38</w:t>
      </w:r>
      <w:r>
        <w:rPr>
          <w:spacing w:val="-1"/>
        </w:rPr>
        <w:t>元</w:t>
      </w:r>
      <w:r>
        <w:rPr>
          <w:rFonts w:ascii="Times New Roman" w:hAnsi="Times New Roman" w:cs="Times New Roman" w:eastAsia="Times New Roman" w:hint="default"/>
          <w:spacing w:val="-1"/>
        </w:rPr>
        <w:t>/</w:t>
      </w:r>
      <w:r>
        <w:rPr>
          <w:spacing w:val="-1"/>
        </w:rPr>
        <w:t>股调整为</w:t>
      </w:r>
      <w:r>
        <w:rPr>
          <w:rFonts w:ascii="Times New Roman" w:hAnsi="Times New Roman" w:cs="Times New Roman" w:eastAsia="Times New Roman" w:hint="default"/>
          <w:spacing w:val="-1"/>
        </w:rPr>
        <w:t>25.34</w:t>
      </w:r>
      <w:r>
        <w:rPr>
          <w:spacing w:val="-1"/>
        </w:rPr>
        <w:t>元</w:t>
      </w:r>
    </w:p>
    <w:p>
      <w:pPr>
        <w:pStyle w:val="BodyText"/>
        <w:spacing w:line="256" w:lineRule="auto" w:before="5"/>
        <w:ind w:right="1080"/>
        <w:jc w:val="right"/>
        <w:rPr>
          <w:rFonts w:ascii="Times New Roman" w:hAnsi="Times New Roman" w:cs="Times New Roman" w:eastAsia="Times New Roman" w:hint="default"/>
        </w:rPr>
      </w:pPr>
      <w:r>
        <w:rPr>
          <w:rFonts w:ascii="Times New Roman" w:hAnsi="Times New Roman" w:cs="Times New Roman" w:eastAsia="Times New Roman" w:hint="default"/>
          <w:spacing w:val="-1"/>
        </w:rPr>
        <w:t>/</w:t>
      </w:r>
      <w:r>
        <w:rPr>
          <w:spacing w:val="-1"/>
        </w:rPr>
        <w:t>股（行权价格保留两位小数）。详见</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11</w:t>
      </w:r>
      <w:r>
        <w:rPr>
          <w:spacing w:val="-1"/>
        </w:rPr>
        <w:t>日刊登于《中国证券报》、《证券时报》及巨潮资讯网</w:t>
      </w:r>
      <w:r>
        <w:rPr>
          <w:spacing w:val="-98"/>
        </w:rPr>
        <w:t> </w:t>
      </w:r>
      <w:r>
        <w:rPr>
          <w:spacing w:val="-98"/>
        </w:rPr>
      </w:r>
      <w:hyperlink r:id="rId28">
        <w:r>
          <w:rPr>
            <w:rFonts w:ascii="Times New Roman" w:hAnsi="Times New Roman" w:cs="Times New Roman" w:eastAsia="Times New Roman" w:hint="default"/>
            <w:color w:val="3E3E3E"/>
            <w:spacing w:val="-6"/>
            <w:w w:val="100"/>
          </w:rPr>
          <w:t>www.cninfo.com.cn</w:t>
        </w:r>
        <w:r>
          <w:rPr>
            <w:spacing w:val="-6"/>
            <w:w w:val="100"/>
          </w:rPr>
          <w:t>的</w:t>
        </w:r>
      </w:hyperlink>
      <w:r>
        <w:rPr>
          <w:spacing w:val="-6"/>
          <w:w w:val="100"/>
        </w:rPr>
        <w:t>《关于调整公司</w:t>
      </w:r>
      <w:r>
        <w:rPr>
          <w:rFonts w:ascii="Times New Roman" w:hAnsi="Times New Roman" w:cs="Times New Roman" w:eastAsia="Times New Roman" w:hint="default"/>
          <w:spacing w:val="-6"/>
          <w:w w:val="100"/>
        </w:rPr>
        <w:t>2016</w:t>
      </w:r>
      <w:r>
        <w:rPr>
          <w:spacing w:val="-6"/>
          <w:w w:val="100"/>
        </w:rPr>
        <w:t>年股票期权激励计划首次授予期权行权价格的公告》（</w:t>
      </w:r>
      <w:r>
        <w:rPr>
          <w:rFonts w:ascii="Times New Roman" w:hAnsi="Times New Roman" w:cs="Times New Roman" w:eastAsia="Times New Roman" w:hint="default"/>
          <w:spacing w:val="-6"/>
          <w:w w:val="100"/>
        </w:rPr>
        <w:t>2017-36</w:t>
      </w:r>
      <w:r>
        <w:rPr>
          <w:spacing w:val="-6"/>
          <w:w w:val="100"/>
        </w:rPr>
        <w:t>）。</w:t>
      </w:r>
      <w:r>
        <w:rPr>
          <w:spacing w:val="-58"/>
          <w:w w:val="100"/>
        </w:rPr>
        <w:t> </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日，公司召开第六届董事会</w:t>
      </w:r>
      <w:r>
        <w:rPr>
          <w:rFonts w:ascii="Times New Roman" w:hAnsi="Times New Roman" w:cs="Times New Roman" w:eastAsia="Times New Roman" w:hint="default"/>
        </w:rPr>
        <w:t>2017</w:t>
      </w:r>
      <w:r>
        <w:rPr/>
        <w:t>年第七次临时会议审议通过《关于调整</w:t>
      </w:r>
      <w:r>
        <w:rPr>
          <w:rFonts w:ascii="Times New Roman" w:hAnsi="Times New Roman" w:cs="Times New Roman" w:eastAsia="Times New Roman" w:hint="default"/>
        </w:rPr>
        <w:t>2016</w:t>
      </w:r>
      <w:r>
        <w:rPr/>
        <w:t>年股票期</w:t>
      </w:r>
      <w:r>
        <w:rPr>
          <w:w w:val="100"/>
        </w:rPr>
        <w:t> </w:t>
      </w:r>
      <w:r>
        <w:rPr>
          <w:spacing w:val="-2"/>
        </w:rPr>
        <w:t>权激励计划首次授予对象、授予数量及注销部分期权的议案》及《关于公司</w:t>
      </w:r>
      <w:r>
        <w:rPr>
          <w:rFonts w:ascii="Times New Roman" w:hAnsi="Times New Roman" w:cs="Times New Roman" w:eastAsia="Times New Roman" w:hint="default"/>
          <w:spacing w:val="-2"/>
        </w:rPr>
        <w:t>2016</w:t>
      </w:r>
      <w:r>
        <w:rPr>
          <w:spacing w:val="-2"/>
        </w:rPr>
        <w:t>年股票期权激励计划预留</w:t>
      </w:r>
      <w:r>
        <w:rPr>
          <w:w w:val="100"/>
        </w:rPr>
        <w:t> </w:t>
      </w:r>
      <w:r>
        <w:rPr>
          <w:spacing w:val="-2"/>
        </w:rPr>
        <w:t>股票期权授予相关事项的议案》，将公司股权激励计划首次授予的激励对象人数由</w:t>
      </w:r>
      <w:r>
        <w:rPr>
          <w:rFonts w:ascii="Times New Roman" w:hAnsi="Times New Roman" w:cs="Times New Roman" w:eastAsia="Times New Roman" w:hint="default"/>
          <w:spacing w:val="-2"/>
        </w:rPr>
        <w:t>506</w:t>
      </w:r>
      <w:r>
        <w:rPr>
          <w:spacing w:val="-2"/>
        </w:rPr>
        <w:t>名调整为</w:t>
      </w:r>
      <w:r>
        <w:rPr>
          <w:rFonts w:ascii="Times New Roman" w:hAnsi="Times New Roman" w:cs="Times New Roman" w:eastAsia="Times New Roman" w:hint="default"/>
          <w:spacing w:val="-2"/>
        </w:rPr>
        <w:t>494</w:t>
      </w:r>
      <w:r>
        <w:rPr>
          <w:spacing w:val="-2"/>
        </w:rPr>
        <w:t>名，授</w:t>
      </w:r>
      <w:r>
        <w:rPr>
          <w:w w:val="100"/>
        </w:rPr>
        <w:t> </w:t>
      </w:r>
      <w:r>
        <w:rPr>
          <w:spacing w:val="-2"/>
        </w:rPr>
        <w:t>予的股票期权数量由</w:t>
      </w:r>
      <w:r>
        <w:rPr>
          <w:rFonts w:ascii="Times New Roman" w:hAnsi="Times New Roman" w:cs="Times New Roman" w:eastAsia="Times New Roman" w:hint="default"/>
          <w:spacing w:val="-2"/>
        </w:rPr>
        <w:t>797.28</w:t>
      </w:r>
      <w:r>
        <w:rPr>
          <w:spacing w:val="-2"/>
        </w:rPr>
        <w:t>万股（其中首次授予</w:t>
      </w:r>
      <w:r>
        <w:rPr>
          <w:rFonts w:ascii="Times New Roman" w:hAnsi="Times New Roman" w:cs="Times New Roman" w:eastAsia="Times New Roman" w:hint="default"/>
          <w:spacing w:val="-2"/>
        </w:rPr>
        <w:t>735.78</w:t>
      </w:r>
      <w:r>
        <w:rPr>
          <w:spacing w:val="-2"/>
        </w:rPr>
        <w:t>万股，预留</w:t>
      </w:r>
      <w:r>
        <w:rPr>
          <w:rFonts w:ascii="Times New Roman" w:hAnsi="Times New Roman" w:cs="Times New Roman" w:eastAsia="Times New Roman" w:hint="default"/>
          <w:spacing w:val="-2"/>
        </w:rPr>
        <w:t>61.5</w:t>
      </w:r>
      <w:r>
        <w:rPr>
          <w:spacing w:val="-2"/>
        </w:rPr>
        <w:t>万股）调整为</w:t>
      </w:r>
      <w:r>
        <w:rPr>
          <w:rFonts w:ascii="Times New Roman" w:hAnsi="Times New Roman" w:cs="Times New Roman" w:eastAsia="Times New Roman" w:hint="default"/>
          <w:spacing w:val="-2"/>
        </w:rPr>
        <w:t>786.23</w:t>
      </w:r>
      <w:r>
        <w:rPr>
          <w:spacing w:val="-2"/>
        </w:rPr>
        <w:t>万股（其中首次</w:t>
      </w:r>
      <w:r>
        <w:rPr>
          <w:w w:val="100"/>
        </w:rPr>
        <w:t> </w:t>
      </w:r>
      <w:r>
        <w:rPr>
          <w:spacing w:val="-3"/>
        </w:rPr>
        <w:t>授予</w:t>
      </w:r>
      <w:r>
        <w:rPr>
          <w:rFonts w:ascii="Times New Roman" w:hAnsi="Times New Roman" w:cs="Times New Roman" w:eastAsia="Times New Roman" w:hint="default"/>
          <w:spacing w:val="-3"/>
        </w:rPr>
        <w:t>724.73</w:t>
      </w:r>
      <w:r>
        <w:rPr>
          <w:spacing w:val="-3"/>
        </w:rPr>
        <w:t>万股，预留</w:t>
      </w:r>
      <w:r>
        <w:rPr>
          <w:rFonts w:ascii="Times New Roman" w:hAnsi="Times New Roman" w:cs="Times New Roman" w:eastAsia="Times New Roman" w:hint="default"/>
          <w:spacing w:val="-3"/>
        </w:rPr>
        <w:t>61.5</w:t>
      </w:r>
      <w:r>
        <w:rPr>
          <w:spacing w:val="-3"/>
        </w:rPr>
        <w:t>万股），同时同意向</w:t>
      </w:r>
      <w:r>
        <w:rPr>
          <w:rFonts w:ascii="Times New Roman" w:hAnsi="Times New Roman" w:cs="Times New Roman" w:eastAsia="Times New Roman" w:hint="default"/>
          <w:spacing w:val="-3"/>
        </w:rPr>
        <w:t>32</w:t>
      </w:r>
      <w:r>
        <w:rPr>
          <w:spacing w:val="-3"/>
        </w:rPr>
        <w:t>名股权激励对象授予预留的</w:t>
      </w:r>
      <w:r>
        <w:rPr>
          <w:rFonts w:ascii="Times New Roman" w:hAnsi="Times New Roman" w:cs="Times New Roman" w:eastAsia="Times New Roman" w:hint="default"/>
          <w:spacing w:val="-3"/>
        </w:rPr>
        <w:t>61.5</w:t>
      </w:r>
      <w:r>
        <w:rPr>
          <w:spacing w:val="-3"/>
        </w:rPr>
        <w:t>万股股票期权。详见</w:t>
      </w:r>
      <w:r>
        <w:rPr>
          <w:rFonts w:ascii="Times New Roman" w:hAnsi="Times New Roman" w:cs="Times New Roman" w:eastAsia="Times New Roman" w:hint="default"/>
          <w:spacing w:val="-3"/>
        </w:rPr>
        <w:t>2017</w:t>
      </w:r>
    </w:p>
    <w:p>
      <w:pPr>
        <w:pStyle w:val="BodyText"/>
        <w:spacing w:line="240" w:lineRule="auto" w:before="5"/>
        <w:ind w:right="1133"/>
        <w:jc w:val="left"/>
      </w:pP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日刊登于《中国证券报》、《证券时报》及巨潮资讯网</w:t>
      </w:r>
      <w:hyperlink r:id="rId27">
        <w:r>
          <w:rPr>
            <w:rFonts w:ascii="Times New Roman" w:hAnsi="Times New Roman" w:cs="Times New Roman" w:eastAsia="Times New Roman" w:hint="default"/>
            <w:color w:val="3E3E3E"/>
          </w:rPr>
          <w:t>www.cninfo.com.cn</w:t>
        </w:r>
        <w:r>
          <w:rPr/>
          <w:t>的相关公告。</w:t>
        </w:r>
      </w:hyperlink>
    </w:p>
    <w:p>
      <w:pPr>
        <w:pStyle w:val="BodyText"/>
        <w:spacing w:line="256" w:lineRule="auto" w:before="21"/>
        <w:ind w:right="1023" w:firstLine="420"/>
        <w:jc w:val="left"/>
      </w:pPr>
      <w:r>
        <w:rPr>
          <w:rFonts w:ascii="Times New Roman" w:hAnsi="Times New Roman" w:cs="Times New Roman" w:eastAsia="Times New Roman" w:hint="default"/>
        </w:rPr>
        <w:t>8</w:t>
      </w:r>
      <w:r>
        <w:rPr/>
        <w:t>、经深圳证券交易所及中国证券登记结算有限责任公司深圳分公司审核确认，公司于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w:t>
      </w:r>
      <w:r>
        <w:rPr>
          <w:w w:val="100"/>
        </w:rPr>
        <w:t> </w:t>
      </w:r>
      <w:r>
        <w:rPr>
          <w:spacing w:val="-3"/>
        </w:rPr>
        <w:t>完成</w:t>
      </w:r>
      <w:r>
        <w:rPr>
          <w:rFonts w:ascii="Times New Roman" w:hAnsi="Times New Roman" w:cs="Times New Roman" w:eastAsia="Times New Roman" w:hint="default"/>
          <w:spacing w:val="-3"/>
        </w:rPr>
        <w:t>2016</w:t>
      </w:r>
      <w:r>
        <w:rPr>
          <w:spacing w:val="-3"/>
        </w:rPr>
        <w:t>年股票期权激励计划预留股份授予登记工作，期权简称：石基</w:t>
      </w:r>
      <w:r>
        <w:rPr>
          <w:rFonts w:ascii="Times New Roman" w:hAnsi="Times New Roman" w:cs="Times New Roman" w:eastAsia="Times New Roman" w:hint="default"/>
          <w:spacing w:val="-3"/>
        </w:rPr>
        <w:t>JLC3</w:t>
      </w:r>
      <w:r>
        <w:rPr>
          <w:spacing w:val="-3"/>
        </w:rPr>
        <w:t>；期权代码：</w:t>
      </w:r>
      <w:r>
        <w:rPr>
          <w:rFonts w:ascii="Times New Roman" w:hAnsi="Times New Roman" w:cs="Times New Roman" w:eastAsia="Times New Roman" w:hint="default"/>
          <w:spacing w:val="-3"/>
        </w:rPr>
        <w:t>037747</w:t>
      </w:r>
      <w:r>
        <w:rPr>
          <w:spacing w:val="-3"/>
        </w:rPr>
        <w:t>。预留授</w:t>
      </w:r>
      <w:r>
        <w:rPr>
          <w:spacing w:val="-16"/>
        </w:rPr>
        <w:t> </w:t>
      </w:r>
      <w:r>
        <w:rPr>
          <w:spacing w:val="-16"/>
        </w:rPr>
      </w:r>
      <w:r>
        <w:rPr>
          <w:spacing w:val="-5"/>
        </w:rPr>
        <w:t>予</w:t>
      </w:r>
      <w:r>
        <w:rPr>
          <w:rFonts w:ascii="Times New Roman" w:hAnsi="Times New Roman" w:cs="Times New Roman" w:eastAsia="Times New Roman" w:hint="default"/>
          <w:spacing w:val="-5"/>
        </w:rPr>
        <w:t>32</w:t>
      </w:r>
      <w:r>
        <w:rPr>
          <w:spacing w:val="-5"/>
        </w:rPr>
        <w:t>名激励对象</w:t>
      </w:r>
      <w:r>
        <w:rPr>
          <w:rFonts w:ascii="Times New Roman" w:hAnsi="Times New Roman" w:cs="Times New Roman" w:eastAsia="Times New Roman" w:hint="default"/>
          <w:spacing w:val="-5"/>
        </w:rPr>
        <w:t>61.5</w:t>
      </w:r>
      <w:r>
        <w:rPr>
          <w:spacing w:val="-5"/>
        </w:rPr>
        <w:t>万股股票期权，授予价格</w:t>
      </w:r>
      <w:r>
        <w:rPr>
          <w:rFonts w:ascii="Times New Roman" w:hAnsi="Times New Roman" w:cs="Times New Roman" w:eastAsia="Times New Roman" w:hint="default"/>
          <w:spacing w:val="-5"/>
        </w:rPr>
        <w:t>25.34</w:t>
      </w:r>
      <w:r>
        <w:rPr>
          <w:spacing w:val="-5"/>
        </w:rPr>
        <w:t>元</w:t>
      </w:r>
      <w:r>
        <w:rPr>
          <w:rFonts w:ascii="Times New Roman" w:hAnsi="Times New Roman" w:cs="Times New Roman" w:eastAsia="Times New Roman" w:hint="default"/>
          <w:spacing w:val="-5"/>
        </w:rPr>
        <w:t>/</w:t>
      </w:r>
      <w:r>
        <w:rPr>
          <w:spacing w:val="-5"/>
        </w:rPr>
        <w:t>股，期权有效期</w:t>
      </w:r>
      <w:r>
        <w:rPr>
          <w:rFonts w:ascii="Times New Roman" w:hAnsi="Times New Roman" w:cs="Times New Roman" w:eastAsia="Times New Roman" w:hint="default"/>
          <w:spacing w:val="-5"/>
        </w:rPr>
        <w:t>48</w:t>
      </w:r>
      <w:r>
        <w:rPr>
          <w:spacing w:val="-5"/>
        </w:rPr>
        <w:t>个月，等待期</w:t>
      </w:r>
      <w:r>
        <w:rPr>
          <w:rFonts w:ascii="Times New Roman" w:hAnsi="Times New Roman" w:cs="Times New Roman" w:eastAsia="Times New Roman" w:hint="default"/>
          <w:spacing w:val="-5"/>
        </w:rPr>
        <w:t>24</w:t>
      </w:r>
      <w:r>
        <w:rPr>
          <w:spacing w:val="-5"/>
        </w:rPr>
        <w:t>个月，分两期行权。</w:t>
      </w:r>
      <w:r>
        <w:rPr>
          <w:spacing w:val="-22"/>
        </w:rPr>
        <w:t> </w:t>
      </w:r>
      <w:r>
        <w:rPr>
          <w:spacing w:val="-22"/>
        </w:rPr>
      </w:r>
      <w:r>
        <w:rPr/>
        <w:t>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日刊登于《中国证券报》、《证券时报》及巨潮资讯网</w:t>
      </w:r>
      <w:hyperlink r:id="rId28">
        <w:r>
          <w:rPr>
            <w:rFonts w:ascii="Times New Roman" w:hAnsi="Times New Roman" w:cs="Times New Roman" w:eastAsia="Times New Roman" w:hint="default"/>
            <w:color w:val="3E3E3E"/>
          </w:rPr>
          <w:t>www.cninfo.com.cn</w:t>
        </w:r>
        <w:r>
          <w:rPr/>
          <w:t>的《</w:t>
        </w:r>
      </w:hyperlink>
      <w:r>
        <w:rPr/>
        <w:t>关于</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年股票期权激励计划预留股票期权授予登记完成的公告》（</w:t>
      </w:r>
      <w:r>
        <w:rPr>
          <w:rFonts w:ascii="Times New Roman" w:hAnsi="Times New Roman" w:cs="Times New Roman" w:eastAsia="Times New Roman" w:hint="default"/>
        </w:rPr>
        <w:t>2017-47</w:t>
      </w:r>
      <w:r>
        <w:rPr/>
        <w:t>）。</w:t>
      </w:r>
    </w:p>
    <w:p>
      <w:pPr>
        <w:pStyle w:val="BodyText"/>
        <w:spacing w:line="256" w:lineRule="auto" w:before="5"/>
        <w:ind w:right="1126" w:firstLine="420"/>
        <w:jc w:val="both"/>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日，鉴于公司</w:t>
      </w:r>
      <w:r>
        <w:rPr>
          <w:rFonts w:ascii="Times New Roman" w:hAnsi="Times New Roman" w:cs="Times New Roman" w:eastAsia="Times New Roman" w:hint="default"/>
        </w:rPr>
        <w:t>2016</w:t>
      </w:r>
      <w:r>
        <w:rPr/>
        <w:t>年度利润分配方案已实施完毕，根据公司《</w:t>
      </w:r>
      <w:r>
        <w:rPr>
          <w:rFonts w:ascii="Times New Roman" w:hAnsi="Times New Roman" w:cs="Times New Roman" w:eastAsia="Times New Roman" w:hint="default"/>
        </w:rPr>
        <w:t>2016</w:t>
      </w:r>
      <w:r>
        <w:rPr/>
        <w:t>年股票期权激励计</w:t>
      </w:r>
      <w:r>
        <w:rPr>
          <w:w w:val="100"/>
        </w:rPr>
        <w:t> </w:t>
      </w:r>
      <w:r>
        <w:rPr/>
        <w:t>划</w:t>
      </w:r>
      <w:r>
        <w:rPr>
          <w:spacing w:val="65"/>
        </w:rPr>
        <w:t> </w:t>
      </w:r>
      <w:r>
        <w:rPr/>
        <w:t>（草案修订稿）》的相关规定及</w:t>
      </w:r>
      <w:r>
        <w:rPr>
          <w:rFonts w:ascii="Times New Roman" w:hAnsi="Times New Roman" w:cs="Times New Roman" w:eastAsia="Times New Roman" w:hint="default"/>
        </w:rPr>
        <w:t>2016</w:t>
      </w:r>
      <w:r>
        <w:rPr/>
        <w:t>年第三次临时股东大会的授权，公司召开第六届董事会</w:t>
      </w:r>
      <w:r>
        <w:rPr>
          <w:rFonts w:ascii="Times New Roman" w:hAnsi="Times New Roman" w:cs="Times New Roman" w:eastAsia="Times New Roman" w:hint="default"/>
        </w:rPr>
        <w:t>2018</w:t>
      </w:r>
      <w:r>
        <w:rPr/>
        <w:t>年第</w:t>
      </w:r>
      <w:r>
        <w:rPr>
          <w:spacing w:val="-91"/>
        </w:rPr>
        <w:t> </w:t>
      </w:r>
      <w:r>
        <w:rPr>
          <w:spacing w:val="-2"/>
        </w:rPr>
        <w:t>四次临时会议审议通过《关于调整公司</w:t>
      </w:r>
      <w:r>
        <w:rPr>
          <w:rFonts w:ascii="Times New Roman" w:hAnsi="Times New Roman" w:cs="Times New Roman" w:eastAsia="Times New Roman" w:hint="default"/>
          <w:spacing w:val="-2"/>
        </w:rPr>
        <w:t>2016</w:t>
      </w:r>
      <w:r>
        <w:rPr>
          <w:spacing w:val="-2"/>
        </w:rPr>
        <w:t>年股票期权激励计划授予期权行权价格的议案》，同意公司董</w:t>
      </w:r>
      <w:r>
        <w:rPr>
          <w:spacing w:val="-41"/>
        </w:rPr>
        <w:t> </w:t>
      </w:r>
      <w:r>
        <w:rPr>
          <w:spacing w:val="-41"/>
        </w:rPr>
      </w:r>
      <w:r>
        <w:rPr/>
        <w:t>事会对公司</w:t>
      </w:r>
      <w:r>
        <w:rPr>
          <w:rFonts w:ascii="Times New Roman" w:hAnsi="Times New Roman" w:cs="Times New Roman" w:eastAsia="Times New Roman" w:hint="default"/>
        </w:rPr>
        <w:t>2016</w:t>
      </w:r>
      <w:r>
        <w:rPr/>
        <w:t>年股票期权激励计划首次授予期权的行权价格由原行权价格</w:t>
      </w:r>
      <w:r>
        <w:rPr>
          <w:rFonts w:ascii="Times New Roman" w:hAnsi="Times New Roman" w:cs="Times New Roman" w:eastAsia="Times New Roman" w:hint="default"/>
        </w:rPr>
        <w:t>25.34</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25.24</w:t>
      </w:r>
      <w:r>
        <w:rPr/>
        <w:t>元</w:t>
      </w:r>
      <w:r>
        <w:rPr>
          <w:rFonts w:ascii="Times New Roman" w:hAnsi="Times New Roman" w:cs="Times New Roman" w:eastAsia="Times New Roman" w:hint="default"/>
        </w:rPr>
        <w:t>/</w:t>
      </w:r>
      <w:r>
        <w:rPr/>
        <w:t>股</w:t>
      </w:r>
    </w:p>
    <w:p>
      <w:pPr>
        <w:pStyle w:val="BodyText"/>
        <w:spacing w:line="256" w:lineRule="auto" w:before="5"/>
        <w:ind w:right="1135"/>
        <w:jc w:val="left"/>
      </w:pPr>
      <w:r>
        <w:rPr>
          <w:spacing w:val="5"/>
        </w:rPr>
        <w:t>（行权价格保留两位小数）。详见</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6</w:t>
      </w:r>
      <w:r>
        <w:rPr>
          <w:spacing w:val="5"/>
        </w:rPr>
        <w:t>日刊登于《中国证券报》、《证券时报》及巨潮资讯网</w:t>
      </w:r>
      <w:r>
        <w:rPr>
          <w:spacing w:val="25"/>
        </w:rPr>
        <w:t> </w:t>
      </w:r>
      <w:r>
        <w:rPr>
          <w:spacing w:val="25"/>
        </w:rPr>
      </w:r>
      <w:hyperlink r:id="rId28">
        <w:r>
          <w:rPr>
            <w:rFonts w:ascii="Times New Roman" w:hAnsi="Times New Roman" w:cs="Times New Roman" w:eastAsia="Times New Roman" w:hint="default"/>
            <w:color w:val="3E3E3E"/>
          </w:rPr>
          <w:t>www.cninfo.com.cn</w:t>
        </w:r>
        <w:r>
          <w:rPr/>
          <w:t>的《关</w:t>
        </w:r>
      </w:hyperlink>
      <w:r>
        <w:rPr/>
        <w:t>于调整公司</w:t>
      </w:r>
      <w:r>
        <w:rPr>
          <w:rFonts w:ascii="Times New Roman" w:hAnsi="Times New Roman" w:cs="Times New Roman" w:eastAsia="Times New Roman" w:hint="default"/>
        </w:rPr>
        <w:t>2016</w:t>
      </w:r>
      <w:r>
        <w:rPr/>
        <w:t>年股票期权激励计划授予期权行权价格的公告》（</w:t>
      </w:r>
      <w:r>
        <w:rPr>
          <w:rFonts w:ascii="Times New Roman" w:hAnsi="Times New Roman" w:cs="Times New Roman" w:eastAsia="Times New Roman" w:hint="default"/>
        </w:rPr>
        <w:t>2018-33</w:t>
      </w:r>
      <w:r>
        <w:rPr/>
        <w:t>）。</w:t>
      </w:r>
    </w:p>
    <w:p>
      <w:pPr>
        <w:pStyle w:val="BodyText"/>
        <w:spacing w:line="261" w:lineRule="auto" w:before="5"/>
        <w:ind w:right="1126" w:firstLine="420"/>
        <w:jc w:val="both"/>
      </w:pP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日，公司召开第六届董事会</w:t>
      </w:r>
      <w:r>
        <w:rPr>
          <w:rFonts w:ascii="Times New Roman" w:hAnsi="Times New Roman" w:cs="Times New Roman" w:eastAsia="Times New Roman" w:hint="default"/>
          <w:spacing w:val="-2"/>
        </w:rPr>
        <w:t>2018</w:t>
      </w:r>
      <w:r>
        <w:rPr>
          <w:spacing w:val="-2"/>
        </w:rPr>
        <w:t>年第六次临时会议审议通过《关于调整</w:t>
      </w:r>
      <w:r>
        <w:rPr>
          <w:rFonts w:ascii="Times New Roman" w:hAnsi="Times New Roman" w:cs="Times New Roman" w:eastAsia="Times New Roman" w:hint="default"/>
          <w:spacing w:val="-2"/>
        </w:rPr>
        <w:t>2016</w:t>
      </w:r>
      <w:r>
        <w:rPr>
          <w:spacing w:val="-2"/>
        </w:rPr>
        <w:t>年股票</w:t>
      </w:r>
      <w:r>
        <w:rPr>
          <w:w w:val="100"/>
        </w:rPr>
        <w:t> </w:t>
      </w:r>
      <w:r>
        <w:rPr>
          <w:spacing w:val="-2"/>
        </w:rPr>
        <w:t>期权激励计划授予对象、授予数量及注销部分期权的议案》，公司股权激励计划首次授予的激励对象人数</w:t>
      </w:r>
      <w:r>
        <w:rPr>
          <w:spacing w:val="-43"/>
        </w:rPr>
        <w:t> </w:t>
      </w:r>
      <w:r>
        <w:rPr>
          <w:spacing w:val="-43"/>
        </w:rPr>
      </w:r>
      <w:r>
        <w:rPr>
          <w:spacing w:val="-5"/>
        </w:rPr>
        <w:t>由</w:t>
      </w:r>
      <w:r>
        <w:rPr>
          <w:rFonts w:ascii="Times New Roman" w:hAnsi="Times New Roman" w:cs="Times New Roman" w:eastAsia="Times New Roman" w:hint="default"/>
          <w:spacing w:val="-5"/>
        </w:rPr>
        <w:t>494</w:t>
      </w:r>
      <w:r>
        <w:rPr>
          <w:spacing w:val="-5"/>
        </w:rPr>
        <w:t>名调整为</w:t>
      </w:r>
      <w:r>
        <w:rPr>
          <w:rFonts w:ascii="Times New Roman" w:hAnsi="Times New Roman" w:cs="Times New Roman" w:eastAsia="Times New Roman" w:hint="default"/>
          <w:spacing w:val="-5"/>
        </w:rPr>
        <w:t>462</w:t>
      </w:r>
      <w:r>
        <w:rPr>
          <w:spacing w:val="-5"/>
        </w:rPr>
        <w:t>名，预留授予的激励对象人数由</w:t>
      </w:r>
      <w:r>
        <w:rPr>
          <w:rFonts w:ascii="Times New Roman" w:hAnsi="Times New Roman" w:cs="Times New Roman" w:eastAsia="Times New Roman" w:hint="default"/>
          <w:spacing w:val="-5"/>
        </w:rPr>
        <w:t>32</w:t>
      </w:r>
      <w:r>
        <w:rPr>
          <w:spacing w:val="-5"/>
        </w:rPr>
        <w:t>名调整为</w:t>
      </w:r>
      <w:r>
        <w:rPr>
          <w:rFonts w:ascii="Times New Roman" w:hAnsi="Times New Roman" w:cs="Times New Roman" w:eastAsia="Times New Roman" w:hint="default"/>
          <w:spacing w:val="-5"/>
        </w:rPr>
        <w:t>29</w:t>
      </w:r>
      <w:r>
        <w:rPr>
          <w:spacing w:val="-5"/>
        </w:rPr>
        <w:t>名，授予的股票期权数量由</w:t>
      </w:r>
      <w:r>
        <w:rPr>
          <w:rFonts w:ascii="Times New Roman" w:hAnsi="Times New Roman" w:cs="Times New Roman" w:eastAsia="Times New Roman" w:hint="default"/>
          <w:spacing w:val="-5"/>
        </w:rPr>
        <w:t>786.23</w:t>
      </w:r>
      <w:r>
        <w:rPr>
          <w:spacing w:val="-5"/>
        </w:rPr>
        <w:t>万股（其</w:t>
      </w:r>
      <w:r>
        <w:rPr>
          <w:spacing w:val="-26"/>
        </w:rPr>
        <w:t> </w:t>
      </w:r>
      <w:r>
        <w:rPr>
          <w:spacing w:val="-26"/>
        </w:rPr>
      </w:r>
      <w:r>
        <w:rPr>
          <w:spacing w:val="-2"/>
        </w:rPr>
        <w:t>中首次授予</w:t>
      </w:r>
      <w:r>
        <w:rPr>
          <w:rFonts w:ascii="Times New Roman" w:hAnsi="Times New Roman" w:cs="Times New Roman" w:eastAsia="Times New Roman" w:hint="default"/>
          <w:spacing w:val="-2"/>
        </w:rPr>
        <w:t>724.73</w:t>
      </w:r>
      <w:r>
        <w:rPr>
          <w:spacing w:val="-2"/>
        </w:rPr>
        <w:t>万股，预留</w:t>
      </w:r>
      <w:r>
        <w:rPr>
          <w:rFonts w:ascii="Times New Roman" w:hAnsi="Times New Roman" w:cs="Times New Roman" w:eastAsia="Times New Roman" w:hint="default"/>
          <w:spacing w:val="-2"/>
        </w:rPr>
        <w:t>61.5</w:t>
      </w:r>
      <w:r>
        <w:rPr>
          <w:spacing w:val="-2"/>
        </w:rPr>
        <w:t>万股）调整为</w:t>
      </w:r>
      <w:r>
        <w:rPr>
          <w:rFonts w:ascii="Times New Roman" w:hAnsi="Times New Roman" w:cs="Times New Roman" w:eastAsia="Times New Roman" w:hint="default"/>
          <w:spacing w:val="-2"/>
        </w:rPr>
        <w:t>752.76</w:t>
      </w:r>
      <w:r>
        <w:rPr>
          <w:spacing w:val="-2"/>
        </w:rPr>
        <w:t>万股（其中首次授予</w:t>
      </w:r>
      <w:r>
        <w:rPr>
          <w:rFonts w:ascii="Times New Roman" w:hAnsi="Times New Roman" w:cs="Times New Roman" w:eastAsia="Times New Roman" w:hint="default"/>
          <w:spacing w:val="-2"/>
        </w:rPr>
        <w:t>693.76</w:t>
      </w:r>
      <w:r>
        <w:rPr>
          <w:spacing w:val="-2"/>
        </w:rPr>
        <w:t>万股，预留</w:t>
      </w:r>
      <w:r>
        <w:rPr>
          <w:rFonts w:ascii="Times New Roman" w:hAnsi="Times New Roman" w:cs="Times New Roman" w:eastAsia="Times New Roman" w:hint="default"/>
          <w:spacing w:val="-2"/>
        </w:rPr>
        <w:t>59</w:t>
      </w:r>
      <w:r>
        <w:rPr>
          <w:spacing w:val="-2"/>
        </w:rPr>
        <w:t>万股），详</w:t>
      </w:r>
      <w:r>
        <w:rPr>
          <w:spacing w:val="-23"/>
        </w:rPr>
        <w:t> </w:t>
      </w:r>
      <w:r>
        <w:rPr>
          <w:spacing w:val="-23"/>
        </w:rPr>
      </w:r>
      <w:r>
        <w:rPr>
          <w:spacing w:val="-6"/>
          <w:w w:val="100"/>
        </w:rPr>
        <w:t>见</w:t>
      </w:r>
      <w:r>
        <w:rPr>
          <w:rFonts w:ascii="Times New Roman" w:hAnsi="Times New Roman" w:cs="Times New Roman" w:eastAsia="Times New Roman" w:hint="default"/>
          <w:spacing w:val="-6"/>
          <w:w w:val="100"/>
        </w:rPr>
        <w:t>2018</w:t>
      </w:r>
      <w:r>
        <w:rPr>
          <w:spacing w:val="-6"/>
          <w:w w:val="100"/>
        </w:rPr>
        <w:t>年</w:t>
      </w:r>
      <w:r>
        <w:rPr>
          <w:rFonts w:ascii="Times New Roman" w:hAnsi="Times New Roman" w:cs="Times New Roman" w:eastAsia="Times New Roman" w:hint="default"/>
          <w:spacing w:val="-6"/>
          <w:w w:val="100"/>
        </w:rPr>
        <w:t>10</w:t>
      </w:r>
      <w:r>
        <w:rPr>
          <w:spacing w:val="-6"/>
          <w:w w:val="100"/>
        </w:rPr>
        <w:t>月</w:t>
      </w:r>
      <w:r>
        <w:rPr>
          <w:rFonts w:ascii="Times New Roman" w:hAnsi="Times New Roman" w:cs="Times New Roman" w:eastAsia="Times New Roman" w:hint="default"/>
          <w:spacing w:val="-6"/>
          <w:w w:val="100"/>
        </w:rPr>
        <w:t>23</w:t>
      </w:r>
      <w:r>
        <w:rPr>
          <w:spacing w:val="-6"/>
          <w:w w:val="100"/>
        </w:rPr>
        <w:t>日刊登于《中国证券报》、《证券时报》及巨潮资讯网</w:t>
      </w:r>
      <w:hyperlink r:id="rId28">
        <w:r>
          <w:rPr>
            <w:rFonts w:ascii="Times New Roman" w:hAnsi="Times New Roman" w:cs="Times New Roman" w:eastAsia="Times New Roman" w:hint="default"/>
            <w:spacing w:val="-6"/>
            <w:w w:val="100"/>
          </w:rPr>
          <w:t>www.cninfo.com.cn</w:t>
        </w:r>
        <w:r>
          <w:rPr>
            <w:spacing w:val="-6"/>
            <w:w w:val="100"/>
          </w:rPr>
          <w:t>的</w:t>
        </w:r>
      </w:hyperlink>
      <w:r>
        <w:rPr>
          <w:spacing w:val="-6"/>
          <w:w w:val="100"/>
        </w:rPr>
        <w:t>《关于调整</w:t>
      </w:r>
      <w:r>
        <w:rPr>
          <w:rFonts w:ascii="Times New Roman" w:hAnsi="Times New Roman" w:cs="Times New Roman" w:eastAsia="Times New Roman" w:hint="default"/>
          <w:spacing w:val="-6"/>
          <w:w w:val="100"/>
        </w:rPr>
        <w:t>2016</w:t>
      </w:r>
      <w:r>
        <w:rPr>
          <w:rFonts w:ascii="Times New Roman" w:hAnsi="Times New Roman" w:cs="Times New Roman" w:eastAsia="Times New Roman" w:hint="default"/>
          <w:spacing w:val="-10"/>
          <w:w w:val="100"/>
        </w:rPr>
        <w:t> </w:t>
      </w:r>
      <w:r>
        <w:rPr>
          <w:rFonts w:ascii="Times New Roman" w:hAnsi="Times New Roman" w:cs="Times New Roman" w:eastAsia="Times New Roman" w:hint="default"/>
          <w:spacing w:val="-10"/>
          <w:w w:val="100"/>
        </w:rPr>
      </w:r>
      <w:r>
        <w:rPr/>
        <w:t>年股票期权激励计划授予对象、授予数量及注销部分期权的公告》（</w:t>
      </w:r>
      <w:r>
        <w:rPr>
          <w:rFonts w:ascii="Times New Roman" w:hAnsi="Times New Roman" w:cs="Times New Roman" w:eastAsia="Times New Roman" w:hint="default"/>
        </w:rPr>
        <w:t>2018-46</w:t>
      </w:r>
      <w:r>
        <w:rPr/>
        <w:t>）。</w:t>
      </w:r>
    </w:p>
    <w:p>
      <w:pPr>
        <w:pStyle w:val="BodyText"/>
        <w:spacing w:line="240" w:lineRule="auto"/>
        <w:ind w:left="573" w:right="0"/>
        <w:jc w:val="left"/>
      </w:pPr>
      <w:r>
        <w:rPr/>
        <w:t>同日，公司召开第六届董事会</w:t>
      </w:r>
      <w:r>
        <w:rPr>
          <w:rFonts w:ascii="Times New Roman" w:hAnsi="Times New Roman" w:cs="Times New Roman" w:eastAsia="Times New Roman" w:hint="default"/>
        </w:rPr>
        <w:t>2018</w:t>
      </w:r>
      <w:r>
        <w:rPr/>
        <w:t>年第六次临时会议审议通过《关于公司</w:t>
      </w:r>
      <w:r>
        <w:rPr>
          <w:rFonts w:ascii="Times New Roman" w:hAnsi="Times New Roman" w:cs="Times New Roman" w:eastAsia="Times New Roman" w:hint="default"/>
        </w:rPr>
        <w:t>2016</w:t>
      </w:r>
      <w:r>
        <w:rPr/>
        <w:t>年股票期权激励计划首</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56" w:lineRule="auto" w:before="36"/>
        <w:ind w:right="1126"/>
        <w:jc w:val="both"/>
      </w:pPr>
      <w:r>
        <w:rPr>
          <w:spacing w:val="-2"/>
        </w:rPr>
        <w:t>次授予股票期权第一个行权期可行权的议案》及《关于公司</w:t>
      </w:r>
      <w:r>
        <w:rPr>
          <w:rFonts w:ascii="Times New Roman" w:hAnsi="Times New Roman" w:cs="Times New Roman" w:eastAsia="Times New Roman" w:hint="default"/>
          <w:spacing w:val="-2"/>
        </w:rPr>
        <w:t>2016</w:t>
      </w:r>
      <w:r>
        <w:rPr>
          <w:spacing w:val="-2"/>
        </w:rPr>
        <w:t>年股票期权激励计划首次授予股票期权采</w:t>
      </w:r>
      <w:r>
        <w:rPr>
          <w:spacing w:val="-39"/>
        </w:rPr>
        <w:t> </w:t>
      </w:r>
      <w:r>
        <w:rPr>
          <w:spacing w:val="-39"/>
        </w:rPr>
      </w:r>
      <w:r>
        <w:rPr>
          <w:spacing w:val="-2"/>
        </w:rPr>
        <w:t>用自主行权模式的议案》，公司首次授予股票期权采用自主行权方式，第一个行权期自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日起</w:t>
      </w:r>
      <w:r>
        <w:rPr>
          <w:spacing w:val="-37"/>
        </w:rPr>
        <w:t> </w:t>
      </w:r>
      <w:r>
        <w:rPr/>
        <w:t>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日止（法定禁止行权期除外），第一期行权涉及激励对象</w:t>
      </w:r>
      <w:r>
        <w:rPr>
          <w:rFonts w:ascii="Times New Roman" w:hAnsi="Times New Roman" w:cs="Times New Roman" w:eastAsia="Times New Roman" w:hint="default"/>
        </w:rPr>
        <w:t>462</w:t>
      </w:r>
      <w:r>
        <w:rPr/>
        <w:t>人（首次授予），可行权期</w:t>
      </w:r>
      <w:r>
        <w:rPr>
          <w:spacing w:val="-30"/>
        </w:rPr>
        <w:t> </w:t>
      </w:r>
      <w:r>
        <w:rPr>
          <w:spacing w:val="-30"/>
        </w:rPr>
      </w:r>
      <w:r>
        <w:rPr/>
        <w:t>权</w:t>
      </w:r>
      <w:r>
        <w:rPr>
          <w:spacing w:val="-77"/>
        </w:rPr>
        <w:t> </w:t>
      </w:r>
      <w:r>
        <w:rPr>
          <w:spacing w:val="11"/>
        </w:rPr>
        <w:t>数量</w:t>
      </w:r>
      <w:r>
        <w:rPr>
          <w:spacing w:val="-76"/>
        </w:rPr>
        <w:t> </w:t>
      </w:r>
      <w:r>
        <w:rPr>
          <w:rFonts w:ascii="Times New Roman" w:hAnsi="Times New Roman" w:cs="Times New Roman" w:eastAsia="Times New Roman" w:hint="default"/>
        </w:rPr>
        <w:t>208.128</w:t>
      </w:r>
      <w:r>
        <w:rPr>
          <w:rFonts w:ascii="Times New Roman" w:hAnsi="Times New Roman" w:cs="Times New Roman" w:eastAsia="Times New Roman" w:hint="default"/>
          <w:spacing w:val="-28"/>
        </w:rPr>
        <w:t> </w:t>
      </w:r>
      <w:r>
        <w:rPr/>
        <w:t>万</w:t>
      </w:r>
      <w:r>
        <w:rPr>
          <w:spacing w:val="-77"/>
        </w:rPr>
        <w:t> </w:t>
      </w:r>
      <w:r>
        <w:rPr>
          <w:spacing w:val="11"/>
        </w:rPr>
        <w:t>份，</w:t>
      </w:r>
      <w:r>
        <w:rPr>
          <w:spacing w:val="-77"/>
        </w:rPr>
        <w:t> </w:t>
      </w:r>
      <w:r>
        <w:rPr>
          <w:spacing w:val="11"/>
        </w:rPr>
        <w:t>详见</w:t>
      </w:r>
      <w:r>
        <w:rPr>
          <w:spacing w:val="-7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4"/>
        </w:rPr>
        <w:t> </w:t>
      </w:r>
      <w:r>
        <w:rPr/>
        <w:t>年</w:t>
      </w:r>
      <w:r>
        <w:rPr>
          <w:spacing w:val="-77"/>
        </w:rPr>
        <w:t> </w:t>
      </w:r>
      <w:r>
        <w:rPr>
          <w:rFonts w:ascii="Times New Roman" w:hAnsi="Times New Roman" w:cs="Times New Roman" w:eastAsia="Times New Roman" w:hint="default"/>
        </w:rPr>
        <w:t>10</w:t>
      </w:r>
      <w:r>
        <w:rPr>
          <w:rFonts w:ascii="Times New Roman" w:hAnsi="Times New Roman" w:cs="Times New Roman" w:eastAsia="Times New Roman" w:hint="default"/>
          <w:spacing w:val="-26"/>
        </w:rPr>
        <w:t> </w:t>
      </w:r>
      <w:r>
        <w:rPr/>
        <w:t>月</w:t>
      </w:r>
      <w:r>
        <w:rPr>
          <w:spacing w:val="-77"/>
        </w:rPr>
        <w:t> </w:t>
      </w:r>
      <w:r>
        <w:rPr>
          <w:rFonts w:ascii="Times New Roman" w:hAnsi="Times New Roman" w:cs="Times New Roman" w:eastAsia="Times New Roman" w:hint="default"/>
        </w:rPr>
        <w:t>23</w:t>
      </w:r>
      <w:r>
        <w:rPr>
          <w:rFonts w:ascii="Times New Roman" w:hAnsi="Times New Roman" w:cs="Times New Roman" w:eastAsia="Times New Roman" w:hint="default"/>
          <w:spacing w:val="-26"/>
        </w:rPr>
        <w:t> </w:t>
      </w:r>
      <w:r>
        <w:rPr>
          <w:spacing w:val="11"/>
        </w:rPr>
        <w:t>日刊</w:t>
      </w:r>
      <w:r>
        <w:rPr>
          <w:spacing w:val="-77"/>
        </w:rPr>
        <w:t> </w:t>
      </w:r>
      <w:r>
        <w:rPr>
          <w:spacing w:val="11"/>
        </w:rPr>
        <w:t>登于</w:t>
      </w:r>
      <w:r>
        <w:rPr>
          <w:spacing w:val="-77"/>
        </w:rPr>
        <w:t> </w:t>
      </w:r>
      <w:r>
        <w:rPr/>
        <w:t>《</w:t>
      </w:r>
      <w:r>
        <w:rPr>
          <w:spacing w:val="-81"/>
        </w:rPr>
        <w:t> </w:t>
      </w:r>
      <w:r>
        <w:rPr/>
        <w:t>中</w:t>
      </w:r>
      <w:r>
        <w:rPr>
          <w:spacing w:val="-77"/>
        </w:rPr>
        <w:t> </w:t>
      </w:r>
      <w:r>
        <w:rPr>
          <w:spacing w:val="11"/>
        </w:rPr>
        <w:t>国证</w:t>
      </w:r>
      <w:r>
        <w:rPr>
          <w:spacing w:val="-77"/>
        </w:rPr>
        <w:t> </w:t>
      </w:r>
      <w:r>
        <w:rPr>
          <w:spacing w:val="11"/>
        </w:rPr>
        <w:t>券报</w:t>
      </w:r>
      <w:r>
        <w:rPr>
          <w:spacing w:val="-77"/>
        </w:rPr>
        <w:t> </w:t>
      </w:r>
      <w:r>
        <w:rPr>
          <w:spacing w:val="11"/>
        </w:rPr>
        <w:t>》、</w:t>
      </w:r>
      <w:r>
        <w:rPr>
          <w:spacing w:val="-77"/>
        </w:rPr>
        <w:t> </w:t>
      </w:r>
      <w:r>
        <w:rPr/>
        <w:t>《</w:t>
      </w:r>
      <w:r>
        <w:rPr>
          <w:spacing w:val="-81"/>
        </w:rPr>
        <w:t> </w:t>
      </w:r>
      <w:r>
        <w:rPr/>
        <w:t>证</w:t>
      </w:r>
      <w:r>
        <w:rPr>
          <w:spacing w:val="-77"/>
        </w:rPr>
        <w:t> </w:t>
      </w:r>
      <w:r>
        <w:rPr>
          <w:spacing w:val="11"/>
        </w:rPr>
        <w:t>券时</w:t>
      </w:r>
      <w:r>
        <w:rPr>
          <w:spacing w:val="-77"/>
        </w:rPr>
        <w:t> </w:t>
      </w:r>
      <w:r>
        <w:rPr>
          <w:spacing w:val="11"/>
        </w:rPr>
        <w:t>报》</w:t>
      </w:r>
      <w:r>
        <w:rPr>
          <w:spacing w:val="-77"/>
        </w:rPr>
        <w:t> </w:t>
      </w:r>
      <w:r>
        <w:rPr>
          <w:spacing w:val="11"/>
        </w:rPr>
        <w:t>及巨</w:t>
      </w:r>
      <w:r>
        <w:rPr>
          <w:spacing w:val="-77"/>
        </w:rPr>
        <w:t> </w:t>
      </w:r>
      <w:r>
        <w:rPr>
          <w:spacing w:val="11"/>
        </w:rPr>
        <w:t>潮资</w:t>
      </w:r>
      <w:r>
        <w:rPr>
          <w:spacing w:val="-77"/>
        </w:rPr>
        <w:t> </w:t>
      </w:r>
      <w:r>
        <w:rPr>
          <w:spacing w:val="11"/>
        </w:rPr>
        <w:t>讯网</w:t>
      </w:r>
      <w:r>
        <w:rPr>
          <w:spacing w:val="-103"/>
        </w:rPr>
        <w:t> </w:t>
      </w:r>
      <w:r>
        <w:rPr>
          <w:spacing w:val="-103"/>
        </w:rPr>
      </w:r>
      <w:hyperlink r:id="rId29">
        <w:r>
          <w:rPr>
            <w:rFonts w:ascii="Times New Roman" w:hAnsi="Times New Roman" w:cs="Times New Roman" w:eastAsia="Times New Roman" w:hint="default"/>
          </w:rPr>
          <w:t>www.cninfo.com.cn</w:t>
        </w:r>
        <w:r>
          <w:rPr/>
          <w:t>的相关公告文件。</w:t>
        </w:r>
      </w:hyperlink>
    </w:p>
    <w:p>
      <w:pPr>
        <w:pStyle w:val="BodyText"/>
        <w:spacing w:line="256" w:lineRule="auto" w:before="5"/>
        <w:ind w:left="573" w:right="1133"/>
        <w:jc w:val="left"/>
      </w:pPr>
      <w:r>
        <w:rPr/>
        <w:t>截止本报告期末，上述激励对象共行权</w:t>
      </w:r>
      <w:r>
        <w:rPr>
          <w:rFonts w:ascii="Times New Roman" w:hAnsi="Times New Roman" w:cs="Times New Roman" w:eastAsia="Times New Roman" w:hint="default"/>
        </w:rPr>
        <w:t>114,600</w:t>
      </w:r>
      <w:r>
        <w:rPr/>
        <w:t>股。</w:t>
      </w:r>
      <w:r>
        <w:rPr>
          <w:spacing w:val="-3"/>
          <w:w w:val="100"/>
        </w:rPr>
        <w:t> </w:t>
      </w:r>
      <w:r>
        <w:rPr>
          <w:spacing w:val="-2"/>
        </w:rPr>
        <w:t>本年以权益结算的股份支付确认的费用总额</w:t>
      </w:r>
      <w:r>
        <w:rPr>
          <w:rFonts w:ascii="Times New Roman" w:hAnsi="Times New Roman" w:cs="Times New Roman" w:eastAsia="Times New Roman" w:hint="default"/>
          <w:spacing w:val="-2"/>
        </w:rPr>
        <w:t>24,798,073.05</w:t>
      </w:r>
      <w:r>
        <w:rPr>
          <w:spacing w:val="-2"/>
        </w:rPr>
        <w:t>元，影响净利润</w:t>
      </w:r>
      <w:r>
        <w:rPr>
          <w:rFonts w:ascii="Times New Roman" w:hAnsi="Times New Roman" w:cs="Times New Roman" w:eastAsia="Times New Roman" w:hint="default"/>
          <w:spacing w:val="-2"/>
        </w:rPr>
        <w:t>24,798,073.05</w:t>
      </w:r>
      <w:r>
        <w:rPr>
          <w:spacing w:val="-2"/>
        </w:rPr>
        <w:t>元。</w:t>
      </w:r>
    </w:p>
    <w:p>
      <w:pPr>
        <w:spacing w:before="66"/>
        <w:ind w:left="152"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240" w:lineRule="auto" w:before="80"/>
        <w:ind w:left="573" w:right="1133"/>
        <w:jc w:val="left"/>
      </w:pPr>
      <w:r>
        <w:rPr/>
        <w:t>核心技术人员的股权激励费用占公司当期股权激励费用的</w:t>
      </w:r>
      <w:r>
        <w:rPr>
          <w:rFonts w:ascii="Times New Roman" w:hAnsi="Times New Roman" w:cs="Times New Roman" w:eastAsia="Times New Roman" w:hint="default"/>
        </w:rPr>
        <w:t>47.38%</w:t>
      </w:r>
      <w:r>
        <w:rPr/>
        <w:t>。</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
          <w:szCs w:val="2"/>
        </w:rPr>
      </w:pPr>
      <w:r>
        <w:rPr/>
        <w:pict>
          <v:shape style="position:absolute;margin-left:71.760002pt;margin-top:150.62001pt;width:700.2pt;height:381.95pt;mso-position-horizontal-relative:page;mso-position-vertical-relative:page;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00"/>
                    <w:gridCol w:w="677"/>
                    <w:gridCol w:w="679"/>
                    <w:gridCol w:w="703"/>
                    <w:gridCol w:w="1111"/>
                    <w:gridCol w:w="850"/>
                    <w:gridCol w:w="852"/>
                    <w:gridCol w:w="991"/>
                    <w:gridCol w:w="708"/>
                    <w:gridCol w:w="711"/>
                    <w:gridCol w:w="991"/>
                    <w:gridCol w:w="852"/>
                    <w:gridCol w:w="991"/>
                    <w:gridCol w:w="3073"/>
                  </w:tblGrid>
                  <w:tr>
                    <w:trPr>
                      <w:trHeight w:val="1340"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4" w:right="33" w:hanging="269"/>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4" w:right="62"/>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4"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1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0" w:right="98" w:hanging="180"/>
                          <w:jc w:val="left"/>
                          <w:rPr>
                            <w:rFonts w:ascii="宋体" w:hAnsi="宋体" w:cs="宋体" w:eastAsia="宋体" w:hint="default"/>
                            <w:sz w:val="18"/>
                            <w:szCs w:val="18"/>
                          </w:rPr>
                        </w:pPr>
                        <w:r>
                          <w:rPr>
                            <w:rFonts w:ascii="宋体" w:hAnsi="宋体" w:cs="宋体" w:eastAsia="宋体" w:hint="default"/>
                            <w:sz w:val="18"/>
                            <w:szCs w:val="18"/>
                          </w:rPr>
                          <w:t>关联交易定 价原则</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7" w:right="62"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9" w:right="60"/>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 w:right="41"/>
                          <w:jc w:val="left"/>
                          <w:rPr>
                            <w:rFonts w:ascii="宋体" w:hAnsi="宋体" w:cs="宋体" w:eastAsia="宋体" w:hint="default"/>
                            <w:sz w:val="18"/>
                            <w:szCs w:val="18"/>
                          </w:rPr>
                        </w:pPr>
                        <w:r>
                          <w:rPr>
                            <w:rFonts w:ascii="宋体" w:hAnsi="宋体" w:cs="宋体" w:eastAsia="宋体" w:hint="default"/>
                            <w:sz w:val="18"/>
                            <w:szCs w:val="18"/>
                          </w:rPr>
                          <w:t>占同类交易 金额的比例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9" w:right="8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8" w:right="41" w:hanging="180"/>
                          <w:jc w:val="left"/>
                          <w:rPr>
                            <w:rFonts w:ascii="宋体" w:hAnsi="宋体" w:cs="宋体" w:eastAsia="宋体" w:hint="default"/>
                            <w:sz w:val="18"/>
                            <w:szCs w:val="18"/>
                          </w:rPr>
                        </w:pPr>
                        <w:r>
                          <w:rPr>
                            <w:rFonts w:ascii="宋体" w:hAnsi="宋体" w:cs="宋体" w:eastAsia="宋体" w:hint="default"/>
                            <w:sz w:val="18"/>
                            <w:szCs w:val="18"/>
                          </w:rPr>
                          <w:t>关联交易结 算方式</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0" w:right="60"/>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5"/>
                          <w:jc w:val="both"/>
                          <w:rPr>
                            <w:rFonts w:ascii="宋体" w:hAnsi="宋体" w:cs="宋体" w:eastAsia="宋体" w:hint="default"/>
                            <w:sz w:val="18"/>
                            <w:szCs w:val="18"/>
                          </w:rPr>
                        </w:pPr>
                        <w:r>
                          <w:rPr>
                            <w:rFonts w:ascii="宋体" w:hAnsi="宋体" w:cs="宋体" w:eastAsia="宋体" w:hint="default"/>
                            <w:sz w:val="18"/>
                            <w:szCs w:val="18"/>
                          </w:rPr>
                          <w:t>青岛海信 智能商用 系统股份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01"/>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3"/>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1" w:right="79"/>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以市场价格 </w:t>
                        </w:r>
                        <w:r>
                          <w:rPr>
                            <w:rFonts w:ascii="宋体" w:hAnsi="宋体" w:cs="宋体" w:eastAsia="宋体" w:hint="default"/>
                            <w:spacing w:val="-5"/>
                            <w:sz w:val="18"/>
                            <w:szCs w:val="18"/>
                          </w:rPr>
                          <w:t>为基础，不偏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离第三方价 格</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1"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类单 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4074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5,974.13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5,974.13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现结</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POS </w:t>
                        </w:r>
                        <w:r>
                          <w:rPr>
                            <w:rFonts w:ascii="宋体" w:hAnsi="宋体" w:cs="宋体" w:eastAsia="宋体" w:hint="default"/>
                            <w:sz w:val="18"/>
                            <w:szCs w:val="18"/>
                          </w:rPr>
                          <w:t>类单 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3550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《关于公司预计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年度日常关联</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交易的公告</w:t>
                        </w:r>
                        <w:r>
                          <w:rPr>
                            <w:rFonts w:ascii="宋体" w:hAnsi="宋体" w:cs="宋体" w:eastAsia="宋体" w:hint="default"/>
                            <w:spacing w:val="-12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宋体" w:hAnsi="宋体" w:cs="宋体" w:eastAsia="宋体" w:hint="default"/>
                            <w:spacing w:val="-29"/>
                            <w:sz w:val="18"/>
                            <w:szCs w:val="18"/>
                          </w:rPr>
                          <w:t>）</w:t>
                        </w:r>
                        <w:r>
                          <w:rPr>
                            <w:rFonts w:ascii="宋体" w:hAnsi="宋体" w:cs="宋体" w:eastAsia="宋体" w:hint="default"/>
                            <w:spacing w:val="-3"/>
                            <w:sz w:val="18"/>
                            <w:szCs w:val="18"/>
                          </w:rPr>
                          <w:t>详</w:t>
                        </w:r>
                        <w:r>
                          <w:rPr>
                            <w:rFonts w:ascii="宋体" w:hAnsi="宋体" w:cs="宋体" w:eastAsia="宋体" w:hint="default"/>
                            <w:sz w:val="18"/>
                            <w:szCs w:val="18"/>
                          </w:rPr>
                          <w:t>见</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00" w:lineRule="auto" w:before="63"/>
                          <w:ind w:left="23" w:right="11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pacing w:val="-16"/>
                            <w:sz w:val="18"/>
                            <w:szCs w:val="18"/>
                          </w:rPr>
                          <w:t>日的《中国证券报》、《证券时报</w:t>
                        </w:r>
                        <w:r>
                          <w:rPr>
                            <w:rFonts w:ascii="宋体" w:hAnsi="宋体" w:cs="宋体" w:eastAsia="宋体" w:hint="default"/>
                            <w:sz w:val="18"/>
                            <w:szCs w:val="18"/>
                          </w:rPr>
                          <w:t> 及巨潮资讯网</w:t>
                        </w:r>
                        <w:r>
                          <w:rPr>
                            <w:rFonts w:ascii="宋体" w:hAnsi="宋体" w:cs="宋体" w:eastAsia="宋体" w:hint="default"/>
                            <w:spacing w:val="-63"/>
                            <w:sz w:val="18"/>
                            <w:szCs w:val="18"/>
                          </w:rPr>
                          <w:t> </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96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45"/>
                          <w:jc w:val="both"/>
                          <w:rPr>
                            <w:rFonts w:ascii="宋体" w:hAnsi="宋体" w:cs="宋体" w:eastAsia="宋体" w:hint="default"/>
                            <w:sz w:val="18"/>
                            <w:szCs w:val="18"/>
                          </w:rPr>
                        </w:pPr>
                        <w:r>
                          <w:rPr>
                            <w:rFonts w:ascii="宋体" w:hAnsi="宋体" w:cs="宋体" w:eastAsia="宋体" w:hint="default"/>
                            <w:sz w:val="18"/>
                            <w:szCs w:val="18"/>
                          </w:rPr>
                          <w:t>青岛海信 智能商用 系统股份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4" w:right="101"/>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103"/>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1"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22"/>
                          <w:jc w:val="left"/>
                          <w:rPr>
                            <w:rFonts w:ascii="宋体" w:hAnsi="宋体" w:cs="宋体" w:eastAsia="宋体" w:hint="default"/>
                            <w:sz w:val="18"/>
                            <w:szCs w:val="18"/>
                          </w:rPr>
                        </w:pPr>
                        <w:r>
                          <w:rPr>
                            <w:rFonts w:ascii="宋体" w:hAnsi="宋体" w:cs="宋体" w:eastAsia="宋体" w:hint="default"/>
                            <w:sz w:val="18"/>
                            <w:szCs w:val="18"/>
                          </w:rPr>
                          <w:t>以市场价格 </w:t>
                        </w:r>
                        <w:r>
                          <w:rPr>
                            <w:rFonts w:ascii="宋体" w:hAnsi="宋体" w:cs="宋体" w:eastAsia="宋体" w:hint="default"/>
                            <w:spacing w:val="-5"/>
                            <w:sz w:val="18"/>
                            <w:szCs w:val="18"/>
                          </w:rPr>
                          <w:t>为基础，不偏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离第三方价 格</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扫描设备</w:t>
                        </w:r>
                      </w:p>
                      <w:p>
                        <w:pPr>
                          <w:pStyle w:val="TableParagraph"/>
                          <w:spacing w:line="309" w:lineRule="auto" w:before="76"/>
                          <w:ind w:left="21" w:right="50"/>
                          <w:jc w:val="left"/>
                          <w:rPr>
                            <w:rFonts w:ascii="宋体" w:hAnsi="宋体" w:cs="宋体" w:eastAsia="宋体" w:hint="default"/>
                            <w:sz w:val="18"/>
                            <w:szCs w:val="18"/>
                          </w:rPr>
                        </w:pPr>
                        <w:r>
                          <w:rPr>
                            <w:rFonts w:ascii="宋体" w:hAnsi="宋体" w:cs="宋体" w:eastAsia="宋体" w:hint="default"/>
                            <w:sz w:val="18"/>
                            <w:szCs w:val="18"/>
                          </w:rPr>
                          <w:t>（单价 </w:t>
                        </w:r>
                        <w:r>
                          <w:rPr>
                            <w:rFonts w:ascii="Times New Roman" w:hAnsi="Times New Roman" w:cs="Times New Roman" w:eastAsia="Times New Roman" w:hint="default"/>
                            <w:spacing w:val="-1"/>
                            <w:sz w:val="18"/>
                            <w:szCs w:val="18"/>
                          </w:rPr>
                          <w:t>546</w:t>
                        </w:r>
                        <w:r>
                          <w:rPr>
                            <w:rFonts w:ascii="Times New Roman" w:hAnsi="Times New Roman" w:cs="Times New Roman" w:eastAsia="Times New Roman" w:hint="default"/>
                            <w:spacing w:val="4"/>
                            <w:sz w:val="18"/>
                            <w:szCs w:val="18"/>
                          </w:rPr>
                          <w:t> </w:t>
                        </w:r>
                        <w:r>
                          <w:rPr>
                            <w:rFonts w:ascii="宋体" w:hAnsi="宋体" w:cs="宋体" w:eastAsia="宋体" w:hint="default"/>
                            <w:spacing w:val="-31"/>
                            <w:sz w:val="18"/>
                            <w:szCs w:val="18"/>
                          </w:rPr>
                          <w:t>元），</w:t>
                        </w:r>
                        <w:r>
                          <w:rPr>
                            <w:rFonts w:ascii="宋体" w:hAnsi="宋体" w:cs="宋体" w:eastAsia="宋体" w:hint="default"/>
                            <w:sz w:val="18"/>
                            <w:szCs w:val="18"/>
                          </w:rPr>
                          <w:t> 打印机类</w:t>
                        </w:r>
                      </w:p>
                      <w:p>
                        <w:pPr>
                          <w:pStyle w:val="TableParagraph"/>
                          <w:spacing w:line="240" w:lineRule="auto" w:before="24"/>
                          <w:ind w:left="21" w:right="0"/>
                          <w:jc w:val="left"/>
                          <w:rPr>
                            <w:rFonts w:ascii="宋体" w:hAnsi="宋体" w:cs="宋体" w:eastAsia="宋体" w:hint="default"/>
                            <w:sz w:val="18"/>
                            <w:szCs w:val="18"/>
                          </w:rPr>
                        </w:pPr>
                        <w:r>
                          <w:rPr>
                            <w:rFonts w:ascii="宋体" w:hAnsi="宋体" w:cs="宋体" w:eastAsia="宋体" w:hint="default"/>
                            <w:sz w:val="18"/>
                            <w:szCs w:val="18"/>
                          </w:rPr>
                          <w:t>（单价</w:t>
                        </w:r>
                      </w:p>
                      <w:p>
                        <w:pPr>
                          <w:pStyle w:val="TableParagraph"/>
                          <w:spacing w:line="240" w:lineRule="auto" w:before="7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573.37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573.37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天账期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扫描设备</w:t>
                        </w:r>
                      </w:p>
                      <w:p>
                        <w:pPr>
                          <w:pStyle w:val="TableParagraph"/>
                          <w:spacing w:line="309" w:lineRule="auto" w:before="76"/>
                          <w:ind w:left="24" w:right="50"/>
                          <w:jc w:val="left"/>
                          <w:rPr>
                            <w:rFonts w:ascii="宋体" w:hAnsi="宋体" w:cs="宋体" w:eastAsia="宋体" w:hint="default"/>
                            <w:sz w:val="18"/>
                            <w:szCs w:val="18"/>
                          </w:rPr>
                        </w:pPr>
                        <w:r>
                          <w:rPr>
                            <w:rFonts w:ascii="宋体" w:hAnsi="宋体" w:cs="宋体" w:eastAsia="宋体" w:hint="default"/>
                            <w:sz w:val="18"/>
                            <w:szCs w:val="18"/>
                          </w:rPr>
                          <w:t>（单价 </w:t>
                        </w:r>
                        <w:r>
                          <w:rPr>
                            <w:rFonts w:ascii="Times New Roman" w:hAnsi="Times New Roman" w:cs="Times New Roman" w:eastAsia="Times New Roman" w:hint="default"/>
                            <w:spacing w:val="-1"/>
                            <w:sz w:val="18"/>
                            <w:szCs w:val="18"/>
                          </w:rPr>
                          <w:t>386</w:t>
                        </w:r>
                        <w:r>
                          <w:rPr>
                            <w:rFonts w:ascii="Times New Roman" w:hAnsi="Times New Roman" w:cs="Times New Roman" w:eastAsia="Times New Roman" w:hint="default"/>
                            <w:spacing w:val="3"/>
                            <w:sz w:val="18"/>
                            <w:szCs w:val="18"/>
                          </w:rPr>
                          <w:t> </w:t>
                        </w:r>
                        <w:r>
                          <w:rPr>
                            <w:rFonts w:ascii="宋体" w:hAnsi="宋体" w:cs="宋体" w:eastAsia="宋体" w:hint="default"/>
                            <w:spacing w:val="-31"/>
                            <w:sz w:val="18"/>
                            <w:szCs w:val="18"/>
                          </w:rPr>
                          <w:t>元），</w:t>
                        </w:r>
                        <w:r>
                          <w:rPr>
                            <w:rFonts w:ascii="宋体" w:hAnsi="宋体" w:cs="宋体" w:eastAsia="宋体" w:hint="default"/>
                            <w:sz w:val="18"/>
                            <w:szCs w:val="18"/>
                          </w:rPr>
                          <w:t> 打印机类</w:t>
                        </w:r>
                      </w:p>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sz w:val="18"/>
                            <w:szCs w:val="18"/>
                          </w:rPr>
                          <w:t>（单价</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 </w:t>
                        </w:r>
                        <w:r>
                          <w:rPr>
                            <w:rFonts w:ascii="宋体" w:hAnsi="宋体" w:cs="宋体" w:eastAsia="宋体" w:hint="default"/>
                            <w:sz w:val="18"/>
                            <w:szCs w:val="18"/>
                          </w:rPr>
                          <w:t>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《关于公司预计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年度日常关联</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交易的公告</w:t>
                        </w:r>
                        <w:r>
                          <w:rPr>
                            <w:rFonts w:ascii="宋体" w:hAnsi="宋体" w:cs="宋体" w:eastAsia="宋体" w:hint="default"/>
                            <w:spacing w:val="-12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宋体" w:hAnsi="宋体" w:cs="宋体" w:eastAsia="宋体" w:hint="default"/>
                            <w:spacing w:val="-29"/>
                            <w:sz w:val="18"/>
                            <w:szCs w:val="18"/>
                          </w:rPr>
                          <w:t>）</w:t>
                        </w:r>
                        <w:r>
                          <w:rPr>
                            <w:rFonts w:ascii="宋体" w:hAnsi="宋体" w:cs="宋体" w:eastAsia="宋体" w:hint="default"/>
                            <w:spacing w:val="-3"/>
                            <w:sz w:val="18"/>
                            <w:szCs w:val="18"/>
                          </w:rPr>
                          <w:t>详</w:t>
                        </w:r>
                        <w:r>
                          <w:rPr>
                            <w:rFonts w:ascii="宋体" w:hAnsi="宋体" w:cs="宋体" w:eastAsia="宋体" w:hint="default"/>
                            <w:sz w:val="18"/>
                            <w:szCs w:val="18"/>
                          </w:rPr>
                          <w:t>见</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00" w:lineRule="auto" w:before="63"/>
                          <w:ind w:left="23" w:right="11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pacing w:val="-16"/>
                            <w:sz w:val="18"/>
                            <w:szCs w:val="18"/>
                          </w:rPr>
                          <w:t>日的《中国证券报》、《证券时报</w:t>
                        </w:r>
                        <w:r>
                          <w:rPr>
                            <w:rFonts w:ascii="宋体" w:hAnsi="宋体" w:cs="宋体" w:eastAsia="宋体" w:hint="default"/>
                            <w:sz w:val="18"/>
                            <w:szCs w:val="18"/>
                          </w:rPr>
                          <w:t> 及巨潮资讯网</w:t>
                        </w:r>
                        <w:r>
                          <w:rPr>
                            <w:rFonts w:ascii="宋体" w:hAnsi="宋体" w:cs="宋体" w:eastAsia="宋体" w:hint="default"/>
                            <w:spacing w:val="-63"/>
                            <w:sz w:val="18"/>
                            <w:szCs w:val="18"/>
                          </w:rPr>
                          <w:t> </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64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45"/>
                          <w:jc w:val="both"/>
                          <w:rPr>
                            <w:rFonts w:ascii="宋体" w:hAnsi="宋体" w:cs="宋体" w:eastAsia="宋体" w:hint="default"/>
                            <w:sz w:val="18"/>
                            <w:szCs w:val="18"/>
                          </w:rPr>
                        </w:pPr>
                        <w:r>
                          <w:rPr>
                            <w:rFonts w:ascii="宋体" w:hAnsi="宋体" w:cs="宋体" w:eastAsia="宋体" w:hint="default"/>
                            <w:sz w:val="18"/>
                            <w:szCs w:val="18"/>
                          </w:rPr>
                          <w:t>淘宝（中 国）软件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其他持 股在 </w:t>
                        </w:r>
                        <w:r>
                          <w:rPr>
                            <w:rFonts w:ascii="Times New Roman" w:hAnsi="Times New Roman" w:cs="Times New Roman" w:eastAsia="Times New Roman" w:hint="default"/>
                            <w:sz w:val="18"/>
                            <w:szCs w:val="18"/>
                          </w:rPr>
                          <w:t>10%</w:t>
                        </w:r>
                        <w:r>
                          <w:rPr>
                            <w:rFonts w:ascii="宋体" w:hAnsi="宋体" w:cs="宋体" w:eastAsia="宋体" w:hint="default"/>
                            <w:sz w:val="18"/>
                            <w:szCs w:val="18"/>
                          </w:rPr>
                          <w:t>以</w:t>
                        </w: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上的法 人股东</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131"/>
                          <w:jc w:val="both"/>
                          <w:rPr>
                            <w:rFonts w:ascii="宋体" w:hAnsi="宋体" w:cs="宋体" w:eastAsia="宋体" w:hint="default"/>
                            <w:sz w:val="18"/>
                            <w:szCs w:val="18"/>
                          </w:rPr>
                        </w:pPr>
                        <w:r>
                          <w:rPr>
                            <w:rFonts w:ascii="宋体" w:hAnsi="宋体" w:cs="宋体" w:eastAsia="宋体" w:hint="default"/>
                            <w:sz w:val="18"/>
                            <w:szCs w:val="18"/>
                          </w:rPr>
                          <w:t>酒店订 单传输 等服务</w:t>
                        </w:r>
                      </w:p>
                    </w:tc>
                    <w:tc>
                      <w:tcPr>
                        <w:tcW w:w="111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1"/>
                          <w:jc w:val="both"/>
                          <w:rPr>
                            <w:rFonts w:ascii="宋体" w:hAnsi="宋体" w:cs="宋体" w:eastAsia="宋体" w:hint="default"/>
                            <w:sz w:val="18"/>
                            <w:szCs w:val="18"/>
                          </w:rPr>
                        </w:pPr>
                        <w:r>
                          <w:rPr>
                            <w:rFonts w:ascii="宋体" w:hAnsi="宋体" w:cs="宋体" w:eastAsia="宋体" w:hint="default"/>
                            <w:spacing w:val="30"/>
                            <w:sz w:val="18"/>
                            <w:szCs w:val="18"/>
                          </w:rPr>
                          <w:t>以市场价格</w:t>
                        </w:r>
                        <w:r>
                          <w:rPr>
                            <w:rFonts w:ascii="宋体" w:hAnsi="宋体" w:cs="宋体" w:eastAsia="宋体" w:hint="default"/>
                            <w:spacing w:val="-52"/>
                            <w:sz w:val="18"/>
                            <w:szCs w:val="18"/>
                          </w:rPr>
                          <w:t> </w:t>
                        </w:r>
                        <w:r>
                          <w:rPr>
                            <w:rFonts w:ascii="宋体" w:hAnsi="宋体" w:cs="宋体" w:eastAsia="宋体" w:hint="default"/>
                            <w:spacing w:val="-5"/>
                            <w:sz w:val="18"/>
                            <w:szCs w:val="18"/>
                          </w:rPr>
                          <w:t>为基础，不偏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0"/>
                            <w:sz w:val="18"/>
                            <w:szCs w:val="18"/>
                          </w:rPr>
                          <w:t>离第三方价</w:t>
                        </w:r>
                        <w:r>
                          <w:rPr>
                            <w:rFonts w:ascii="宋体" w:hAnsi="宋体" w:cs="宋体" w:eastAsia="宋体" w:hint="default"/>
                            <w:spacing w:val="-52"/>
                            <w:sz w:val="18"/>
                            <w:szCs w:val="18"/>
                          </w:rPr>
                          <w:t> </w:t>
                        </w:r>
                        <w:r>
                          <w:rPr>
                            <w:rFonts w:ascii="宋体" w:hAnsi="宋体" w:cs="宋体" w:eastAsia="宋体" w:hint="default"/>
                            <w:sz w:val="18"/>
                            <w:szCs w:val="18"/>
                          </w:rPr>
                          <w:t>格</w:t>
                        </w:r>
                      </w:p>
                    </w:tc>
                    <w:tc>
                      <w:tcPr>
                        <w:tcW w:w="85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1,053.15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34.69%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0"/>
                          <w:jc w:val="right"/>
                          <w:rPr>
                            <w:rFonts w:ascii="Times New Roman" w:hAnsi="Times New Roman" w:cs="Times New Roman" w:eastAsia="Times New Roman" w:hint="default"/>
                            <w:sz w:val="18"/>
                            <w:szCs w:val="18"/>
                          </w:rPr>
                        </w:pPr>
                        <w:r>
                          <w:rPr>
                            <w:rFonts w:ascii="Times New Roman"/>
                            <w:w w:val="95"/>
                            <w:sz w:val="18"/>
                          </w:rPr>
                          <w:t>1,053.15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网银结算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359.67 </w:t>
                        </w:r>
                        <w:r>
                          <w:rPr>
                            <w:rFonts w:ascii="宋体" w:hAnsi="宋体" w:cs="宋体" w:eastAsia="宋体" w:hint="default"/>
                            <w:sz w:val="18"/>
                            <w:szCs w:val="18"/>
                          </w:rPr>
                          <w:t>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《关于公司预计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年度日常关联</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交易的公告</w:t>
                        </w:r>
                        <w:r>
                          <w:rPr>
                            <w:rFonts w:ascii="宋体" w:hAnsi="宋体" w:cs="宋体" w:eastAsia="宋体" w:hint="default"/>
                            <w:spacing w:val="-12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宋体" w:hAnsi="宋体" w:cs="宋体" w:eastAsia="宋体" w:hint="default"/>
                            <w:spacing w:val="-29"/>
                            <w:sz w:val="18"/>
                            <w:szCs w:val="18"/>
                          </w:rPr>
                          <w:t>）</w:t>
                        </w:r>
                        <w:r>
                          <w:rPr>
                            <w:rFonts w:ascii="宋体" w:hAnsi="宋体" w:cs="宋体" w:eastAsia="宋体" w:hint="default"/>
                            <w:spacing w:val="-3"/>
                            <w:sz w:val="18"/>
                            <w:szCs w:val="18"/>
                          </w:rPr>
                          <w:t>详</w:t>
                        </w:r>
                        <w:r>
                          <w:rPr>
                            <w:rFonts w:ascii="宋体" w:hAnsi="宋体" w:cs="宋体" w:eastAsia="宋体" w:hint="default"/>
                            <w:sz w:val="18"/>
                            <w:szCs w:val="18"/>
                          </w:rPr>
                          <w:t>见</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00" w:lineRule="auto" w:before="63"/>
                          <w:ind w:left="23" w:right="11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pacing w:val="-16"/>
                            <w:sz w:val="18"/>
                            <w:szCs w:val="18"/>
                          </w:rPr>
                          <w:t>日的《中国证券报》、《证券时报</w:t>
                        </w:r>
                        <w:r>
                          <w:rPr>
                            <w:rFonts w:ascii="宋体" w:hAnsi="宋体" w:cs="宋体" w:eastAsia="宋体" w:hint="default"/>
                            <w:sz w:val="18"/>
                            <w:szCs w:val="18"/>
                          </w:rPr>
                          <w:t> 及巨潮资讯网</w:t>
                        </w:r>
                        <w:r>
                          <w:rPr>
                            <w:rFonts w:ascii="宋体" w:hAnsi="宋体" w:cs="宋体" w:eastAsia="宋体" w:hint="default"/>
                            <w:spacing w:val="-63"/>
                            <w:sz w:val="18"/>
                            <w:szCs w:val="18"/>
                          </w:rPr>
                          <w:t> </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34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5"/>
                          <w:jc w:val="both"/>
                          <w:rPr>
                            <w:rFonts w:ascii="宋体" w:hAnsi="宋体" w:cs="宋体" w:eastAsia="宋体" w:hint="default"/>
                            <w:sz w:val="18"/>
                            <w:szCs w:val="18"/>
                          </w:rPr>
                        </w:pPr>
                        <w:r>
                          <w:rPr>
                            <w:rFonts w:ascii="宋体" w:hAnsi="宋体" w:cs="宋体" w:eastAsia="宋体" w:hint="default"/>
                            <w:sz w:val="18"/>
                            <w:szCs w:val="18"/>
                          </w:rPr>
                          <w:t>淘宝（中 国）软件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4" w:right="101"/>
                          <w:jc w:val="left"/>
                          <w:rPr>
                            <w:rFonts w:ascii="宋体" w:hAnsi="宋体" w:cs="宋体" w:eastAsia="宋体" w:hint="default"/>
                            <w:sz w:val="18"/>
                            <w:szCs w:val="18"/>
                          </w:rPr>
                        </w:pPr>
                        <w:r>
                          <w:rPr>
                            <w:rFonts w:ascii="宋体" w:hAnsi="宋体" w:cs="宋体" w:eastAsia="宋体" w:hint="default"/>
                            <w:sz w:val="18"/>
                            <w:szCs w:val="18"/>
                          </w:rPr>
                          <w:t>其他持 股在 </w:t>
                        </w:r>
                        <w:r>
                          <w:rPr>
                            <w:rFonts w:ascii="Times New Roman" w:hAnsi="Times New Roman" w:cs="Times New Roman" w:eastAsia="Times New Roman" w:hint="default"/>
                            <w:sz w:val="18"/>
                            <w:szCs w:val="18"/>
                          </w:rPr>
                          <w:t>10%</w:t>
                        </w:r>
                        <w:r>
                          <w:rPr>
                            <w:rFonts w:ascii="宋体" w:hAnsi="宋体" w:cs="宋体" w:eastAsia="宋体" w:hint="default"/>
                            <w:sz w:val="18"/>
                            <w:szCs w:val="18"/>
                          </w:rPr>
                          <w:t>以</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上的法</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03"/>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31"/>
                          <w:jc w:val="both"/>
                          <w:rPr>
                            <w:rFonts w:ascii="宋体" w:hAnsi="宋体" w:cs="宋体" w:eastAsia="宋体" w:hint="default"/>
                            <w:sz w:val="18"/>
                            <w:szCs w:val="18"/>
                          </w:rPr>
                        </w:pPr>
                        <w:r>
                          <w:rPr>
                            <w:rFonts w:ascii="宋体" w:hAnsi="宋体" w:cs="宋体" w:eastAsia="宋体" w:hint="default"/>
                            <w:sz w:val="18"/>
                            <w:szCs w:val="18"/>
                          </w:rPr>
                          <w:t>淘鲜达 自助收 银服务</w:t>
                        </w:r>
                      </w:p>
                    </w:tc>
                    <w:tc>
                      <w:tcPr>
                        <w:tcW w:w="1111" w:type="dxa"/>
                        <w:tcBorders>
                          <w:top w:val="single" w:sz="4" w:space="0" w:color="000000"/>
                          <w:left w:val="single" w:sz="4" w:space="0" w:color="000000"/>
                          <w:bottom w:val="single" w:sz="4" w:space="0" w:color="000000"/>
                          <w:right w:val="single" w:sz="12" w:space="0" w:color="FFFFFF"/>
                        </w:tcBorders>
                      </w:tcPr>
                      <w:p>
                        <w:pPr>
                          <w:pStyle w:val="TableParagraph"/>
                          <w:spacing w:line="316" w:lineRule="auto" w:before="49"/>
                          <w:ind w:left="23" w:right="-26"/>
                          <w:jc w:val="both"/>
                          <w:rPr>
                            <w:rFonts w:ascii="宋体" w:hAnsi="宋体" w:cs="宋体" w:eastAsia="宋体" w:hint="default"/>
                            <w:sz w:val="18"/>
                            <w:szCs w:val="18"/>
                          </w:rPr>
                        </w:pPr>
                        <w:r>
                          <w:rPr>
                            <w:rFonts w:ascii="宋体" w:hAnsi="宋体" w:cs="宋体" w:eastAsia="宋体" w:hint="default"/>
                            <w:spacing w:val="30"/>
                            <w:sz w:val="18"/>
                            <w:szCs w:val="18"/>
                          </w:rPr>
                          <w:t>以市场价格</w:t>
                        </w:r>
                        <w:r>
                          <w:rPr>
                            <w:rFonts w:ascii="宋体" w:hAnsi="宋体" w:cs="宋体" w:eastAsia="宋体" w:hint="default"/>
                            <w:spacing w:val="-52"/>
                            <w:sz w:val="18"/>
                            <w:szCs w:val="18"/>
                          </w:rPr>
                          <w:t> </w:t>
                        </w:r>
                        <w:r>
                          <w:rPr>
                            <w:rFonts w:ascii="宋体" w:hAnsi="宋体" w:cs="宋体" w:eastAsia="宋体" w:hint="default"/>
                            <w:spacing w:val="-5"/>
                            <w:sz w:val="18"/>
                            <w:szCs w:val="18"/>
                          </w:rPr>
                          <w:t>为基础，不偏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0"/>
                            <w:sz w:val="18"/>
                            <w:szCs w:val="18"/>
                          </w:rPr>
                          <w:t>离第三方价</w:t>
                        </w:r>
                        <w:r>
                          <w:rPr>
                            <w:rFonts w:ascii="宋体" w:hAnsi="宋体" w:cs="宋体" w:eastAsia="宋体" w:hint="default"/>
                            <w:spacing w:val="-52"/>
                            <w:sz w:val="18"/>
                            <w:szCs w:val="18"/>
                          </w:rPr>
                          <w:t> </w:t>
                        </w:r>
                        <w:r>
                          <w:rPr>
                            <w:rFonts w:ascii="宋体" w:hAnsi="宋体" w:cs="宋体" w:eastAsia="宋体" w:hint="default"/>
                            <w:sz w:val="18"/>
                            <w:szCs w:val="18"/>
                          </w:rPr>
                          <w:t>格</w:t>
                        </w:r>
                      </w:p>
                    </w:tc>
                    <w:tc>
                      <w:tcPr>
                        <w:tcW w:w="850" w:type="dxa"/>
                        <w:tcBorders>
                          <w:top w:val="single" w:sz="4" w:space="0" w:color="000000"/>
                          <w:left w:val="single" w:sz="12" w:space="0" w:color="FFFFFF"/>
                          <w:bottom w:val="single" w:sz="4" w:space="0" w:color="000000"/>
                          <w:right w:val="single" w:sz="4" w:space="0" w:color="000000"/>
                        </w:tcBorders>
                      </w:tcPr>
                      <w:p>
                        <w:pPr>
                          <w:pStyle w:val="TableParagraph"/>
                          <w:spacing w:line="300" w:lineRule="auto" w:before="49"/>
                          <w:ind w:left="10" w:right="18" w:firstLine="91"/>
                          <w:jc w:val="both"/>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2"/>
                            <w:sz w:val="18"/>
                            <w:szCs w:val="18"/>
                          </w:rPr>
                          <w:t> </w:t>
                        </w: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人</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开 </w:t>
                        </w:r>
                        <w:r>
                          <w:rPr>
                            <w:rFonts w:ascii="宋体" w:hAnsi="宋体" w:cs="宋体" w:eastAsia="宋体" w:hint="default"/>
                            <w:spacing w:val="36"/>
                            <w:sz w:val="18"/>
                            <w:szCs w:val="18"/>
                          </w:rPr>
                          <w:t>发天数</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 </w:t>
                        </w:r>
                        <w:r>
                          <w:rPr>
                            <w:rFonts w:ascii="宋体" w:hAnsi="宋体" w:cs="宋体" w:eastAsia="宋体" w:hint="default"/>
                            <w:sz w:val="18"/>
                            <w:szCs w:val="18"/>
                          </w:rPr>
                          <w:t>系数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359.67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359.67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pStyle w:val="Heading3"/>
        <w:spacing w:line="240" w:lineRule="auto" w:before="26"/>
        <w:ind w:left="140" w:right="0"/>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left="140"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44"/>
        <w:ind w:left="0" w:right="10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44"/>
        <w:ind w:left="0" w:right="10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44"/>
        <w:ind w:left="0" w:right="10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headerReference w:type="default" r:id="rId30"/>
          <w:footerReference w:type="default" r:id="rId31"/>
          <w:pgSz w:w="16840" w:h="11910" w:orient="landscape"/>
          <w:pgMar w:header="867" w:footer="980" w:top="1060" w:bottom="1240" w:left="1300" w:right="1240"/>
          <w:pgNumType w:start="68"/>
        </w:sectPr>
      </w:pPr>
    </w:p>
    <w:p>
      <w:pPr>
        <w:spacing w:line="240" w:lineRule="auto" w:before="0"/>
        <w:rPr>
          <w:rFonts w:ascii="宋体" w:hAnsi="宋体" w:cs="宋体" w:eastAsia="宋体" w:hint="default"/>
          <w:sz w:val="20"/>
          <w:szCs w:val="20"/>
        </w:rPr>
      </w:pPr>
      <w:r>
        <w:rPr/>
        <w:pict>
          <v:shape style="position:absolute;margin-left:71.760002pt;margin-top:55.200008pt;width:700.2pt;height:439.2pt;mso-position-horizontal-relative:page;mso-position-vertical-relative:page;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00"/>
                    <w:gridCol w:w="677"/>
                    <w:gridCol w:w="679"/>
                    <w:gridCol w:w="703"/>
                    <w:gridCol w:w="1111"/>
                    <w:gridCol w:w="850"/>
                    <w:gridCol w:w="852"/>
                    <w:gridCol w:w="991"/>
                    <w:gridCol w:w="708"/>
                    <w:gridCol w:w="711"/>
                    <w:gridCol w:w="991"/>
                    <w:gridCol w:w="852"/>
                    <w:gridCol w:w="991"/>
                    <w:gridCol w:w="3073"/>
                  </w:tblGrid>
                  <w:tr>
                    <w:trPr>
                      <w:trHeight w:val="377" w:hRule="exact"/>
                    </w:trPr>
                    <w:tc>
                      <w:tcPr>
                        <w:tcW w:w="800" w:type="dxa"/>
                        <w:tcBorders>
                          <w:top w:val="single" w:sz="15" w:space="0" w:color="000000"/>
                          <w:left w:val="single" w:sz="4" w:space="0" w:color="000000"/>
                          <w:bottom w:val="single" w:sz="4" w:space="0" w:color="000000"/>
                          <w:right w:val="single" w:sz="4" w:space="0" w:color="000000"/>
                        </w:tcBorders>
                      </w:tcPr>
                      <w:p>
                        <w:pPr/>
                      </w:p>
                    </w:tc>
                    <w:tc>
                      <w:tcPr>
                        <w:tcW w:w="6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人股东</w:t>
                        </w:r>
                      </w:p>
                    </w:tc>
                    <w:tc>
                      <w:tcPr>
                        <w:tcW w:w="679" w:type="dxa"/>
                        <w:tcBorders>
                          <w:top w:val="single" w:sz="15" w:space="0" w:color="000000"/>
                          <w:left w:val="single" w:sz="4" w:space="0" w:color="000000"/>
                          <w:bottom w:val="single" w:sz="4" w:space="0" w:color="000000"/>
                          <w:right w:val="single" w:sz="4" w:space="0" w:color="000000"/>
                        </w:tcBorders>
                      </w:tcPr>
                      <w:p>
                        <w:pPr/>
                      </w:p>
                    </w:tc>
                    <w:tc>
                      <w:tcPr>
                        <w:tcW w:w="703" w:type="dxa"/>
                        <w:tcBorders>
                          <w:top w:val="single" w:sz="15" w:space="0" w:color="000000"/>
                          <w:left w:val="single" w:sz="4" w:space="0" w:color="000000"/>
                          <w:bottom w:val="single" w:sz="4" w:space="0" w:color="000000"/>
                          <w:right w:val="single" w:sz="4" w:space="0" w:color="000000"/>
                        </w:tcBorders>
                      </w:tcPr>
                      <w:p>
                        <w:pPr/>
                      </w:p>
                    </w:tc>
                    <w:tc>
                      <w:tcPr>
                        <w:tcW w:w="1111"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711"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3073" w:type="dxa"/>
                        <w:tcBorders>
                          <w:top w:val="single" w:sz="15" w:space="0" w:color="000000"/>
                          <w:left w:val="single" w:sz="4" w:space="0" w:color="000000"/>
                          <w:bottom w:val="single" w:sz="4" w:space="0" w:color="000000"/>
                          <w:right w:val="single" w:sz="4" w:space="0" w:color="000000"/>
                        </w:tcBorders>
                      </w:tcPr>
                      <w:p>
                        <w:pPr/>
                      </w:p>
                    </w:tc>
                  </w:tr>
                  <w:tr>
                    <w:trPr>
                      <w:trHeight w:val="290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45"/>
                          <w:jc w:val="both"/>
                          <w:rPr>
                            <w:rFonts w:ascii="宋体" w:hAnsi="宋体" w:cs="宋体" w:eastAsia="宋体" w:hint="default"/>
                            <w:sz w:val="18"/>
                            <w:szCs w:val="18"/>
                          </w:rPr>
                        </w:pPr>
                        <w:r>
                          <w:rPr>
                            <w:rFonts w:ascii="宋体" w:hAnsi="宋体" w:cs="宋体" w:eastAsia="宋体" w:hint="default"/>
                            <w:sz w:val="18"/>
                            <w:szCs w:val="18"/>
                          </w:rPr>
                          <w:t>科传计算 机科技控 股有限公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1" w:right="13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22"/>
                          <w:jc w:val="left"/>
                          <w:rPr>
                            <w:rFonts w:ascii="宋体" w:hAnsi="宋体" w:cs="宋体" w:eastAsia="宋体" w:hint="default"/>
                            <w:sz w:val="18"/>
                            <w:szCs w:val="18"/>
                          </w:rPr>
                        </w:pPr>
                        <w:r>
                          <w:rPr>
                            <w:rFonts w:ascii="宋体" w:hAnsi="宋体" w:cs="宋体" w:eastAsia="宋体" w:hint="default"/>
                            <w:sz w:val="18"/>
                            <w:szCs w:val="18"/>
                          </w:rPr>
                          <w:t>以市场价格 </w:t>
                        </w:r>
                        <w:r>
                          <w:rPr>
                            <w:rFonts w:ascii="宋体" w:hAnsi="宋体" w:cs="宋体" w:eastAsia="宋体" w:hint="default"/>
                            <w:spacing w:val="-5"/>
                            <w:sz w:val="18"/>
                            <w:szCs w:val="18"/>
                          </w:rPr>
                          <w:t>为基础，不偏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离第三方价 格</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both"/>
                          <w:rPr>
                            <w:rFonts w:ascii="宋体" w:hAnsi="宋体" w:cs="宋体" w:eastAsia="宋体" w:hint="default"/>
                            <w:sz w:val="18"/>
                            <w:szCs w:val="18"/>
                          </w:rPr>
                        </w:pPr>
                        <w:r>
                          <w:rPr>
                            <w:rFonts w:ascii="宋体" w:hAnsi="宋体" w:cs="宋体" w:eastAsia="宋体" w:hint="default"/>
                            <w:sz w:val="18"/>
                            <w:szCs w:val="18"/>
                          </w:rPr>
                          <w:t>科传</w:t>
                        </w:r>
                      </w:p>
                      <w:p>
                        <w:pPr>
                          <w:pStyle w:val="TableParagraph"/>
                          <w:spacing w:line="240" w:lineRule="auto" w:before="118"/>
                          <w:ind w:left="21" w:right="0"/>
                          <w:jc w:val="both"/>
                          <w:rPr>
                            <w:rFonts w:ascii="Times New Roman" w:hAnsi="Times New Roman" w:cs="Times New Roman" w:eastAsia="Times New Roman" w:hint="default"/>
                            <w:sz w:val="18"/>
                            <w:szCs w:val="18"/>
                          </w:rPr>
                        </w:pPr>
                        <w:r>
                          <w:rPr>
                            <w:rFonts w:ascii="Times New Roman"/>
                            <w:sz w:val="18"/>
                          </w:rPr>
                          <w:t>MIS-POS</w:t>
                        </w:r>
                      </w:p>
                      <w:p>
                        <w:pPr>
                          <w:pStyle w:val="TableParagraph"/>
                          <w:spacing w:line="316" w:lineRule="auto" w:before="63"/>
                          <w:ind w:left="21"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银行卡及 第三方支 付受理数 据接口软 件及服务 </w:t>
                        </w:r>
                        <w:r>
                          <w:rPr>
                            <w:rFonts w:ascii="Times New Roman" w:hAnsi="Times New Roman" w:cs="Times New Roman" w:eastAsia="Times New Roman" w:hint="default"/>
                            <w:sz w:val="18"/>
                            <w:szCs w:val="18"/>
                          </w:rPr>
                          <w:t>30000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p>
                        <w:pPr>
                          <w:pStyle w:val="TableParagraph"/>
                          <w:spacing w:line="235" w:lineRule="exact"/>
                          <w:ind w:left="21" w:right="0"/>
                          <w:jc w:val="both"/>
                          <w:rPr>
                            <w:rFonts w:ascii="宋体" w:hAnsi="宋体" w:cs="宋体" w:eastAsia="宋体" w:hint="default"/>
                            <w:sz w:val="18"/>
                            <w:szCs w:val="18"/>
                          </w:rPr>
                        </w:pPr>
                        <w:r>
                          <w:rPr>
                            <w:rFonts w:ascii="宋体" w:hAnsi="宋体" w:cs="宋体" w:eastAsia="宋体" w:hint="default"/>
                            <w:sz w:val="18"/>
                            <w:szCs w:val="18"/>
                          </w:rPr>
                          <w:t>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284.48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284.48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1" w:right="0"/>
                          <w:jc w:val="left"/>
                          <w:rPr>
                            <w:rFonts w:ascii="宋体" w:hAnsi="宋体" w:cs="宋体" w:eastAsia="宋体" w:hint="default"/>
                            <w:sz w:val="18"/>
                            <w:szCs w:val="18"/>
                          </w:rPr>
                        </w:pPr>
                        <w:r>
                          <w:rPr>
                            <w:rFonts w:ascii="宋体" w:hAnsi="宋体" w:cs="宋体" w:eastAsia="宋体" w:hint="default"/>
                            <w:sz w:val="18"/>
                            <w:szCs w:val="18"/>
                          </w:rPr>
                          <w:t>网银结算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4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27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45"/>
                          <w:jc w:val="both"/>
                          <w:rPr>
                            <w:rFonts w:ascii="宋体" w:hAnsi="宋体" w:cs="宋体" w:eastAsia="宋体" w:hint="default"/>
                            <w:sz w:val="18"/>
                            <w:szCs w:val="18"/>
                          </w:rPr>
                        </w:pPr>
                        <w:r>
                          <w:rPr>
                            <w:rFonts w:ascii="宋体" w:hAnsi="宋体" w:cs="宋体" w:eastAsia="宋体" w:hint="default"/>
                            <w:sz w:val="18"/>
                            <w:szCs w:val="18"/>
                          </w:rPr>
                          <w:t>科传计算 机科技控 股有限公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01"/>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03"/>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以市场价格 </w:t>
                        </w:r>
                        <w:r>
                          <w:rPr>
                            <w:rFonts w:ascii="宋体" w:hAnsi="宋体" w:cs="宋体" w:eastAsia="宋体" w:hint="default"/>
                            <w:spacing w:val="-5"/>
                            <w:sz w:val="18"/>
                            <w:szCs w:val="18"/>
                          </w:rPr>
                          <w:t>为基础，不偏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离第三方价 格</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both"/>
                          <w:rPr>
                            <w:rFonts w:ascii="宋体" w:hAnsi="宋体" w:cs="宋体" w:eastAsia="宋体" w:hint="default"/>
                            <w:sz w:val="18"/>
                            <w:szCs w:val="18"/>
                          </w:rPr>
                        </w:pPr>
                        <w:r>
                          <w:rPr>
                            <w:rFonts w:ascii="宋体" w:hAnsi="宋体" w:cs="宋体" w:eastAsia="宋体" w:hint="default"/>
                            <w:sz w:val="18"/>
                            <w:szCs w:val="18"/>
                          </w:rPr>
                          <w:t>税控盘组 专用控制 系统主机</w:t>
                        </w:r>
                      </w:p>
                      <w:p>
                        <w:pPr>
                          <w:pStyle w:val="TableParagraph"/>
                          <w:spacing w:line="240" w:lineRule="auto" w:before="19"/>
                          <w:ind w:left="2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TCG-01</w:t>
                        </w:r>
                      </w:p>
                      <w:p>
                        <w:pPr>
                          <w:pStyle w:val="TableParagraph"/>
                          <w:spacing w:line="340" w:lineRule="auto" w:before="63"/>
                          <w:ind w:left="21" w:right="14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S2</w:t>
                        </w:r>
                        <w:r>
                          <w:rPr>
                            <w:rFonts w:ascii="宋体" w:hAnsi="宋体" w:cs="宋体" w:eastAsia="宋体" w:hint="default"/>
                            <w:sz w:val="18"/>
                            <w:szCs w:val="18"/>
                          </w:rPr>
                          <w:t>） </w:t>
                        </w:r>
                        <w:r>
                          <w:rPr>
                            <w:rFonts w:ascii="Times New Roman" w:hAnsi="Times New Roman" w:cs="Times New Roman" w:eastAsia="Times New Roman" w:hint="default"/>
                            <w:sz w:val="18"/>
                            <w:szCs w:val="18"/>
                          </w:rPr>
                          <w:t>47871.45</w:t>
                        </w:r>
                      </w:p>
                      <w:p>
                        <w:pPr>
                          <w:pStyle w:val="TableParagraph"/>
                          <w:spacing w:line="215" w:lineRule="exact"/>
                          <w:ind w:left="21" w:right="0"/>
                          <w:jc w:val="both"/>
                          <w:rPr>
                            <w:rFonts w:ascii="宋体" w:hAnsi="宋体" w:cs="宋体" w:eastAsia="宋体" w:hint="default"/>
                            <w:sz w:val="18"/>
                            <w:szCs w:val="18"/>
                          </w:rPr>
                        </w:pPr>
                        <w:r>
                          <w:rPr>
                            <w:rFonts w:ascii="宋体" w:hAnsi="宋体" w:cs="宋体" w:eastAsia="宋体" w:hint="default"/>
                            <w:sz w:val="18"/>
                            <w:szCs w:val="18"/>
                          </w:rPr>
                          <w:t>元</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 w:right="59"/>
                          <w:jc w:val="left"/>
                          <w:rPr>
                            <w:rFonts w:ascii="宋体" w:hAnsi="宋体" w:cs="宋体" w:eastAsia="宋体" w:hint="default"/>
                            <w:sz w:val="18"/>
                            <w:szCs w:val="18"/>
                          </w:rPr>
                        </w:pPr>
                        <w:r>
                          <w:rPr>
                            <w:rFonts w:ascii="宋体" w:hAnsi="宋体" w:cs="宋体" w:eastAsia="宋体" w:hint="default"/>
                            <w:sz w:val="18"/>
                            <w:szCs w:val="18"/>
                          </w:rPr>
                          <w:t>银行汇款结 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12" w:space="0" w:color="D2D2D2"/>
                          <w:bottom w:val="single" w:sz="4" w:space="0" w:color="000000"/>
                          <w:right w:val="single" w:sz="12"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w w:val="95"/>
                            <w:sz w:val="18"/>
                          </w:rPr>
                          <w:t>8,633.73</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8,633.73</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31"/>
                          <w:jc w:val="right"/>
                          <w:rPr>
                            <w:rFonts w:ascii="Times New Roman" w:hAnsi="Times New Roman" w:cs="Times New Roman" w:eastAsia="Times New Roman" w:hint="default"/>
                            <w:sz w:val="18"/>
                            <w:szCs w:val="18"/>
                          </w:rPr>
                        </w:pPr>
                        <w:r>
                          <w:rPr>
                            <w:rFonts w:ascii="Times New Roman"/>
                            <w:sz w:val="18"/>
                          </w:rPr>
                          <w:t>--</w:t>
                        </w:r>
                      </w:p>
                    </w:tc>
                    <w:tc>
                      <w:tcPr>
                        <w:tcW w:w="3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1113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38" w:hRule="exact"/>
                    </w:trPr>
                    <w:tc>
                      <w:tcPr>
                        <w:tcW w:w="285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11130" w:type="dxa"/>
                        <w:gridSpan w:val="10"/>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公司预计</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年与淘宝（中国）软件有限公司发生的酒店订单传输服务的日常关联交易金额不超过</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640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万元，后经公司总裁办公会追加确认</w:t>
                        </w:r>
                      </w:p>
                      <w:p>
                        <w:pPr>
                          <w:pStyle w:val="TableParagraph"/>
                          <w:spacing w:line="240" w:lineRule="auto" w:before="63"/>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年，公司实际与淘宝（中国）发生的酒店订单传输服务的日常关联交易发生额为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1053.15</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万元，与淘宝（中国）发生的淘鲜达服务的日常</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关联交易发生额为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359.67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年与青岛海信智能商用系统股份有限公司发生的采购收款机、销售打印机等商品的日常关联交易金额不超过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年实际发生额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6547.5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15" w:hRule="exact"/>
                    </w:trPr>
                    <w:tc>
                      <w:tcPr>
                        <w:tcW w:w="285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11130" w:type="dxa"/>
                        <w:gridSpan w:val="10"/>
                        <w:vMerge/>
                        <w:tcBorders>
                          <w:left w:val="single" w:sz="9" w:space="0" w:color="D2D2D2"/>
                          <w:right w:val="single" w:sz="4" w:space="0" w:color="000000"/>
                        </w:tcBorders>
                      </w:tcPr>
                      <w:p>
                        <w:pPr/>
                      </w:p>
                    </w:tc>
                  </w:tr>
                  <w:tr>
                    <w:trPr>
                      <w:trHeight w:val="336" w:hRule="exact"/>
                    </w:trPr>
                    <w:tc>
                      <w:tcPr>
                        <w:tcW w:w="285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1130" w:type="dxa"/>
                        <w:gridSpan w:val="10"/>
                        <w:vMerge/>
                        <w:tcBorders>
                          <w:left w:val="single" w:sz="9" w:space="0" w:color="D2D2D2"/>
                          <w:bottom w:val="single" w:sz="4" w:space="0" w:color="000000"/>
                          <w:right w:val="single" w:sz="4" w:space="0" w:color="000000"/>
                        </w:tcBorders>
                      </w:tcPr>
                      <w:p>
                        <w:pPr/>
                      </w:p>
                    </w:tc>
                  </w:tr>
                  <w:tr>
                    <w:trPr>
                      <w:trHeight w:val="716"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3"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1113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0"/>
        <w:ind w:left="0" w:right="10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980" w:top="1060" w:bottom="1160" w:left="1320" w:right="1240"/>
        </w:sectPr>
      </w:pPr>
    </w:p>
    <w:p>
      <w:pPr>
        <w:spacing w:line="240" w:lineRule="auto" w:before="11"/>
        <w:rPr>
          <w:rFonts w:ascii="宋体" w:hAnsi="宋体" w:cs="宋体" w:eastAsia="宋体" w:hint="default"/>
          <w:sz w:val="20"/>
          <w:szCs w:val="20"/>
        </w:rPr>
      </w:pPr>
    </w:p>
    <w:p>
      <w:pPr>
        <w:pStyle w:val="Heading7"/>
        <w:spacing w:line="240" w:lineRule="auto" w:before="36"/>
        <w:ind w:right="11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7"/>
        <w:spacing w:line="240" w:lineRule="auto"/>
        <w:ind w:right="11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7"/>
        <w:rPr>
          <w:rFonts w:ascii="宋体" w:hAnsi="宋体" w:cs="宋体" w:eastAsia="宋体" w:hint="default"/>
          <w:sz w:val="21"/>
          <w:szCs w:val="21"/>
        </w:rPr>
      </w:pPr>
    </w:p>
    <w:p>
      <w:pPr>
        <w:pStyle w:val="Heading7"/>
        <w:spacing w:line="240" w:lineRule="auto"/>
        <w:ind w:right="113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3"/>
        <w:rPr>
          <w:rFonts w:ascii="宋体" w:hAnsi="宋体" w:cs="宋体" w:eastAsia="宋体" w:hint="default"/>
          <w:sz w:val="21"/>
          <w:szCs w:val="21"/>
        </w:rPr>
      </w:pPr>
    </w:p>
    <w:p>
      <w:pPr>
        <w:pStyle w:val="Heading7"/>
        <w:spacing w:line="240" w:lineRule="auto"/>
        <w:ind w:right="11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pStyle w:val="BodyText"/>
        <w:spacing w:line="256" w:lineRule="auto" w:before="83"/>
        <w:ind w:right="1133" w:firstLine="420"/>
        <w:jc w:val="left"/>
      </w:pPr>
      <w:r>
        <w:rPr/>
        <w:t>（</w:t>
      </w:r>
      <w:r>
        <w:rPr>
          <w:rFonts w:ascii="Times New Roman" w:hAnsi="Times New Roman" w:cs="Times New Roman" w:eastAsia="Times New Roman" w:hint="default"/>
        </w:rPr>
        <w:t>1</w:t>
      </w:r>
      <w:r>
        <w:rPr/>
        <w:t>）石基（香港）向</w:t>
      </w:r>
      <w:r>
        <w:rPr>
          <w:rFonts w:ascii="Times New Roman" w:hAnsi="Times New Roman" w:cs="Times New Roman" w:eastAsia="Times New Roman" w:hint="default"/>
        </w:rPr>
        <w:t>ALIBABA SJ INVESTMENT LIMITED</w:t>
      </w:r>
      <w:r>
        <w:rPr/>
        <w:t>出售全资子公司</w:t>
      </w:r>
      <w:r>
        <w:rPr>
          <w:rFonts w:ascii="Times New Roman" w:hAnsi="Times New Roman" w:cs="Times New Roman" w:eastAsia="Times New Roman" w:hint="default"/>
        </w:rPr>
        <w:t>Shiji Retail</w:t>
      </w:r>
      <w:r>
        <w:rPr>
          <w:rFonts w:ascii="Times New Roman" w:hAnsi="Times New Roman" w:cs="Times New Roman" w:eastAsia="Times New Roman" w:hint="default"/>
          <w:spacing w:val="-25"/>
        </w:rPr>
        <w:t> </w:t>
      </w:r>
      <w:r>
        <w:rPr>
          <w:rFonts w:ascii="Times New Roman" w:hAnsi="Times New Roman" w:cs="Times New Roman" w:eastAsia="Times New Roman" w:hint="default"/>
        </w:rPr>
        <w:t>Information</w:t>
      </w:r>
      <w:r>
        <w:rPr>
          <w:rFonts w:ascii="Times New Roman" w:hAnsi="Times New Roman" w:cs="Times New Roman" w:eastAsia="Times New Roman" w:hint="default"/>
          <w:w w:val="100"/>
        </w:rPr>
        <w:t> </w:t>
      </w:r>
      <w:r>
        <w:rPr>
          <w:rFonts w:ascii="Times New Roman" w:hAnsi="Times New Roman" w:cs="Times New Roman" w:eastAsia="Times New Roman" w:hint="default"/>
        </w:rPr>
        <w:t>Technology Co.</w:t>
      </w:r>
      <w:r>
        <w:rPr>
          <w:rFonts w:ascii="Times New Roman" w:hAnsi="Times New Roman" w:cs="Times New Roman" w:eastAsia="Times New Roman" w:hint="default"/>
          <w:spacing w:val="-4"/>
        </w:rPr>
        <w:t> </w:t>
      </w:r>
      <w:r>
        <w:rPr>
          <w:rFonts w:ascii="Times New Roman" w:hAnsi="Times New Roman" w:cs="Times New Roman" w:eastAsia="Times New Roman" w:hint="default"/>
        </w:rPr>
        <w:t>Ltd.38%</w:t>
      </w:r>
      <w:r>
        <w:rPr/>
        <w:t>股权</w:t>
      </w:r>
    </w:p>
    <w:p>
      <w:pPr>
        <w:pStyle w:val="BodyText"/>
        <w:spacing w:line="256" w:lineRule="auto" w:before="43"/>
        <w:ind w:right="1133" w:firstLine="420"/>
        <w:jc w:val="left"/>
      </w:pPr>
      <w:r>
        <w:rPr>
          <w:spacing w:val="-2"/>
        </w:rPr>
        <w:t>公司已于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日召开第六届董事会</w:t>
      </w:r>
      <w:r>
        <w:rPr>
          <w:rFonts w:ascii="Times New Roman" w:hAnsi="Times New Roman" w:cs="Times New Roman" w:eastAsia="Times New Roman" w:hint="default"/>
          <w:spacing w:val="-2"/>
        </w:rPr>
        <w:t>2017</w:t>
      </w:r>
      <w:r>
        <w:rPr>
          <w:spacing w:val="-2"/>
        </w:rPr>
        <w:t>年第十一次临时会议审议通过《关于拟签署控股子公</w:t>
      </w:r>
      <w:r>
        <w:rPr>
          <w:w w:val="100"/>
        </w:rPr>
        <w:t> </w:t>
      </w:r>
      <w:r>
        <w:rPr/>
        <w:t>司股权出售框架协议暨关联交易的议案》，公司全资子公司石基（香港）拟将其全资持有的</w:t>
      </w:r>
      <w:r>
        <w:rPr>
          <w:rFonts w:ascii="Times New Roman" w:hAnsi="Times New Roman" w:cs="Times New Roman" w:eastAsia="Times New Roman" w:hint="default"/>
        </w:rPr>
        <w:t>Shiji</w:t>
      </w:r>
      <w:r>
        <w:rPr>
          <w:rFonts w:ascii="Times New Roman" w:hAnsi="Times New Roman" w:cs="Times New Roman" w:eastAsia="Times New Roman" w:hint="default"/>
          <w:spacing w:val="-2"/>
        </w:rPr>
        <w:t> </w:t>
      </w:r>
      <w:r>
        <w:rPr>
          <w:rFonts w:ascii="Times New Roman" w:hAnsi="Times New Roman" w:cs="Times New Roman" w:eastAsia="Times New Roman" w:hint="default"/>
        </w:rPr>
        <w:t>Retail</w:t>
      </w:r>
      <w:r>
        <w:rPr>
          <w:rFonts w:ascii="Times New Roman" w:hAnsi="Times New Roman" w:cs="Times New Roman" w:eastAsia="Times New Roman" w:hint="default"/>
          <w:w w:val="100"/>
        </w:rPr>
        <w:t> </w:t>
      </w:r>
      <w:r>
        <w:rPr>
          <w:rFonts w:ascii="Times New Roman" w:hAnsi="Times New Roman" w:cs="Times New Roman" w:eastAsia="Times New Roman" w:hint="default"/>
        </w:rPr>
        <w:t>Information Technology Co.</w:t>
      </w:r>
      <w:r>
        <w:rPr>
          <w:rFonts w:ascii="Times New Roman" w:hAnsi="Times New Roman" w:cs="Times New Roman" w:eastAsia="Times New Roman" w:hint="default"/>
          <w:spacing w:val="-12"/>
        </w:rPr>
        <w:t> </w:t>
      </w:r>
      <w:r>
        <w:rPr>
          <w:rFonts w:ascii="Times New Roman" w:hAnsi="Times New Roman" w:cs="Times New Roman" w:eastAsia="Times New Roman" w:hint="default"/>
        </w:rPr>
        <w:t>Ltd.</w:t>
      </w:r>
      <w:r>
        <w:rPr/>
        <w:t>（以下简称</w:t>
      </w:r>
      <w:r>
        <w:rPr>
          <w:rFonts w:ascii="Times New Roman" w:hAnsi="Times New Roman" w:cs="Times New Roman" w:eastAsia="Times New Roman" w:hint="default"/>
        </w:rPr>
        <w:t>“</w:t>
      </w:r>
      <w:r>
        <w:rPr/>
        <w:t>石基零售</w:t>
      </w:r>
      <w:r>
        <w:rPr>
          <w:rFonts w:ascii="Times New Roman" w:hAnsi="Times New Roman" w:cs="Times New Roman" w:eastAsia="Times New Roman" w:hint="default"/>
        </w:rPr>
        <w:t>”</w:t>
      </w:r>
      <w:r>
        <w:rPr/>
        <w:t>）</w:t>
      </w:r>
      <w:r>
        <w:rPr>
          <w:rFonts w:ascii="Times New Roman" w:hAnsi="Times New Roman" w:cs="Times New Roman" w:eastAsia="Times New Roman" w:hint="default"/>
        </w:rPr>
        <w:t>38%</w:t>
      </w:r>
      <w:r>
        <w:rPr/>
        <w:t>的股权以不超过</w:t>
      </w:r>
      <w:r>
        <w:rPr>
          <w:rFonts w:ascii="Times New Roman" w:hAnsi="Times New Roman" w:cs="Times New Roman" w:eastAsia="Times New Roman" w:hint="default"/>
        </w:rPr>
        <w:t>5</w:t>
      </w:r>
      <w:r>
        <w:rPr/>
        <w:t>亿美元的价格转让给</w:t>
      </w:r>
      <w:r>
        <w:rPr>
          <w:rFonts w:ascii="Times New Roman" w:hAnsi="Times New Roman" w:cs="Times New Roman" w:eastAsia="Times New Roman" w:hint="default"/>
        </w:rPr>
        <w:t>Alibaba</w:t>
      </w:r>
      <w:r>
        <w:rPr>
          <w:rFonts w:ascii="Times New Roman" w:hAnsi="Times New Roman" w:cs="Times New Roman" w:eastAsia="Times New Roman" w:hint="default"/>
          <w:w w:val="100"/>
        </w:rPr>
        <w:t> </w:t>
      </w:r>
      <w:r>
        <w:rPr>
          <w:rFonts w:ascii="Times New Roman" w:hAnsi="Times New Roman" w:cs="Times New Roman" w:eastAsia="Times New Roman" w:hint="default"/>
        </w:rPr>
        <w:t>Investment </w:t>
      </w:r>
      <w:r>
        <w:rPr>
          <w:rFonts w:ascii="Times New Roman" w:hAnsi="Times New Roman" w:cs="Times New Roman" w:eastAsia="Times New Roman" w:hint="default"/>
          <w:spacing w:val="-3"/>
        </w:rPr>
        <w:t>Limited</w:t>
      </w:r>
      <w:r>
        <w:rPr>
          <w:spacing w:val="-3"/>
        </w:rPr>
        <w:t>（以下简称</w:t>
      </w:r>
      <w:r>
        <w:rPr>
          <w:rFonts w:ascii="Times New Roman" w:hAnsi="Times New Roman" w:cs="Times New Roman" w:eastAsia="Times New Roman" w:hint="default"/>
          <w:spacing w:val="-3"/>
        </w:rPr>
        <w:t>“</w:t>
      </w:r>
      <w:r>
        <w:rPr>
          <w:spacing w:val="-3"/>
        </w:rPr>
        <w:t>阿里投资</w:t>
      </w:r>
      <w:r>
        <w:rPr>
          <w:rFonts w:ascii="Times New Roman" w:hAnsi="Times New Roman" w:cs="Times New Roman" w:eastAsia="Times New Roman" w:hint="default"/>
          <w:spacing w:val="-3"/>
        </w:rPr>
        <w:t>”</w:t>
      </w:r>
      <w:r>
        <w:rPr>
          <w:spacing w:val="-3"/>
        </w:rPr>
        <w:t>）或其关联方，详见</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w:t>
      </w:r>
      <w:r>
        <w:rPr>
          <w:spacing w:val="-3"/>
        </w:rPr>
        <w:t>日刊登于《中国证券报》、《证</w:t>
      </w:r>
      <w:r>
        <w:rPr>
          <w:spacing w:val="-45"/>
        </w:rPr>
        <w:t> </w:t>
      </w:r>
      <w:r>
        <w:rPr>
          <w:spacing w:val="-45"/>
        </w:rPr>
      </w:r>
      <w:r>
        <w:rPr>
          <w:spacing w:val="-2"/>
        </w:rPr>
        <w:t>券时报》及巨潮资讯网</w:t>
      </w:r>
      <w:hyperlink r:id="rId28">
        <w:r>
          <w:rPr>
            <w:rFonts w:ascii="Times New Roman" w:hAnsi="Times New Roman" w:cs="Times New Roman" w:eastAsia="Times New Roman" w:hint="default"/>
            <w:spacing w:val="-2"/>
          </w:rPr>
          <w:t>www.cninfo.com.cn</w:t>
        </w:r>
        <w:r>
          <w:rPr>
            <w:spacing w:val="-2"/>
          </w:rPr>
          <w:t>的《</w:t>
        </w:r>
      </w:hyperlink>
      <w:r>
        <w:rPr>
          <w:spacing w:val="-2"/>
        </w:rPr>
        <w:t>关于签署控股子公司股权出售框架协议暨关联交易的公告》</w:t>
      </w:r>
    </w:p>
    <w:p>
      <w:pPr>
        <w:pStyle w:val="BodyText"/>
        <w:spacing w:line="240" w:lineRule="auto" w:before="5"/>
        <w:ind w:right="1133"/>
        <w:jc w:val="left"/>
      </w:pPr>
      <w:r>
        <w:rPr/>
        <w:t>（</w:t>
      </w:r>
      <w:r>
        <w:rPr>
          <w:rFonts w:ascii="Times New Roman" w:hAnsi="Times New Roman" w:cs="Times New Roman" w:eastAsia="Times New Roman" w:hint="default"/>
        </w:rPr>
        <w:t>2017-59</w:t>
      </w:r>
      <w:r>
        <w:rPr/>
        <w:t>）。</w:t>
      </w:r>
    </w:p>
    <w:p>
      <w:pPr>
        <w:pStyle w:val="BodyText"/>
        <w:spacing w:line="256" w:lineRule="auto" w:before="62"/>
        <w:ind w:right="1126"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4</w:t>
      </w:r>
      <w:r>
        <w:rPr>
          <w:spacing w:val="-2"/>
        </w:rPr>
        <w:t>日，公司、石基（香港）、石基零售与阿里</w:t>
      </w:r>
      <w:r>
        <w:rPr>
          <w:rFonts w:ascii="Times New Roman" w:hAnsi="Times New Roman" w:cs="Times New Roman" w:eastAsia="Times New Roman" w:hint="default"/>
          <w:spacing w:val="-2"/>
        </w:rPr>
        <w:t>SJ</w:t>
      </w:r>
      <w:r>
        <w:rPr>
          <w:spacing w:val="-2"/>
        </w:rPr>
        <w:t>投资已签署《股东协议》，并达成</w:t>
      </w:r>
      <w:r>
        <w:rPr>
          <w:rFonts w:ascii="Times New Roman" w:hAnsi="Times New Roman" w:cs="Times New Roman" w:eastAsia="Times New Roman" w:hint="default"/>
          <w:spacing w:val="-2"/>
        </w:rPr>
        <w:t>SPA</w:t>
      </w:r>
      <w:r>
        <w:rPr>
          <w:spacing w:val="-2"/>
        </w:rPr>
        <w:t>中约</w:t>
      </w:r>
      <w:r>
        <w:rPr>
          <w:spacing w:val="-3"/>
          <w:w w:val="100"/>
        </w:rPr>
        <w:t> </w:t>
      </w:r>
      <w:r>
        <w:rPr>
          <w:spacing w:val="-2"/>
        </w:rPr>
        <w:t>定的交割条件，完成了全部股权转让款支付等交割相关事项。交割完成后，阿里</w:t>
      </w:r>
      <w:r>
        <w:rPr>
          <w:rFonts w:ascii="Times New Roman" w:hAnsi="Times New Roman" w:cs="Times New Roman" w:eastAsia="Times New Roman" w:hint="default"/>
          <w:spacing w:val="-2"/>
        </w:rPr>
        <w:t>SJ</w:t>
      </w:r>
      <w:r>
        <w:rPr>
          <w:spacing w:val="-2"/>
        </w:rPr>
        <w:t>投资正式成为石基零售</w:t>
      </w:r>
      <w:r>
        <w:rPr>
          <w:spacing w:val="-31"/>
        </w:rPr>
        <w:t> </w:t>
      </w:r>
      <w:r>
        <w:rPr>
          <w:spacing w:val="-31"/>
        </w:rPr>
      </w:r>
      <w:r>
        <w:rPr>
          <w:spacing w:val="-2"/>
        </w:rPr>
        <w:t>的股东之一，持股数量为</w:t>
      </w:r>
      <w:r>
        <w:rPr>
          <w:rFonts w:ascii="Times New Roman" w:hAnsi="Times New Roman" w:cs="Times New Roman" w:eastAsia="Times New Roman" w:hint="default"/>
          <w:spacing w:val="-2"/>
        </w:rPr>
        <w:t>38,000,000</w:t>
      </w:r>
      <w:r>
        <w:rPr>
          <w:spacing w:val="-2"/>
        </w:rPr>
        <w:t>股，股权比例为</w:t>
      </w:r>
      <w:r>
        <w:rPr>
          <w:rFonts w:ascii="Times New Roman" w:hAnsi="Times New Roman" w:cs="Times New Roman" w:eastAsia="Times New Roman" w:hint="default"/>
          <w:spacing w:val="-2"/>
        </w:rPr>
        <w:t>38%</w:t>
      </w:r>
      <w:r>
        <w:rPr>
          <w:spacing w:val="-2"/>
        </w:rPr>
        <w:t>；石基（香港）持股数量为</w:t>
      </w:r>
      <w:r>
        <w:rPr>
          <w:rFonts w:ascii="Times New Roman" w:hAnsi="Times New Roman" w:cs="Times New Roman" w:eastAsia="Times New Roman" w:hint="default"/>
          <w:spacing w:val="-2"/>
        </w:rPr>
        <w:t>62,000,000</w:t>
      </w:r>
      <w:r>
        <w:rPr>
          <w:spacing w:val="-2"/>
        </w:rPr>
        <w:t>股，股权比</w:t>
      </w:r>
      <w:r>
        <w:rPr/>
        <w:t> </w:t>
      </w:r>
      <w:r>
        <w:rPr/>
        <w:t>例为</w:t>
      </w:r>
      <w:r>
        <w:rPr>
          <w:rFonts w:ascii="Times New Roman" w:hAnsi="Times New Roman" w:cs="Times New Roman" w:eastAsia="Times New Roman" w:hint="default"/>
        </w:rPr>
        <w:t>62%</w:t>
      </w:r>
      <w:r>
        <w:rPr/>
        <w:t>。详见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日刊登于《中国证券报》、《证券时报》及巨潮资讯网</w:t>
      </w:r>
      <w:hyperlink r:id="rId28">
        <w:r>
          <w:rPr>
            <w:rFonts w:ascii="Times New Roman" w:hAnsi="Times New Roman" w:cs="Times New Roman" w:eastAsia="Times New Roman" w:hint="default"/>
          </w:rPr>
          <w:t>www.cninfo.com.cn</w:t>
        </w:r>
        <w:r>
          <w:rPr/>
          <w:t>的</w:t>
        </w:r>
      </w:hyperlink>
    </w:p>
    <w:p>
      <w:pPr>
        <w:pStyle w:val="BodyText"/>
        <w:spacing w:line="240" w:lineRule="auto" w:before="5"/>
        <w:ind w:right="1133"/>
        <w:jc w:val="left"/>
        <w:rPr>
          <w:rFonts w:ascii="Times New Roman" w:hAnsi="Times New Roman" w:cs="Times New Roman" w:eastAsia="Times New Roman" w:hint="default"/>
        </w:rPr>
      </w:pPr>
      <w:r>
        <w:rPr/>
        <w:t>《关于向</w:t>
      </w:r>
      <w:r>
        <w:rPr>
          <w:rFonts w:ascii="Times New Roman" w:hAnsi="Times New Roman" w:cs="Times New Roman" w:eastAsia="Times New Roman" w:hint="default"/>
        </w:rPr>
        <w:t>ALIBABA SJ INVESTMENT LIMITED</w:t>
      </w:r>
      <w:r>
        <w:rPr/>
        <w:t>出售全资子公司</w:t>
      </w:r>
      <w:r>
        <w:rPr>
          <w:rFonts w:ascii="Times New Roman" w:hAnsi="Times New Roman" w:cs="Times New Roman" w:eastAsia="Times New Roman" w:hint="default"/>
        </w:rPr>
        <w:t>Shiji Retail Information Technology</w:t>
      </w:r>
      <w:r>
        <w:rPr>
          <w:rFonts w:ascii="Times New Roman" w:hAnsi="Times New Roman" w:cs="Times New Roman" w:eastAsia="Times New Roman" w:hint="default"/>
          <w:spacing w:val="-27"/>
        </w:rPr>
        <w:t> </w:t>
      </w:r>
      <w:r>
        <w:rPr>
          <w:rFonts w:ascii="Times New Roman" w:hAnsi="Times New Roman" w:cs="Times New Roman" w:eastAsia="Times New Roman" w:hint="default"/>
        </w:rPr>
        <w:t>Co.</w:t>
      </w:r>
    </w:p>
    <w:p>
      <w:pPr>
        <w:pStyle w:val="BodyText"/>
        <w:spacing w:line="290" w:lineRule="auto" w:before="21"/>
        <w:ind w:left="573" w:right="1133" w:hanging="421"/>
        <w:jc w:val="left"/>
      </w:pPr>
      <w:r>
        <w:rPr>
          <w:rFonts w:ascii="Times New Roman" w:hAnsi="Times New Roman" w:cs="Times New Roman" w:eastAsia="Times New Roman" w:hint="default"/>
        </w:rPr>
        <w:t>Ltd.38%</w:t>
      </w:r>
      <w:r>
        <w:rPr/>
        <w:t>股权交割完成的交易进展公告》（</w:t>
      </w:r>
      <w:r>
        <w:rPr>
          <w:rFonts w:ascii="Times New Roman" w:hAnsi="Times New Roman" w:cs="Times New Roman" w:eastAsia="Times New Roman" w:hint="default"/>
        </w:rPr>
        <w:t>2018-11</w:t>
      </w:r>
      <w:r>
        <w:rPr/>
        <w:t>）。</w:t>
      </w:r>
      <w:r>
        <w:rPr>
          <w:spacing w:val="-3"/>
          <w:w w:val="100"/>
        </w:rPr>
        <w:t> </w:t>
      </w:r>
      <w:r>
        <w:rPr>
          <w:spacing w:val="-2"/>
        </w:rPr>
        <w:t>按照框架协议的约定，经公司第六届董事会</w:t>
      </w:r>
      <w:r>
        <w:rPr>
          <w:rFonts w:ascii="Times New Roman" w:hAnsi="Times New Roman" w:cs="Times New Roman" w:eastAsia="Times New Roman" w:hint="default"/>
          <w:spacing w:val="-2"/>
        </w:rPr>
        <w:t>2018</w:t>
      </w:r>
      <w:r>
        <w:rPr>
          <w:spacing w:val="-2"/>
        </w:rPr>
        <w:t>年第一次临时会议审议通过，公司、石基（香港）于</w:t>
      </w:r>
    </w:p>
    <w:p>
      <w:pPr>
        <w:pStyle w:val="BodyText"/>
        <w:spacing w:line="263" w:lineRule="exact"/>
        <w:ind w:right="113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日与阿里投资关联方阿里</w:t>
      </w:r>
      <w:r>
        <w:rPr>
          <w:rFonts w:ascii="Times New Roman" w:hAnsi="Times New Roman" w:cs="Times New Roman" w:eastAsia="Times New Roman" w:hint="default"/>
        </w:rPr>
        <w:t>SJ</w:t>
      </w:r>
      <w:r>
        <w:rPr/>
        <w:t>投资签署《股份购买协议》（以下简称</w:t>
      </w:r>
      <w:r>
        <w:rPr>
          <w:rFonts w:ascii="Times New Roman" w:hAnsi="Times New Roman" w:cs="Times New Roman" w:eastAsia="Times New Roman" w:hint="default"/>
        </w:rPr>
        <w:t>“SPA”</w:t>
      </w:r>
      <w:r>
        <w:rPr/>
        <w:t>），将按照公司第六</w:t>
      </w:r>
    </w:p>
    <w:p>
      <w:pPr>
        <w:pStyle w:val="BodyText"/>
        <w:spacing w:line="256" w:lineRule="auto" w:before="21"/>
        <w:ind w:right="1133"/>
        <w:jc w:val="left"/>
      </w:pPr>
      <w:r>
        <w:rPr/>
        <w:t>届董事会</w:t>
      </w:r>
      <w:r>
        <w:rPr>
          <w:rFonts w:ascii="Times New Roman" w:hAnsi="Times New Roman" w:cs="Times New Roman" w:eastAsia="Times New Roman" w:hint="default"/>
        </w:rPr>
        <w:t>2017</w:t>
      </w:r>
      <w:r>
        <w:rPr/>
        <w:t>年第十一次临时会议审议通过的公司主要零售信息系统板块重组方案重组整合完成的石基</w:t>
      </w:r>
      <w:r>
        <w:rPr>
          <w:w w:val="100"/>
        </w:rPr>
        <w:t> </w:t>
      </w:r>
      <w:r>
        <w:rPr>
          <w:spacing w:val="-2"/>
        </w:rPr>
        <w:t>零售</w:t>
      </w:r>
      <w:r>
        <w:rPr>
          <w:rFonts w:ascii="Times New Roman" w:hAnsi="Times New Roman" w:cs="Times New Roman" w:eastAsia="Times New Roman" w:hint="default"/>
          <w:spacing w:val="-2"/>
        </w:rPr>
        <w:t>38%</w:t>
      </w:r>
      <w:r>
        <w:rPr>
          <w:spacing w:val="-2"/>
        </w:rPr>
        <w:t>的股权以</w:t>
      </w:r>
      <w:r>
        <w:rPr>
          <w:rFonts w:ascii="Times New Roman" w:hAnsi="Times New Roman" w:cs="Times New Roman" w:eastAsia="Times New Roman" w:hint="default"/>
          <w:spacing w:val="-2"/>
        </w:rPr>
        <w:t>4.86</w:t>
      </w:r>
      <w:r>
        <w:rPr>
          <w:spacing w:val="-2"/>
        </w:rPr>
        <w:t>亿美元的价格转让给阿里</w:t>
      </w:r>
      <w:r>
        <w:rPr>
          <w:rFonts w:ascii="Times New Roman" w:hAnsi="Times New Roman" w:cs="Times New Roman" w:eastAsia="Times New Roman" w:hint="default"/>
          <w:spacing w:val="-2"/>
        </w:rPr>
        <w:t>SJ</w:t>
      </w:r>
      <w:r>
        <w:rPr>
          <w:spacing w:val="-2"/>
        </w:rPr>
        <w:t>投资和</w:t>
      </w:r>
      <w:r>
        <w:rPr>
          <w:rFonts w:ascii="Times New Roman" w:hAnsi="Times New Roman" w:cs="Times New Roman" w:eastAsia="Times New Roman" w:hint="default"/>
          <w:spacing w:val="-2"/>
        </w:rPr>
        <w:t>/</w:t>
      </w:r>
      <w:r>
        <w:rPr>
          <w:spacing w:val="-2"/>
        </w:rPr>
        <w:t>或其关联方。详见</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8</w:t>
      </w:r>
      <w:r>
        <w:rPr>
          <w:spacing w:val="-2"/>
        </w:rPr>
        <w:t>日刊登于《中国证</w:t>
      </w:r>
      <w:r>
        <w:rPr>
          <w:spacing w:val="-10"/>
        </w:rPr>
        <w:t> </w:t>
      </w:r>
      <w:r>
        <w:rPr>
          <w:spacing w:val="-10"/>
        </w:rPr>
      </w:r>
      <w:r>
        <w:rPr/>
        <w:t>券报》、《证券时报》及巨潮资讯网</w:t>
      </w:r>
      <w:hyperlink r:id="rId28">
        <w:r>
          <w:rPr>
            <w:rFonts w:ascii="Times New Roman" w:hAnsi="Times New Roman" w:cs="Times New Roman" w:eastAsia="Times New Roman" w:hint="default"/>
          </w:rPr>
          <w:t>www.cninfo.com.cn</w:t>
        </w:r>
        <w:r>
          <w:rPr/>
          <w:t>的《关于</w:t>
        </w:r>
      </w:hyperlink>
      <w:r>
        <w:rPr/>
        <w:t>向</w:t>
      </w:r>
      <w:r>
        <w:rPr>
          <w:rFonts w:ascii="Times New Roman" w:hAnsi="Times New Roman" w:cs="Times New Roman" w:eastAsia="Times New Roman" w:hint="default"/>
        </w:rPr>
        <w:t>ALIBABA SJ INVESTMENT</w:t>
      </w:r>
      <w:r>
        <w:rPr>
          <w:rFonts w:ascii="Times New Roman" w:hAnsi="Times New Roman" w:cs="Times New Roman" w:eastAsia="Times New Roman" w:hint="default"/>
          <w:spacing w:val="-18"/>
        </w:rPr>
        <w:t> </w:t>
      </w:r>
      <w:r>
        <w:rPr>
          <w:rFonts w:ascii="Times New Roman" w:hAnsi="Times New Roman" w:cs="Times New Roman" w:eastAsia="Times New Roman" w:hint="default"/>
        </w:rPr>
        <w:t>LIMITED</w:t>
      </w:r>
      <w:r>
        <w:rPr>
          <w:rFonts w:ascii="Times New Roman" w:hAnsi="Times New Roman" w:cs="Times New Roman" w:eastAsia="Times New Roman" w:hint="default"/>
          <w:w w:val="100"/>
        </w:rPr>
        <w:t> </w:t>
      </w:r>
      <w:r>
        <w:rPr/>
        <w:t>出售全资子公司</w:t>
      </w:r>
      <w:r>
        <w:rPr>
          <w:rFonts w:ascii="Times New Roman" w:hAnsi="Times New Roman" w:cs="Times New Roman" w:eastAsia="Times New Roman" w:hint="default"/>
        </w:rPr>
        <w:t>Shiji Retail Information Technology Co.</w:t>
      </w:r>
      <w:r>
        <w:rPr>
          <w:rFonts w:ascii="Times New Roman" w:hAnsi="Times New Roman" w:cs="Times New Roman" w:eastAsia="Times New Roman" w:hint="default"/>
          <w:spacing w:val="-17"/>
        </w:rPr>
        <w:t> </w:t>
      </w:r>
      <w:r>
        <w:rPr>
          <w:rFonts w:ascii="Times New Roman" w:hAnsi="Times New Roman" w:cs="Times New Roman" w:eastAsia="Times New Roman" w:hint="default"/>
        </w:rPr>
        <w:t>Ltd.38%</w:t>
      </w:r>
      <w:r>
        <w:rPr/>
        <w:t>股权暨关联交易的公告》（</w:t>
      </w:r>
      <w:r>
        <w:rPr>
          <w:rFonts w:ascii="Times New Roman" w:hAnsi="Times New Roman" w:cs="Times New Roman" w:eastAsia="Times New Roman" w:hint="default"/>
        </w:rPr>
        <w:t>2018-04</w:t>
      </w:r>
      <w:r>
        <w:rPr/>
        <w:t>）。</w:t>
      </w:r>
    </w:p>
    <w:p>
      <w:pPr>
        <w:pStyle w:val="BodyText"/>
        <w:spacing w:line="240" w:lineRule="auto" w:before="43"/>
        <w:ind w:left="573" w:right="1133"/>
        <w:jc w:val="left"/>
      </w:pPr>
      <w:r>
        <w:rPr/>
        <w:t>（</w:t>
      </w:r>
      <w:r>
        <w:rPr>
          <w:rFonts w:ascii="Times New Roman" w:hAnsi="Times New Roman" w:cs="Times New Roman" w:eastAsia="Times New Roman" w:hint="default"/>
        </w:rPr>
        <w:t>2</w:t>
      </w:r>
      <w:r>
        <w:rPr/>
        <w:t>）公司及控股子公司与淘宝（中国）软件有限公司签署《战略合作框架协议》</w:t>
      </w:r>
    </w:p>
    <w:p>
      <w:pPr>
        <w:pStyle w:val="BodyText"/>
        <w:spacing w:line="256" w:lineRule="auto" w:before="62"/>
        <w:ind w:right="1105"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7</w:t>
      </w:r>
      <w:r>
        <w:rPr>
          <w:spacing w:val="-2"/>
        </w:rPr>
        <w:t>日，北京、公司子公司石基零售及思迅软件与淘宝（中国）签署《战略合作框架协议》，</w:t>
      </w:r>
      <w:r>
        <w:rPr>
          <w:w w:val="100"/>
        </w:rPr>
        <w:t> </w:t>
      </w:r>
      <w:r>
        <w:rPr/>
        <w:t>公司将通过子公司石基零售及思迅软件与</w:t>
      </w:r>
      <w:r>
        <w:rPr>
          <w:spacing w:val="-14"/>
        </w:rPr>
        <w:t> </w:t>
      </w:r>
      <w:r>
        <w:rPr>
          <w:rFonts w:ascii="Times New Roman" w:hAnsi="Times New Roman" w:cs="Times New Roman" w:eastAsia="Times New Roman" w:hint="default"/>
        </w:rPr>
        <w:t>Alibaba</w:t>
      </w:r>
      <w:r>
        <w:rPr>
          <w:rFonts w:ascii="Times New Roman" w:hAnsi="Times New Roman" w:cs="Times New Roman" w:eastAsia="Times New Roman" w:hint="default"/>
          <w:spacing w:val="-11"/>
        </w:rPr>
        <w:t> </w:t>
      </w:r>
      <w:r>
        <w:rPr>
          <w:rFonts w:ascii="Times New Roman" w:hAnsi="Times New Roman" w:cs="Times New Roman" w:eastAsia="Times New Roman" w:hint="default"/>
        </w:rPr>
        <w:t>Group</w:t>
      </w:r>
      <w:r>
        <w:rPr>
          <w:rFonts w:ascii="Times New Roman" w:hAnsi="Times New Roman" w:cs="Times New Roman" w:eastAsia="Times New Roman" w:hint="default"/>
          <w:spacing w:val="-8"/>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3"/>
        </w:rPr>
        <w:t>Limited</w:t>
      </w:r>
      <w:r>
        <w:rPr>
          <w:spacing w:val="-3"/>
        </w:rPr>
        <w:t>（以下简称</w:t>
      </w:r>
      <w:r>
        <w:rPr>
          <w:rFonts w:ascii="Times New Roman" w:hAnsi="Times New Roman" w:cs="Times New Roman" w:eastAsia="Times New Roman" w:hint="default"/>
          <w:spacing w:val="-3"/>
        </w:rPr>
        <w:t>“</w:t>
      </w:r>
      <w:r>
        <w:rPr>
          <w:spacing w:val="-3"/>
        </w:rPr>
        <w:t>阿里巴巴</w:t>
      </w:r>
      <w:r>
        <w:rPr>
          <w:rFonts w:ascii="Times New Roman" w:hAnsi="Times New Roman" w:cs="Times New Roman" w:eastAsia="Times New Roman" w:hint="default"/>
          <w:spacing w:val="-3"/>
        </w:rPr>
        <w:t>”</w:t>
      </w:r>
      <w:r>
        <w:rPr>
          <w:spacing w:val="-3"/>
        </w:rPr>
        <w:t>）就新零售</w:t>
      </w:r>
      <w:r>
        <w:rPr>
          <w:spacing w:val="-99"/>
        </w:rPr>
        <w:t> </w:t>
      </w:r>
      <w:r>
        <w:rPr>
          <w:spacing w:val="-99"/>
        </w:rPr>
      </w:r>
      <w:r>
        <w:rPr>
          <w:spacing w:val="-10"/>
          <w:w w:val="100"/>
        </w:rPr>
        <w:t>业务进行深度合作。详见</w:t>
      </w:r>
      <w:r>
        <w:rPr>
          <w:rFonts w:ascii="Times New Roman" w:hAnsi="Times New Roman" w:cs="Times New Roman" w:eastAsia="Times New Roman" w:hint="default"/>
          <w:spacing w:val="-10"/>
          <w:w w:val="100"/>
        </w:rPr>
        <w:t>2018</w:t>
      </w:r>
      <w:r>
        <w:rPr>
          <w:spacing w:val="-10"/>
          <w:w w:val="100"/>
        </w:rPr>
        <w:t>年</w:t>
      </w:r>
      <w:r>
        <w:rPr>
          <w:rFonts w:ascii="Times New Roman" w:hAnsi="Times New Roman" w:cs="Times New Roman" w:eastAsia="Times New Roman" w:hint="default"/>
          <w:spacing w:val="-10"/>
          <w:w w:val="100"/>
        </w:rPr>
        <w:t>2</w:t>
      </w:r>
      <w:r>
        <w:rPr>
          <w:spacing w:val="-10"/>
          <w:w w:val="100"/>
        </w:rPr>
        <w:t>月</w:t>
      </w:r>
      <w:r>
        <w:rPr>
          <w:rFonts w:ascii="Times New Roman" w:hAnsi="Times New Roman" w:cs="Times New Roman" w:eastAsia="Times New Roman" w:hint="default"/>
          <w:spacing w:val="-10"/>
          <w:w w:val="100"/>
        </w:rPr>
        <w:t>8</w:t>
      </w:r>
      <w:r>
        <w:rPr>
          <w:spacing w:val="-10"/>
          <w:w w:val="100"/>
        </w:rPr>
        <w:t>日刊登于《中国证券报》、《证券时报》及巨潮资讯网</w:t>
      </w:r>
      <w:hyperlink r:id="rId13">
        <w:r>
          <w:rPr>
            <w:rFonts w:ascii="Times New Roman" w:hAnsi="Times New Roman" w:cs="Times New Roman" w:eastAsia="Times New Roman" w:hint="default"/>
            <w:spacing w:val="-10"/>
            <w:w w:val="100"/>
          </w:rPr>
          <w:t>www.cninfo.com.cn</w:t>
        </w:r>
      </w:hyperlink>
      <w:r>
        <w:rPr>
          <w:rFonts w:ascii="Times New Roman" w:hAnsi="Times New Roman" w:cs="Times New Roman" w:eastAsia="Times New Roman" w:hint="default"/>
          <w:spacing w:val="1"/>
          <w:w w:val="100"/>
        </w:rPr>
        <w:t> </w:t>
      </w:r>
      <w:r>
        <w:rPr>
          <w:rFonts w:ascii="Times New Roman" w:hAnsi="Times New Roman" w:cs="Times New Roman" w:eastAsia="Times New Roman" w:hint="default"/>
          <w:spacing w:val="1"/>
          <w:w w:val="100"/>
        </w:rPr>
      </w:r>
      <w:r>
        <w:rPr>
          <w:spacing w:val="-2"/>
        </w:rPr>
        <w:t>的《关于公司及控股子公司与淘宝（中国）软件有限公司签署《战略合作框架协议》暨关联交易的公告》</w:t>
      </w:r>
    </w:p>
    <w:p>
      <w:pPr>
        <w:spacing w:after="0" w:line="256" w:lineRule="auto"/>
        <w:jc w:val="both"/>
        <w:sectPr>
          <w:headerReference w:type="default" r:id="rId32"/>
          <w:footerReference w:type="default" r:id="rId33"/>
          <w:pgSz w:w="11910" w:h="16840"/>
          <w:pgMar w:header="877" w:footer="980" w:top="1100" w:bottom="1160" w:left="980" w:right="0"/>
          <w:pgNumType w:start="70"/>
        </w:sectPr>
      </w:pPr>
    </w:p>
    <w:p>
      <w:pPr>
        <w:spacing w:line="240" w:lineRule="auto" w:before="11"/>
        <w:rPr>
          <w:rFonts w:ascii="宋体" w:hAnsi="宋体" w:cs="宋体" w:eastAsia="宋体" w:hint="default"/>
          <w:sz w:val="20"/>
          <w:szCs w:val="20"/>
        </w:rPr>
      </w:pPr>
    </w:p>
    <w:p>
      <w:pPr>
        <w:pStyle w:val="BodyText"/>
        <w:spacing w:line="240" w:lineRule="auto" w:before="36"/>
        <w:ind w:right="1133"/>
        <w:jc w:val="left"/>
      </w:pPr>
      <w:r>
        <w:rPr/>
        <w:t>（</w:t>
      </w:r>
      <w:r>
        <w:rPr>
          <w:rFonts w:ascii="Times New Roman" w:hAnsi="Times New Roman" w:cs="Times New Roman" w:eastAsia="Times New Roman" w:hint="default"/>
        </w:rPr>
        <w:t>2018-05</w:t>
      </w:r>
      <w:r>
        <w:rPr/>
        <w:t>）。</w:t>
      </w:r>
    </w:p>
    <w:p>
      <w:pPr>
        <w:spacing w:before="83"/>
        <w:ind w:left="152" w:right="1133"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254"/>
        <w:gridCol w:w="2268"/>
        <w:gridCol w:w="3049"/>
      </w:tblGrid>
      <w:tr>
        <w:trPr>
          <w:trHeight w:val="403"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102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ALIBABA</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SJ</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INVESTMENT</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出售全</w:t>
            </w:r>
          </w:p>
          <w:p>
            <w:pPr>
              <w:pStyle w:val="TableParagraph"/>
              <w:spacing w:line="300" w:lineRule="auto" w:before="63"/>
              <w:ind w:left="24" w:right="546"/>
              <w:jc w:val="left"/>
              <w:rPr>
                <w:rFonts w:ascii="宋体" w:hAnsi="宋体" w:cs="宋体" w:eastAsia="宋体" w:hint="default"/>
                <w:sz w:val="18"/>
                <w:szCs w:val="18"/>
              </w:rPr>
            </w:pPr>
            <w:r>
              <w:rPr>
                <w:rFonts w:ascii="宋体" w:hAnsi="宋体" w:cs="宋体" w:eastAsia="宋体" w:hint="default"/>
                <w:sz w:val="18"/>
                <w:szCs w:val="18"/>
              </w:rPr>
              <w:t>资子公司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Shiji</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Retail</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Technology</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Co.</w:t>
            </w:r>
            <w:r>
              <w:rPr>
                <w:rFonts w:ascii="Times New Roman" w:hAnsi="Times New Roman" w:cs="Times New Roman" w:eastAsia="Times New Roman" w:hint="default"/>
                <w:sz w:val="18"/>
                <w:szCs w:val="18"/>
              </w:rPr>
              <w:t> Ltd.38%</w:t>
            </w:r>
            <w:r>
              <w:rPr>
                <w:rFonts w:ascii="宋体" w:hAnsi="宋体" w:cs="宋体" w:eastAsia="宋体" w:hint="default"/>
                <w:sz w:val="18"/>
                <w:szCs w:val="18"/>
              </w:rPr>
              <w:t>股权暨关联交易的公告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www.cninfo.com;</w:t>
            </w:r>
          </w:p>
        </w:tc>
      </w:tr>
      <w:tr>
        <w:trPr>
          <w:trHeight w:val="71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8"/>
              <w:jc w:val="left"/>
              <w:rPr>
                <w:rFonts w:ascii="宋体" w:hAnsi="宋体" w:cs="宋体" w:eastAsia="宋体" w:hint="default"/>
                <w:sz w:val="18"/>
                <w:szCs w:val="18"/>
              </w:rPr>
            </w:pPr>
            <w:r>
              <w:rPr>
                <w:rFonts w:ascii="宋体" w:hAnsi="宋体" w:cs="宋体" w:eastAsia="宋体" w:hint="default"/>
                <w:sz w:val="18"/>
                <w:szCs w:val="18"/>
              </w:rPr>
              <w:t>关于公司及控股子公司与淘宝（中国）软件有限公司 签署《战略合作框架协议》暨关联交易的公告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www.cninfo.com;</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7"/>
        <w:rPr>
          <w:rFonts w:ascii="宋体" w:hAnsi="宋体" w:cs="宋体" w:eastAsia="宋体" w:hint="default"/>
          <w:sz w:val="21"/>
          <w:szCs w:val="21"/>
        </w:rPr>
      </w:pPr>
    </w:p>
    <w:p>
      <w:pPr>
        <w:pStyle w:val="Heading7"/>
        <w:spacing w:line="240" w:lineRule="auto"/>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7"/>
        <w:rPr>
          <w:rFonts w:ascii="宋体" w:hAnsi="宋体" w:cs="宋体" w:eastAsia="宋体" w:hint="default"/>
          <w:sz w:val="21"/>
          <w:szCs w:val="21"/>
        </w:rPr>
      </w:pPr>
    </w:p>
    <w:p>
      <w:pPr>
        <w:pStyle w:val="Heading7"/>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3"/>
        <w:rPr>
          <w:rFonts w:ascii="宋体" w:hAnsi="宋体" w:cs="宋体" w:eastAsia="宋体" w:hint="default"/>
          <w:sz w:val="21"/>
          <w:szCs w:val="21"/>
        </w:rPr>
      </w:pPr>
    </w:p>
    <w:p>
      <w:pPr>
        <w:pStyle w:val="Heading7"/>
        <w:spacing w:line="240" w:lineRule="auto"/>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24"/>
        <w:gridCol w:w="927"/>
        <w:gridCol w:w="1296"/>
        <w:gridCol w:w="1064"/>
        <w:gridCol w:w="1034"/>
        <w:gridCol w:w="1046"/>
        <w:gridCol w:w="795"/>
        <w:gridCol w:w="780"/>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25" w:hRule="exact"/>
        </w:trPr>
        <w:tc>
          <w:tcPr>
            <w:tcW w:w="1709" w:type="dxa"/>
            <w:tcBorders>
              <w:top w:val="single" w:sz="4" w:space="0" w:color="000000"/>
              <w:left w:val="single" w:sz="4" w:space="0" w:color="000000"/>
              <w:bottom w:val="single" w:sz="12" w:space="0" w:color="D2D2D2"/>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石基（香港）有限公 司</w:t>
            </w:r>
          </w:p>
        </w:tc>
        <w:tc>
          <w:tcPr>
            <w:tcW w:w="924"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22,200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22,200</w:t>
            </w:r>
          </w:p>
        </w:tc>
        <w:tc>
          <w:tcPr>
            <w:tcW w:w="1034"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3"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w:t>
            </w:r>
          </w:p>
        </w:tc>
        <w:tc>
          <w:tcPr>
            <w:tcW w:w="2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43,285</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报告期内对子公司担保实</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22,200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609"/>
        <w:gridCol w:w="2239"/>
        <w:gridCol w:w="2083"/>
        <w:gridCol w:w="2632"/>
      </w:tblGrid>
      <w:tr>
        <w:trPr>
          <w:trHeight w:val="362"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9" w:type="dxa"/>
            <w:tcBorders>
              <w:top w:val="single" w:sz="4" w:space="0" w:color="000000"/>
              <w:left w:val="single" w:sz="13" w:space="0" w:color="D2D2D2"/>
              <w:bottom w:val="single" w:sz="4" w:space="0" w:color="000000"/>
              <w:right w:val="single" w:sz="13" w:space="0" w:color="D2D2D2"/>
            </w:tcBorders>
          </w:tcPr>
          <w:p>
            <w:pPr/>
          </w:p>
        </w:tc>
        <w:tc>
          <w:tcPr>
            <w:tcW w:w="2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9" w:right="0"/>
              <w:jc w:val="left"/>
              <w:rPr>
                <w:rFonts w:ascii="宋体" w:hAnsi="宋体" w:cs="宋体" w:eastAsia="宋体" w:hint="default"/>
                <w:sz w:val="18"/>
                <w:szCs w:val="18"/>
              </w:rPr>
            </w:pP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32" w:type="dxa"/>
            <w:tcBorders>
              <w:top w:val="single" w:sz="4" w:space="0" w:color="000000"/>
              <w:left w:val="single" w:sz="12" w:space="0" w:color="D2D2D2"/>
              <w:bottom w:val="single" w:sz="4" w:space="0" w:color="000000"/>
              <w:right w:val="single" w:sz="4" w:space="0" w:color="000000"/>
            </w:tcBorders>
          </w:tcPr>
          <w:p>
            <w:pPr/>
          </w:p>
        </w:tc>
      </w:tr>
      <w:tr>
        <w:trPr>
          <w:trHeight w:val="718"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43,285</w:t>
            </w:r>
          </w:p>
        </w:tc>
        <w:tc>
          <w:tcPr>
            <w:tcW w:w="2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 w:right="71"/>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3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8"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43,285</w:t>
            </w:r>
          </w:p>
        </w:tc>
        <w:tc>
          <w:tcPr>
            <w:tcW w:w="2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 w:right="71"/>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3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22,200</w:t>
            </w:r>
          </w:p>
        </w:tc>
      </w:tr>
      <w:tr>
        <w:trPr>
          <w:trHeight w:val="715"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43,285</w:t>
            </w:r>
          </w:p>
        </w:tc>
        <w:tc>
          <w:tcPr>
            <w:tcW w:w="2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 w:right="7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4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5"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95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6" w:hRule="exact"/>
        </w:trPr>
        <w:tc>
          <w:tcPr>
            <w:tcW w:w="4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5"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4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27"/>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5"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5"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5"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4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4"/>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5"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5"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pStyle w:val="Heading7"/>
        <w:spacing w:line="240" w:lineRule="auto" w:before="118"/>
        <w:ind w:right="113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line="240" w:lineRule="auto" w:before="5"/>
        <w:rPr>
          <w:rFonts w:ascii="宋体" w:hAnsi="宋体" w:cs="宋体" w:eastAsia="宋体" w:hint="default"/>
          <w:sz w:val="21"/>
          <w:szCs w:val="21"/>
        </w:rPr>
      </w:pPr>
    </w:p>
    <w:p>
      <w:pPr>
        <w:pStyle w:val="Heading7"/>
        <w:spacing w:line="240" w:lineRule="auto"/>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spacing w:line="340"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787"/>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83,880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17,890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83,880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40" w:lineRule="auto" w:before="115"/>
        <w:ind w:left="152" w:right="5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委托理财出现预期无法收回本金或存在其他可能导致减值的情形</w:t>
      </w:r>
    </w:p>
    <w:p>
      <w:pPr>
        <w:spacing w:before="39"/>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7"/>
        <w:rPr>
          <w:rFonts w:ascii="宋体" w:hAnsi="宋体" w:cs="宋体" w:eastAsia="宋体" w:hint="default"/>
          <w:sz w:val="21"/>
          <w:szCs w:val="21"/>
        </w:rPr>
      </w:pPr>
    </w:p>
    <w:p>
      <w:pPr>
        <w:pStyle w:val="Heading7"/>
        <w:spacing w:line="240" w:lineRule="auto"/>
        <w:ind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8"/>
        <w:rPr>
          <w:rFonts w:ascii="宋体" w:hAnsi="宋体" w:cs="宋体" w:eastAsia="宋体" w:hint="default"/>
          <w:sz w:val="19"/>
          <w:szCs w:val="19"/>
        </w:rPr>
      </w:pPr>
    </w:p>
    <w:p>
      <w:pPr>
        <w:pStyle w:val="Heading3"/>
        <w:spacing w:line="240" w:lineRule="auto"/>
        <w:ind w:right="1133"/>
        <w:jc w:val="left"/>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right="1133"/>
        <w:jc w:val="left"/>
      </w:pPr>
      <w:r>
        <w:rPr/>
        <w:t>公司已在《社会责任报告》中详细披露了公司积极履行社会责任的工作情况，详见公司于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w:t>
      </w:r>
      <w:r>
        <w:rPr>
          <w:spacing w:val="-24"/>
        </w:rPr>
        <w:t> </w:t>
      </w:r>
      <w:r>
        <w:rPr/>
        <w:t>披露的《</w:t>
      </w:r>
      <w:r>
        <w:rPr>
          <w:rFonts w:ascii="Times New Roman" w:hAnsi="Times New Roman" w:cs="Times New Roman" w:eastAsia="Times New Roman" w:hint="default"/>
        </w:rPr>
        <w:t>2018</w:t>
      </w:r>
      <w:r>
        <w:rPr/>
        <w:t>年度社会责任报告》，报告全文登载于巨潮资讯网（</w:t>
      </w:r>
      <w:hyperlink r:id="rId13">
        <w:r>
          <w:rPr>
            <w:rFonts w:ascii="Times New Roman" w:hAnsi="Times New Roman" w:cs="Times New Roman" w:eastAsia="Times New Roman" w:hint="default"/>
          </w:rPr>
          <w:t>www.cninfo.com.cn</w:t>
        </w:r>
      </w:hyperlink>
      <w:r>
        <w:rPr/>
        <w:t>）。</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7"/>
        <w:spacing w:line="240" w:lineRule="auto"/>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spacing w:line="520" w:lineRule="auto" w:before="0"/>
        <w:ind w:left="152" w:right="355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b/>
          <w:bCs/>
          <w:spacing w:val="-104"/>
          <w:sz w:val="21"/>
          <w:szCs w:val="21"/>
        </w:rPr>
        <w:t> </w:t>
      </w:r>
      <w:r>
        <w:rPr>
          <w:rFonts w:ascii="宋体" w:hAnsi="宋体" w:cs="宋体" w:eastAsia="宋体" w:hint="default"/>
          <w:spacing w:val="-2"/>
          <w:sz w:val="21"/>
          <w:szCs w:val="21"/>
        </w:rPr>
        <w:t>公司报告年度暂未开展精准扶贫工作，也暂无后续精准扶贫计划。</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360" w:lineRule="auto" w:before="7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before="25"/>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3"/>
        <w:spacing w:line="240" w:lineRule="auto"/>
        <w:ind w:right="1133"/>
        <w:jc w:val="left"/>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7"/>
        <w:spacing w:line="240" w:lineRule="auto" w:before="83"/>
        <w:ind w:left="575" w:right="1133"/>
        <w:jc w:val="left"/>
        <w:rPr>
          <w:b w:val="0"/>
          <w:bCs w:val="0"/>
        </w:rPr>
      </w:pPr>
      <w:r>
        <w:rPr/>
        <w:t>（</w:t>
      </w:r>
      <w:r>
        <w:rPr>
          <w:rFonts w:ascii="Times New Roman" w:hAnsi="Times New Roman" w:cs="Times New Roman" w:eastAsia="Times New Roman" w:hint="default"/>
        </w:rPr>
        <w:t>1</w:t>
      </w:r>
      <w:r>
        <w:rPr/>
        <w:t>）公司及控股子公司与淘宝（中国）软件有限公司签署《战略合作框架协议》</w:t>
      </w:r>
      <w:r>
        <w:rPr>
          <w:b w:val="0"/>
          <w:bCs w:val="0"/>
        </w:rPr>
      </w:r>
    </w:p>
    <w:p>
      <w:pPr>
        <w:pStyle w:val="BodyText"/>
        <w:spacing w:line="256" w:lineRule="auto" w:before="59"/>
        <w:ind w:right="1104"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7</w:t>
      </w:r>
      <w:r>
        <w:rPr>
          <w:spacing w:val="-2"/>
        </w:rPr>
        <w:t>日，公司及控股子公司石基零售、思迅软件与淘宝（中国）签署《战略合作框架协议》，</w:t>
      </w:r>
      <w:r>
        <w:rPr>
          <w:w w:val="100"/>
        </w:rPr>
        <w:t> </w:t>
      </w:r>
      <w:r>
        <w:rPr/>
        <w:t>公司将通过子公司石基零售及思迅软件与</w:t>
      </w:r>
      <w:r>
        <w:rPr>
          <w:spacing w:val="-14"/>
        </w:rPr>
        <w:t> </w:t>
      </w:r>
      <w:r>
        <w:rPr>
          <w:rFonts w:ascii="Times New Roman" w:hAnsi="Times New Roman" w:cs="Times New Roman" w:eastAsia="Times New Roman" w:hint="default"/>
        </w:rPr>
        <w:t>Alibaba</w:t>
      </w:r>
      <w:r>
        <w:rPr>
          <w:rFonts w:ascii="Times New Roman" w:hAnsi="Times New Roman" w:cs="Times New Roman" w:eastAsia="Times New Roman" w:hint="default"/>
          <w:spacing w:val="-11"/>
        </w:rPr>
        <w:t> </w:t>
      </w:r>
      <w:r>
        <w:rPr>
          <w:rFonts w:ascii="Times New Roman" w:hAnsi="Times New Roman" w:cs="Times New Roman" w:eastAsia="Times New Roman" w:hint="default"/>
        </w:rPr>
        <w:t>Group</w:t>
      </w:r>
      <w:r>
        <w:rPr>
          <w:rFonts w:ascii="Times New Roman" w:hAnsi="Times New Roman" w:cs="Times New Roman" w:eastAsia="Times New Roman" w:hint="default"/>
          <w:spacing w:val="-8"/>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3"/>
        </w:rPr>
        <w:t>Limited</w:t>
      </w:r>
      <w:r>
        <w:rPr>
          <w:spacing w:val="-3"/>
        </w:rPr>
        <w:t>（以下简称</w:t>
      </w:r>
      <w:r>
        <w:rPr>
          <w:rFonts w:ascii="Times New Roman" w:hAnsi="Times New Roman" w:cs="Times New Roman" w:eastAsia="Times New Roman" w:hint="default"/>
          <w:spacing w:val="-3"/>
        </w:rPr>
        <w:t>“</w:t>
      </w:r>
      <w:r>
        <w:rPr>
          <w:spacing w:val="-3"/>
        </w:rPr>
        <w:t>阿里巴巴</w:t>
      </w:r>
      <w:r>
        <w:rPr>
          <w:rFonts w:ascii="Times New Roman" w:hAnsi="Times New Roman" w:cs="Times New Roman" w:eastAsia="Times New Roman" w:hint="default"/>
          <w:spacing w:val="-3"/>
        </w:rPr>
        <w:t>”</w:t>
      </w:r>
      <w:r>
        <w:rPr>
          <w:spacing w:val="-3"/>
        </w:rPr>
        <w:t>）就新零售</w:t>
      </w:r>
      <w:r>
        <w:rPr>
          <w:spacing w:val="-99"/>
        </w:rPr>
        <w:t> </w:t>
      </w:r>
      <w:r>
        <w:rPr>
          <w:spacing w:val="-99"/>
        </w:rPr>
      </w:r>
      <w:r>
        <w:rPr>
          <w:spacing w:val="-10"/>
          <w:w w:val="100"/>
        </w:rPr>
        <w:t>业务进行深度合作。详见</w:t>
      </w:r>
      <w:r>
        <w:rPr>
          <w:rFonts w:ascii="Times New Roman" w:hAnsi="Times New Roman" w:cs="Times New Roman" w:eastAsia="Times New Roman" w:hint="default"/>
          <w:spacing w:val="-10"/>
          <w:w w:val="100"/>
        </w:rPr>
        <w:t>2018</w:t>
      </w:r>
      <w:r>
        <w:rPr>
          <w:spacing w:val="-10"/>
          <w:w w:val="100"/>
        </w:rPr>
        <w:t>年</w:t>
      </w:r>
      <w:r>
        <w:rPr>
          <w:rFonts w:ascii="Times New Roman" w:hAnsi="Times New Roman" w:cs="Times New Roman" w:eastAsia="Times New Roman" w:hint="default"/>
          <w:spacing w:val="-10"/>
          <w:w w:val="100"/>
        </w:rPr>
        <w:t>2</w:t>
      </w:r>
      <w:r>
        <w:rPr>
          <w:spacing w:val="-10"/>
          <w:w w:val="100"/>
        </w:rPr>
        <w:t>月</w:t>
      </w:r>
      <w:r>
        <w:rPr>
          <w:rFonts w:ascii="Times New Roman" w:hAnsi="Times New Roman" w:cs="Times New Roman" w:eastAsia="Times New Roman" w:hint="default"/>
          <w:spacing w:val="-10"/>
          <w:w w:val="100"/>
        </w:rPr>
        <w:t>8</w:t>
      </w:r>
      <w:r>
        <w:rPr>
          <w:spacing w:val="-10"/>
          <w:w w:val="100"/>
        </w:rPr>
        <w:t>日刊登于《中国证券报》、《证券时报》及巨潮资讯网</w:t>
      </w:r>
      <w:hyperlink r:id="rId13">
        <w:r>
          <w:rPr>
            <w:rFonts w:ascii="Times New Roman" w:hAnsi="Times New Roman" w:cs="Times New Roman" w:eastAsia="Times New Roman" w:hint="default"/>
            <w:spacing w:val="-10"/>
            <w:w w:val="100"/>
          </w:rPr>
          <w:t>www.cninfo.com.cn</w:t>
        </w:r>
      </w:hyperlink>
      <w:r>
        <w:rPr>
          <w:rFonts w:ascii="Times New Roman" w:hAnsi="Times New Roman" w:cs="Times New Roman" w:eastAsia="Times New Roman" w:hint="default"/>
          <w:spacing w:val="2"/>
          <w:w w:val="100"/>
        </w:rPr>
        <w:t> </w:t>
      </w:r>
      <w:r>
        <w:rPr>
          <w:rFonts w:ascii="Times New Roman" w:hAnsi="Times New Roman" w:cs="Times New Roman" w:eastAsia="Times New Roman" w:hint="default"/>
          <w:spacing w:val="2"/>
          <w:w w:val="100"/>
        </w:rPr>
      </w:r>
      <w:r>
        <w:rPr>
          <w:spacing w:val="-2"/>
        </w:rPr>
        <w:t>的《关于公司及控股子公司与淘宝（中国）软件有限公司签署《战略合作框架协议》暨关联交易的公告》</w:t>
      </w:r>
    </w:p>
    <w:p>
      <w:pPr>
        <w:pStyle w:val="BodyText"/>
        <w:spacing w:line="240" w:lineRule="auto" w:before="22"/>
        <w:ind w:right="1133"/>
        <w:jc w:val="left"/>
      </w:pPr>
      <w:r>
        <w:rPr/>
        <w:t>（公告编号：</w:t>
      </w:r>
      <w:r>
        <w:rPr>
          <w:rFonts w:ascii="Times New Roman" w:hAnsi="Times New Roman" w:cs="Times New Roman" w:eastAsia="Times New Roman" w:hint="default"/>
        </w:rPr>
        <w:t>2018-05</w:t>
      </w:r>
      <w:r>
        <w:rPr/>
        <w:t>）。</w:t>
      </w:r>
    </w:p>
    <w:p>
      <w:pPr>
        <w:pStyle w:val="Heading7"/>
        <w:spacing w:line="240" w:lineRule="auto" w:before="62"/>
        <w:ind w:left="575" w:right="1133"/>
        <w:jc w:val="left"/>
        <w:rPr>
          <w:b w:val="0"/>
          <w:bCs w:val="0"/>
        </w:rPr>
      </w:pPr>
      <w:r>
        <w:rPr/>
        <w:t>（</w:t>
      </w:r>
      <w:r>
        <w:rPr>
          <w:rFonts w:ascii="Times New Roman" w:hAnsi="Times New Roman" w:cs="Times New Roman" w:eastAsia="Times New Roman" w:hint="default"/>
        </w:rPr>
        <w:t>2</w:t>
      </w:r>
      <w:r>
        <w:rPr/>
        <w:t>）公司与 </w:t>
      </w:r>
      <w:r>
        <w:rPr>
          <w:rFonts w:ascii="Times New Roman" w:hAnsi="Times New Roman" w:cs="Times New Roman" w:eastAsia="Times New Roman" w:hint="default"/>
        </w:rPr>
        <w:t>ORACLE</w:t>
      </w:r>
      <w:r>
        <w:rPr>
          <w:rFonts w:ascii="Times New Roman" w:hAnsi="Times New Roman" w:cs="Times New Roman" w:eastAsia="Times New Roman" w:hint="default"/>
          <w:spacing w:val="18"/>
        </w:rPr>
        <w:t> </w:t>
      </w:r>
      <w:r>
        <w:rPr/>
        <w:t>公司重大合同续签</w:t>
      </w:r>
      <w:r>
        <w:rPr>
          <w:b w:val="0"/>
          <w:bCs w:val="0"/>
        </w:rPr>
      </w:r>
    </w:p>
    <w:p>
      <w:pPr>
        <w:pStyle w:val="BodyText"/>
        <w:spacing w:line="240" w:lineRule="auto" w:before="62"/>
        <w:ind w:left="573" w:right="0"/>
        <w:jc w:val="left"/>
        <w:rPr>
          <w:rFonts w:ascii="Times New Roman" w:hAnsi="Times New Roman" w:cs="Times New Roman" w:eastAsia="Times New Roman" w:hint="default"/>
        </w:rPr>
      </w:pP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31</w:t>
      </w:r>
      <w:r>
        <w:rPr>
          <w:spacing w:val="5"/>
        </w:rPr>
        <w:t>日，公司与</w:t>
      </w:r>
      <w:r>
        <w:rPr>
          <w:rFonts w:ascii="Times New Roman" w:hAnsi="Times New Roman" w:cs="Times New Roman" w:eastAsia="Times New Roman" w:hint="default"/>
          <w:spacing w:val="5"/>
        </w:rPr>
        <w:t>ORACLE</w:t>
      </w:r>
      <w:r>
        <w:rPr>
          <w:spacing w:val="5"/>
        </w:rPr>
        <w:t>公司达成《</w:t>
      </w:r>
      <w:r>
        <w:rPr>
          <w:rFonts w:ascii="Times New Roman" w:hAnsi="Times New Roman" w:cs="Times New Roman" w:eastAsia="Times New Roman" w:hint="default"/>
          <w:spacing w:val="5"/>
        </w:rPr>
        <w:t>AMENDMENT  </w:t>
      </w:r>
      <w:r>
        <w:rPr>
          <w:rFonts w:ascii="Times New Roman" w:hAnsi="Times New Roman" w:cs="Times New Roman" w:eastAsia="Times New Roman" w:hint="default"/>
        </w:rPr>
        <w:t>3  to  the  FULL  USE </w:t>
      </w:r>
      <w:r>
        <w:rPr>
          <w:rFonts w:ascii="Times New Roman" w:hAnsi="Times New Roman" w:cs="Times New Roman" w:eastAsia="Times New Roman" w:hint="default"/>
          <w:spacing w:val="6"/>
        </w:rPr>
        <w:t> </w:t>
      </w:r>
      <w:r>
        <w:rPr>
          <w:rFonts w:ascii="Times New Roman" w:hAnsi="Times New Roman" w:cs="Times New Roman" w:eastAsia="Times New Roman" w:hint="default"/>
        </w:rPr>
        <w:t>DISTRIBUTION</w:t>
      </w:r>
    </w:p>
    <w:p>
      <w:pPr>
        <w:pStyle w:val="BodyText"/>
        <w:spacing w:line="256" w:lineRule="auto" w:before="21"/>
        <w:ind w:right="1126"/>
        <w:jc w:val="both"/>
      </w:pPr>
      <w:r>
        <w:rPr>
          <w:rFonts w:ascii="Times New Roman" w:hAnsi="Times New Roman" w:cs="Times New Roman" w:eastAsia="Times New Roman" w:hint="default"/>
          <w:spacing w:val="-3"/>
        </w:rPr>
        <w:t>AGREEMENT</w:t>
      </w:r>
      <w:r>
        <w:rPr>
          <w:spacing w:val="-3"/>
        </w:rPr>
        <w:t>》，延长原合作期限；该事项已经公司</w:t>
      </w:r>
      <w:r>
        <w:rPr>
          <w:rFonts w:ascii="Times New Roman" w:hAnsi="Times New Roman" w:cs="Times New Roman" w:eastAsia="Times New Roman" w:hint="default"/>
          <w:spacing w:val="-3"/>
        </w:rPr>
        <w:t>2018</w:t>
      </w:r>
      <w:r>
        <w:rPr>
          <w:spacing w:val="-3"/>
        </w:rPr>
        <w:t>年第三次总裁办公会审议通过，详见</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39"/>
        </w:rPr>
        <w:t> </w:t>
      </w:r>
      <w:r>
        <w:rPr/>
        <w:t>日刊登于《中国证券报》、《证券时报》及巨潮资讯网</w:t>
      </w:r>
      <w:hyperlink r:id="rId28">
        <w:r>
          <w:rPr>
            <w:rFonts w:ascii="Times New Roman" w:hAnsi="Times New Roman" w:cs="Times New Roman" w:eastAsia="Times New Roman" w:hint="default"/>
          </w:rPr>
          <w:t>www.cninfo.com.cn</w:t>
        </w:r>
        <w:r>
          <w:rPr/>
          <w:t>的</w:t>
        </w:r>
      </w:hyperlink>
      <w:r>
        <w:rPr/>
        <w:t>《关于公司与 </w:t>
      </w:r>
      <w:r>
        <w:rPr>
          <w:rFonts w:ascii="Times New Roman" w:hAnsi="Times New Roman" w:cs="Times New Roman" w:eastAsia="Times New Roman" w:hint="default"/>
        </w:rPr>
        <w:t>ORACLE</w:t>
      </w:r>
      <w:r>
        <w:rPr>
          <w:rFonts w:ascii="Times New Roman" w:hAnsi="Times New Roman" w:cs="Times New Roman" w:eastAsia="Times New Roman" w:hint="default"/>
          <w:spacing w:val="-6"/>
        </w:rPr>
        <w:t> </w:t>
      </w:r>
      <w:r>
        <w:rPr/>
        <w:t>公司</w:t>
      </w:r>
      <w:r>
        <w:rPr>
          <w:w w:val="100"/>
        </w:rPr>
        <w:t> </w:t>
      </w:r>
      <w:r>
        <w:rPr/>
        <w:t>重大合同续签的公告》（</w:t>
      </w:r>
      <w:r>
        <w:rPr>
          <w:rFonts w:ascii="Times New Roman" w:hAnsi="Times New Roman" w:cs="Times New Roman" w:eastAsia="Times New Roman" w:hint="default"/>
        </w:rPr>
        <w:t>2018-30</w:t>
      </w:r>
      <w:r>
        <w:rPr/>
        <w:t>）。</w:t>
      </w:r>
    </w:p>
    <w:p>
      <w:pPr>
        <w:spacing w:after="0" w:line="256"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256" w:lineRule="auto" w:before="36"/>
        <w:ind w:left="57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）公司终止部分募集资金投资项目并将剩余募集资金永久补充流动资金</w:t>
      </w:r>
      <w:r>
        <w:rPr>
          <w:rFonts w:ascii="宋体" w:hAnsi="宋体" w:cs="宋体" w:eastAsia="宋体" w:hint="default"/>
          <w:b/>
          <w:bCs/>
          <w:w w:val="100"/>
          <w:sz w:val="21"/>
          <w:szCs w:val="21"/>
        </w:rPr>
        <w:t> </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日召开第六届董事会</w:t>
      </w:r>
      <w:r>
        <w:rPr>
          <w:rFonts w:ascii="Times New Roman" w:hAnsi="Times New Roman" w:cs="Times New Roman" w:eastAsia="Times New Roman" w:hint="default"/>
          <w:sz w:val="21"/>
          <w:szCs w:val="21"/>
        </w:rPr>
        <w:t>2018</w:t>
      </w:r>
      <w:r>
        <w:rPr>
          <w:rFonts w:ascii="宋体" w:hAnsi="宋体" w:cs="宋体" w:eastAsia="宋体" w:hint="default"/>
          <w:sz w:val="21"/>
          <w:szCs w:val="21"/>
        </w:rPr>
        <w:t>年第五次临时会议，审议通过《关于终止公司募集资金</w:t>
      </w:r>
    </w:p>
    <w:p>
      <w:pPr>
        <w:pStyle w:val="BodyText"/>
        <w:spacing w:line="256" w:lineRule="auto" w:before="5"/>
        <w:ind w:right="1128"/>
        <w:jc w:val="both"/>
      </w:pPr>
      <w:r>
        <w:rPr/>
        <w:t>投资项目并拟将剩余募集资金永久补充流动资金的议案》，同意公司终止</w:t>
      </w:r>
      <w:r>
        <w:rPr>
          <w:rFonts w:ascii="Times New Roman" w:hAnsi="Times New Roman" w:cs="Times New Roman" w:eastAsia="Times New Roman" w:hint="default"/>
        </w:rPr>
        <w:t>“</w:t>
      </w:r>
      <w:r>
        <w:rPr/>
        <w:t>与淘宝（中国）软件在酒店领</w:t>
      </w:r>
      <w:r>
        <w:rPr>
          <w:spacing w:val="-14"/>
        </w:rPr>
        <w:t> </w:t>
      </w:r>
      <w:r>
        <w:rPr>
          <w:spacing w:val="-14"/>
        </w:rPr>
      </w:r>
      <w:r>
        <w:rPr>
          <w:spacing w:val="-4"/>
        </w:rPr>
        <w:t>域开展业务合作</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与淘宝（中国）软件在餐饮领域开展业务合作</w:t>
      </w:r>
      <w:r>
        <w:rPr>
          <w:rFonts w:ascii="Times New Roman" w:hAnsi="Times New Roman" w:cs="Times New Roman" w:eastAsia="Times New Roman" w:hint="default"/>
          <w:spacing w:val="-4"/>
        </w:rPr>
        <w:t>”</w:t>
      </w:r>
      <w:r>
        <w:rPr>
          <w:spacing w:val="-4"/>
        </w:rPr>
        <w:t>的两个募投项目，且将上述募投项目剩</w:t>
      </w:r>
      <w:r>
        <w:rPr>
          <w:spacing w:val="-18"/>
        </w:rPr>
        <w:t> </w:t>
      </w:r>
      <w:r>
        <w:rPr>
          <w:spacing w:val="-18"/>
        </w:rPr>
      </w:r>
      <w:r>
        <w:rPr/>
        <w:t>余募集资金（含利息收入）合计</w:t>
      </w:r>
      <w:r>
        <w:rPr>
          <w:rFonts w:ascii="Times New Roman" w:hAnsi="Times New Roman" w:cs="Times New Roman" w:eastAsia="Times New Roman" w:hint="default"/>
        </w:rPr>
        <w:t>63,036.3</w:t>
      </w:r>
      <w:r>
        <w:rPr/>
        <w:t>万元永久补充流动资金（具体金额以实际划款时该项目专户资金</w:t>
      </w:r>
      <w:r>
        <w:rPr>
          <w:spacing w:val="-26"/>
        </w:rPr>
        <w:t> </w:t>
      </w:r>
      <w:r>
        <w:rPr>
          <w:spacing w:val="-26"/>
        </w:rPr>
      </w:r>
      <w:r>
        <w:rPr/>
        <w:t>余额为准）。上述事项已于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日经公司</w:t>
      </w:r>
      <w:r>
        <w:rPr>
          <w:rFonts w:ascii="Times New Roman" w:hAnsi="Times New Roman" w:cs="Times New Roman" w:eastAsia="Times New Roman" w:hint="default"/>
        </w:rPr>
        <w:t>2018</w:t>
      </w:r>
      <w:r>
        <w:rPr/>
        <w:t>年第二次临时股东大会审议通过。《关于终止公司</w:t>
      </w:r>
      <w:r>
        <w:rPr>
          <w:spacing w:val="-31"/>
        </w:rPr>
        <w:t> </w:t>
      </w:r>
      <w:r>
        <w:rPr>
          <w:spacing w:val="-31"/>
        </w:rPr>
      </w:r>
      <w:r>
        <w:rPr>
          <w:spacing w:val="-1"/>
        </w:rPr>
        <w:t>募集资金投资项目并拟将剩余募集资金永久补充流动资金的公告》（</w:t>
      </w:r>
      <w:r>
        <w:rPr>
          <w:rFonts w:ascii="Times New Roman" w:hAnsi="Times New Roman" w:cs="Times New Roman" w:eastAsia="Times New Roman" w:hint="default"/>
          <w:spacing w:val="-1"/>
        </w:rPr>
        <w:t>2018-37</w:t>
      </w:r>
      <w:r>
        <w:rPr>
          <w:spacing w:val="-1"/>
        </w:rPr>
        <w:t>）详见</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14</w:t>
      </w:r>
      <w:r>
        <w:rPr>
          <w:spacing w:val="-1"/>
        </w:rPr>
        <w:t>日的《中</w:t>
      </w:r>
      <w:r>
        <w:rPr>
          <w:spacing w:val="-48"/>
        </w:rPr>
        <w:t> </w:t>
      </w:r>
      <w:r>
        <w:rPr>
          <w:spacing w:val="-48"/>
        </w:rPr>
      </w:r>
      <w:r>
        <w:rPr/>
        <w:t>国证券报》、《证券时报》及巨潮资讯网</w:t>
      </w:r>
      <w:hyperlink r:id="rId13">
        <w:r>
          <w:rPr>
            <w:rFonts w:ascii="Times New Roman" w:hAnsi="Times New Roman" w:cs="Times New Roman" w:eastAsia="Times New Roman" w:hint="default"/>
          </w:rPr>
          <w:t>www.cninfo.com.cn</w:t>
        </w:r>
      </w:hyperlink>
      <w:r>
        <w:rPr/>
        <w:t>。</w:t>
      </w:r>
    </w:p>
    <w:p>
      <w:pPr>
        <w:pStyle w:val="Heading7"/>
        <w:spacing w:line="240" w:lineRule="auto" w:before="5"/>
        <w:ind w:left="575" w:right="1133"/>
        <w:jc w:val="left"/>
        <w:rPr>
          <w:b w:val="0"/>
          <w:bCs w:val="0"/>
        </w:rPr>
      </w:pPr>
      <w:r>
        <w:rPr/>
        <w:t>（</w:t>
      </w:r>
      <w:r>
        <w:rPr>
          <w:rFonts w:ascii="Times New Roman" w:hAnsi="Times New Roman" w:cs="Times New Roman" w:eastAsia="Times New Roman" w:hint="default"/>
        </w:rPr>
        <w:t>4</w:t>
      </w:r>
      <w:r>
        <w:rPr/>
        <w:t>）公司参与海信网络科技挂牌转让海信智能商用</w:t>
      </w:r>
      <w:r>
        <w:rPr>
          <w:rFonts w:ascii="Times New Roman" w:hAnsi="Times New Roman" w:cs="Times New Roman" w:eastAsia="Times New Roman" w:hint="default"/>
        </w:rPr>
        <w:t>57.75%</w:t>
      </w:r>
      <w:r>
        <w:rPr/>
        <w:t>股份摘牌</w:t>
      </w:r>
      <w:r>
        <w:rPr>
          <w:b w:val="0"/>
          <w:bCs w:val="0"/>
        </w:rPr>
      </w:r>
    </w:p>
    <w:p>
      <w:pPr>
        <w:pStyle w:val="BodyText"/>
        <w:spacing w:line="256" w:lineRule="auto" w:before="21"/>
        <w:ind w:right="1126"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14</w:t>
      </w:r>
      <w:r>
        <w:rPr>
          <w:spacing w:val="-2"/>
        </w:rPr>
        <w:t>日，公司召开第六届董事会</w:t>
      </w:r>
      <w:r>
        <w:rPr>
          <w:rFonts w:ascii="Times New Roman" w:hAnsi="Times New Roman" w:cs="Times New Roman" w:eastAsia="Times New Roman" w:hint="default"/>
          <w:spacing w:val="-2"/>
        </w:rPr>
        <w:t>2018</w:t>
      </w:r>
      <w:r>
        <w:rPr>
          <w:spacing w:val="-2"/>
        </w:rPr>
        <w:t>年第八次临时会议，审议通过《关于公司拟参与海信网</w:t>
      </w:r>
      <w:r>
        <w:rPr>
          <w:w w:val="100"/>
        </w:rPr>
        <w:t> </w:t>
      </w:r>
      <w:r>
        <w:rPr>
          <w:spacing w:val="-3"/>
        </w:rPr>
        <w:t>络科技挂牌转让海信智能商用</w:t>
      </w:r>
      <w:r>
        <w:rPr>
          <w:rFonts w:ascii="Times New Roman" w:hAnsi="Times New Roman" w:cs="Times New Roman" w:eastAsia="Times New Roman" w:hint="default"/>
          <w:spacing w:val="-3"/>
        </w:rPr>
        <w:t>57.75%</w:t>
      </w:r>
      <w:r>
        <w:rPr>
          <w:spacing w:val="-3"/>
        </w:rPr>
        <w:t>股份意向申报（预披露阶段）的议案》，拟向青岛产权交易所（以下</w:t>
      </w:r>
      <w:r>
        <w:rPr>
          <w:spacing w:val="-5"/>
        </w:rPr>
        <w:t> </w:t>
      </w:r>
      <w:r>
        <w:rPr>
          <w:spacing w:val="-5"/>
        </w:rPr>
      </w:r>
      <w:r>
        <w:rPr>
          <w:spacing w:val="-2"/>
        </w:rPr>
        <w:t>简称</w:t>
      </w:r>
      <w:r>
        <w:rPr>
          <w:rFonts w:ascii="Times New Roman" w:hAnsi="Times New Roman" w:cs="Times New Roman" w:eastAsia="Times New Roman" w:hint="default"/>
          <w:spacing w:val="-2"/>
        </w:rPr>
        <w:t>“</w:t>
      </w:r>
      <w:r>
        <w:rPr>
          <w:spacing w:val="-2"/>
        </w:rPr>
        <w:t>青交所</w:t>
      </w:r>
      <w:r>
        <w:rPr>
          <w:rFonts w:ascii="Times New Roman" w:hAnsi="Times New Roman" w:cs="Times New Roman" w:eastAsia="Times New Roman" w:hint="default"/>
          <w:spacing w:val="-2"/>
        </w:rPr>
        <w:t>”</w:t>
      </w:r>
      <w:r>
        <w:rPr>
          <w:spacing w:val="-2"/>
        </w:rPr>
        <w:t>）申报海信智能商用</w:t>
      </w:r>
      <w:r>
        <w:rPr>
          <w:rFonts w:ascii="Times New Roman" w:hAnsi="Times New Roman" w:cs="Times New Roman" w:eastAsia="Times New Roman" w:hint="default"/>
          <w:spacing w:val="-2"/>
        </w:rPr>
        <w:t>57.75%</w:t>
      </w:r>
      <w:r>
        <w:rPr>
          <w:spacing w:val="-2"/>
        </w:rPr>
        <w:t>股份受让方意向，《关于公司拟参与海信网络科技挂牌转让海信</w:t>
      </w:r>
      <w:r>
        <w:rPr>
          <w:spacing w:val="-31"/>
        </w:rPr>
        <w:t> </w:t>
      </w:r>
      <w:r>
        <w:rPr>
          <w:spacing w:val="-31"/>
        </w:rPr>
      </w:r>
      <w:r>
        <w:rPr>
          <w:spacing w:val="-4"/>
        </w:rPr>
        <w:t>智能商用股份意向申报（预披露阶段）的公告》（</w:t>
      </w:r>
      <w:r>
        <w:rPr>
          <w:rFonts w:ascii="Times New Roman" w:hAnsi="Times New Roman" w:cs="Times New Roman" w:eastAsia="Times New Roman" w:hint="default"/>
          <w:spacing w:val="-4"/>
        </w:rPr>
        <w:t>2018-52</w:t>
      </w:r>
      <w:r>
        <w:rPr>
          <w:spacing w:val="-4"/>
        </w:rPr>
        <w:t>）详见</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14</w:t>
      </w:r>
      <w:r>
        <w:rPr>
          <w:spacing w:val="-4"/>
        </w:rPr>
        <w:t>日的《中国证券报》、《证</w:t>
      </w:r>
      <w:r>
        <w:rPr/>
        <w:t> </w:t>
      </w:r>
      <w:r>
        <w:rPr/>
        <w:t>券时报》及巨潮资讯网</w:t>
      </w:r>
      <w:hyperlink r:id="rId13">
        <w:r>
          <w:rPr>
            <w:rFonts w:ascii="Times New Roman" w:hAnsi="Times New Roman" w:cs="Times New Roman" w:eastAsia="Times New Roman" w:hint="default"/>
          </w:rPr>
          <w:t>www.cninfo.com.cn</w:t>
        </w:r>
      </w:hyperlink>
      <w:r>
        <w:rPr/>
        <w:t>。</w:t>
      </w:r>
    </w:p>
    <w:p>
      <w:pPr>
        <w:pStyle w:val="BodyText"/>
        <w:spacing w:line="256" w:lineRule="auto" w:before="5"/>
        <w:ind w:right="1019"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日，公司召开第六届董事会</w:t>
      </w:r>
      <w:r>
        <w:rPr>
          <w:rFonts w:ascii="Times New Roman" w:hAnsi="Times New Roman" w:cs="Times New Roman" w:eastAsia="Times New Roman" w:hint="default"/>
        </w:rPr>
        <w:t>2019</w:t>
      </w:r>
      <w:r>
        <w:rPr/>
        <w:t>年第三次临时会议审议通过《关于石基商用拟参与海信</w:t>
      </w:r>
      <w:r>
        <w:rPr>
          <w:w w:val="100"/>
        </w:rPr>
        <w:t> </w:t>
      </w:r>
      <w:r>
        <w:rPr>
          <w:spacing w:val="-4"/>
        </w:rPr>
        <w:t>智能商用</w:t>
      </w:r>
      <w:r>
        <w:rPr>
          <w:rFonts w:ascii="Times New Roman" w:hAnsi="Times New Roman" w:cs="Times New Roman" w:eastAsia="Times New Roman" w:hint="default"/>
          <w:spacing w:val="-4"/>
        </w:rPr>
        <w:t>57.75%</w:t>
      </w:r>
      <w:r>
        <w:rPr>
          <w:spacing w:val="-4"/>
        </w:rPr>
        <w:t>股权摘牌的议案》，公司以全资子公司石基商用信息技术有限公司（以下简称</w:t>
      </w:r>
      <w:r>
        <w:rPr>
          <w:rFonts w:ascii="Times New Roman" w:hAnsi="Times New Roman" w:cs="Times New Roman" w:eastAsia="Times New Roman" w:hint="default"/>
          <w:spacing w:val="-4"/>
        </w:rPr>
        <w:t>“</w:t>
      </w:r>
      <w:r>
        <w:rPr>
          <w:spacing w:val="-4"/>
        </w:rPr>
        <w:t>石基商用</w:t>
      </w:r>
      <w:r>
        <w:rPr>
          <w:rFonts w:ascii="Times New Roman" w:hAnsi="Times New Roman" w:cs="Times New Roman" w:eastAsia="Times New Roman" w:hint="default"/>
          <w:spacing w:val="-4"/>
        </w:rPr>
        <w:t>”</w:t>
      </w:r>
      <w:r>
        <w:rPr>
          <w:spacing w:val="-4"/>
        </w:rPr>
        <w:t>）</w:t>
      </w:r>
      <w:r>
        <w:rPr>
          <w:spacing w:val="-32"/>
        </w:rPr>
        <w:t> </w:t>
      </w:r>
      <w:r>
        <w:rPr>
          <w:spacing w:val="2"/>
        </w:rPr>
        <w:t>作为海信智能商用</w:t>
      </w:r>
      <w:r>
        <w:rPr>
          <w:rFonts w:ascii="Times New Roman" w:hAnsi="Times New Roman" w:cs="Times New Roman" w:eastAsia="Times New Roman" w:hint="default"/>
          <w:spacing w:val="2"/>
        </w:rPr>
        <w:t>57.75%</w:t>
      </w:r>
      <w:r>
        <w:rPr>
          <w:spacing w:val="2"/>
        </w:rPr>
        <w:t>受让主体向青交所进行受让申报。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14</w:t>
      </w:r>
      <w:r>
        <w:rPr>
          <w:spacing w:val="2"/>
        </w:rPr>
        <w:t>日，石基商用以公开转让底价</w:t>
      </w:r>
      <w:r>
        <w:rPr>
          <w:spacing w:val="38"/>
        </w:rPr>
        <w:t> </w:t>
      </w:r>
      <w:r>
        <w:rPr>
          <w:spacing w:val="38"/>
        </w:rPr>
      </w:r>
      <w:r>
        <w:rPr>
          <w:rFonts w:ascii="Times New Roman" w:hAnsi="Times New Roman" w:cs="Times New Roman" w:eastAsia="Times New Roman" w:hint="default"/>
          <w:spacing w:val="-4"/>
        </w:rPr>
        <w:t>46,231.80</w:t>
      </w:r>
      <w:r>
        <w:rPr>
          <w:spacing w:val="-4"/>
        </w:rPr>
        <w:t>万元与海信网络科技达成《股份转让协议》，</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28</w:t>
      </w:r>
      <w:r>
        <w:rPr>
          <w:spacing w:val="-4"/>
        </w:rPr>
        <w:t>日，上述股份受让完成交割。详见</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日的《中国证券报》、《证券时报》及巨潮资讯网</w:t>
      </w:r>
      <w:hyperlink r:id="rId34">
        <w:r>
          <w:rPr>
            <w:rFonts w:ascii="Times New Roman" w:hAnsi="Times New Roman" w:cs="Times New Roman" w:eastAsia="Times New Roman" w:hint="default"/>
          </w:rPr>
          <w:t>www.cninfo.com.cn</w:t>
        </w:r>
        <w:r>
          <w:rPr/>
          <w:t>相关公告文</w:t>
        </w:r>
      </w:hyperlink>
      <w:r>
        <w:rPr>
          <w:spacing w:val="-57"/>
        </w:rPr>
        <w:t> </w:t>
      </w:r>
      <w:r>
        <w:rPr>
          <w:spacing w:val="-57"/>
        </w:rPr>
      </w:r>
      <w:r>
        <w:rPr/>
        <w:t>件。</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7"/>
        <w:spacing w:line="256" w:lineRule="auto" w:before="80"/>
        <w:ind w:right="1124" w:firstLine="422"/>
        <w:jc w:val="left"/>
        <w:rPr>
          <w:b w:val="0"/>
          <w:bCs w:val="0"/>
        </w:rPr>
      </w:pPr>
      <w:r>
        <w:rPr>
          <w:spacing w:val="-5"/>
        </w:rPr>
        <w:t>（</w:t>
      </w:r>
      <w:r>
        <w:rPr>
          <w:rFonts w:ascii="Times New Roman" w:hAnsi="Times New Roman" w:cs="Times New Roman" w:eastAsia="Times New Roman" w:hint="default"/>
          <w:spacing w:val="-5"/>
        </w:rPr>
        <w:t>1</w:t>
      </w:r>
      <w:r>
        <w:rPr>
          <w:spacing w:val="-5"/>
        </w:rPr>
        <w:t>）石基（香港）向</w:t>
      </w:r>
      <w:r>
        <w:rPr>
          <w:rFonts w:ascii="Times New Roman" w:hAnsi="Times New Roman" w:cs="Times New Roman" w:eastAsia="Times New Roman" w:hint="default"/>
          <w:spacing w:val="-5"/>
        </w:rPr>
        <w:t>ALIBABA </w:t>
      </w:r>
      <w:r>
        <w:rPr>
          <w:rFonts w:ascii="Times New Roman" w:hAnsi="Times New Roman" w:cs="Times New Roman" w:eastAsia="Times New Roman" w:hint="default"/>
        </w:rPr>
        <w:t>SJ INVESTMENT LIMITED</w:t>
      </w:r>
      <w:r>
        <w:rPr/>
        <w:t>出售全资子公司</w:t>
      </w:r>
      <w:r>
        <w:rPr>
          <w:rFonts w:ascii="Times New Roman" w:hAnsi="Times New Roman" w:cs="Times New Roman" w:eastAsia="Times New Roman" w:hint="default"/>
        </w:rPr>
        <w:t>Shiji Retail</w:t>
      </w:r>
      <w:r>
        <w:rPr>
          <w:rFonts w:ascii="Times New Roman" w:hAnsi="Times New Roman" w:cs="Times New Roman" w:eastAsia="Times New Roman" w:hint="default"/>
          <w:spacing w:val="-31"/>
        </w:rPr>
        <w:t> </w:t>
      </w:r>
      <w:r>
        <w:rPr>
          <w:rFonts w:ascii="Times New Roman" w:hAnsi="Times New Roman" w:cs="Times New Roman" w:eastAsia="Times New Roman" w:hint="default"/>
        </w:rPr>
        <w:t>Information</w:t>
      </w:r>
      <w:r>
        <w:rPr>
          <w:rFonts w:ascii="Times New Roman" w:hAnsi="Times New Roman" w:cs="Times New Roman" w:eastAsia="Times New Roman" w:hint="default"/>
          <w:w w:val="100"/>
        </w:rPr>
        <w:t> </w:t>
      </w:r>
      <w:r>
        <w:rPr>
          <w:rFonts w:ascii="Times New Roman" w:hAnsi="Times New Roman" w:cs="Times New Roman" w:eastAsia="Times New Roman" w:hint="default"/>
        </w:rPr>
        <w:t>Technology Co.</w:t>
      </w:r>
      <w:r>
        <w:rPr>
          <w:rFonts w:ascii="Times New Roman" w:hAnsi="Times New Roman" w:cs="Times New Roman" w:eastAsia="Times New Roman" w:hint="default"/>
          <w:spacing w:val="-6"/>
        </w:rPr>
        <w:t> </w:t>
      </w:r>
      <w:r>
        <w:rPr>
          <w:rFonts w:ascii="Times New Roman" w:hAnsi="Times New Roman" w:cs="Times New Roman" w:eastAsia="Times New Roman" w:hint="default"/>
        </w:rPr>
        <w:t>Ltd.38%</w:t>
      </w:r>
      <w:r>
        <w:rPr/>
        <w:t>股权</w:t>
      </w:r>
      <w:r>
        <w:rPr>
          <w:b w:val="0"/>
          <w:bCs w:val="0"/>
        </w:rPr>
      </w:r>
    </w:p>
    <w:p>
      <w:pPr>
        <w:pStyle w:val="BodyText"/>
        <w:spacing w:line="256" w:lineRule="auto" w:before="46"/>
        <w:ind w:right="1126" w:firstLine="420"/>
        <w:jc w:val="left"/>
      </w:pPr>
      <w:r>
        <w:rPr>
          <w:spacing w:val="-2"/>
        </w:rPr>
        <w:t>公司已于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日召开第六届董事会</w:t>
      </w:r>
      <w:r>
        <w:rPr>
          <w:rFonts w:ascii="Times New Roman" w:hAnsi="Times New Roman" w:cs="Times New Roman" w:eastAsia="Times New Roman" w:hint="default"/>
          <w:spacing w:val="-2"/>
        </w:rPr>
        <w:t>2017</w:t>
      </w:r>
      <w:r>
        <w:rPr>
          <w:spacing w:val="-2"/>
        </w:rPr>
        <w:t>年第十一次临时会议审议通过《关于拟签署控股子公</w:t>
      </w:r>
      <w:r>
        <w:rPr>
          <w:w w:val="100"/>
        </w:rPr>
        <w:t> </w:t>
      </w:r>
      <w:r>
        <w:rPr/>
        <w:t>司股权出售框架协议暨关联交易的议案》，公司全资子公司石基（香港）拟将其全资持有的</w:t>
      </w:r>
      <w:r>
        <w:rPr>
          <w:rFonts w:ascii="Times New Roman" w:hAnsi="Times New Roman" w:cs="Times New Roman" w:eastAsia="Times New Roman" w:hint="default"/>
        </w:rPr>
        <w:t>Shiji</w:t>
      </w:r>
      <w:r>
        <w:rPr>
          <w:rFonts w:ascii="Times New Roman" w:hAnsi="Times New Roman" w:cs="Times New Roman" w:eastAsia="Times New Roman" w:hint="default"/>
          <w:spacing w:val="-2"/>
        </w:rPr>
        <w:t> </w:t>
      </w:r>
      <w:r>
        <w:rPr>
          <w:rFonts w:ascii="Times New Roman" w:hAnsi="Times New Roman" w:cs="Times New Roman" w:eastAsia="Times New Roman" w:hint="default"/>
        </w:rPr>
        <w:t>Retail</w:t>
      </w:r>
      <w:r>
        <w:rPr>
          <w:rFonts w:ascii="Times New Roman" w:hAnsi="Times New Roman" w:cs="Times New Roman" w:eastAsia="Times New Roman" w:hint="default"/>
          <w:w w:val="100"/>
        </w:rPr>
        <w:t> </w:t>
      </w:r>
      <w:r>
        <w:rPr>
          <w:rFonts w:ascii="Times New Roman" w:hAnsi="Times New Roman" w:cs="Times New Roman" w:eastAsia="Times New Roman" w:hint="default"/>
        </w:rPr>
        <w:t>Information Technology Co. Ltd.</w:t>
      </w:r>
      <w:r>
        <w:rPr/>
        <w:t>（石基零售）</w:t>
      </w:r>
      <w:r>
        <w:rPr>
          <w:rFonts w:ascii="Times New Roman" w:hAnsi="Times New Roman" w:cs="Times New Roman" w:eastAsia="Times New Roman" w:hint="default"/>
        </w:rPr>
        <w:t>38%</w:t>
      </w:r>
      <w:r>
        <w:rPr/>
        <w:t>的股权以不超过</w:t>
      </w:r>
      <w:r>
        <w:rPr>
          <w:rFonts w:ascii="Times New Roman" w:hAnsi="Times New Roman" w:cs="Times New Roman" w:eastAsia="Times New Roman" w:hint="default"/>
        </w:rPr>
        <w:t>5</w:t>
      </w:r>
      <w:r>
        <w:rPr/>
        <w:t>亿美元的价格转让给</w:t>
      </w:r>
      <w:r>
        <w:rPr>
          <w:rFonts w:ascii="Times New Roman" w:hAnsi="Times New Roman" w:cs="Times New Roman" w:eastAsia="Times New Roman" w:hint="default"/>
        </w:rPr>
        <w:t>Alibaba</w:t>
      </w:r>
      <w:r>
        <w:rPr>
          <w:rFonts w:ascii="Times New Roman" w:hAnsi="Times New Roman" w:cs="Times New Roman" w:eastAsia="Times New Roman" w:hint="default"/>
          <w:spacing w:val="-16"/>
        </w:rPr>
        <w:t> </w:t>
      </w:r>
      <w:r>
        <w:rPr>
          <w:rFonts w:ascii="Times New Roman" w:hAnsi="Times New Roman" w:cs="Times New Roman" w:eastAsia="Times New Roman" w:hint="default"/>
        </w:rPr>
        <w:t>Investment</w:t>
      </w:r>
      <w:r>
        <w:rPr>
          <w:rFonts w:ascii="Times New Roman" w:hAnsi="Times New Roman" w:cs="Times New Roman" w:eastAsia="Times New Roman" w:hint="default"/>
          <w:w w:val="100"/>
        </w:rPr>
        <w:t> </w:t>
      </w:r>
      <w:r>
        <w:rPr>
          <w:rFonts w:ascii="Times New Roman" w:hAnsi="Times New Roman" w:cs="Times New Roman" w:eastAsia="Times New Roman" w:hint="default"/>
          <w:spacing w:val="-2"/>
        </w:rPr>
        <w:t>Limited</w:t>
      </w:r>
      <w:r>
        <w:rPr>
          <w:spacing w:val="-2"/>
        </w:rPr>
        <w:t>（阿里投资）或其关联方，详见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w:t>
      </w:r>
      <w:r>
        <w:rPr>
          <w:spacing w:val="-2"/>
        </w:rPr>
        <w:t>日刊登于《中国证券报》、《证券时报》及巨潮资讯</w:t>
      </w:r>
      <w:r>
        <w:rPr>
          <w:spacing w:val="-11"/>
        </w:rPr>
        <w:t> </w:t>
      </w:r>
      <w:r>
        <w:rPr>
          <w:spacing w:val="-11"/>
        </w:rPr>
      </w:r>
      <w:r>
        <w:rPr/>
        <w:t>网</w:t>
      </w:r>
      <w:hyperlink r:id="rId28">
        <w:r>
          <w:rPr>
            <w:rFonts w:ascii="Times New Roman" w:hAnsi="Times New Roman" w:cs="Times New Roman" w:eastAsia="Times New Roman" w:hint="default"/>
          </w:rPr>
          <w:t>www.cninfo.com.cn</w:t>
        </w:r>
        <w:r>
          <w:rPr/>
          <w:t>的《</w:t>
        </w:r>
      </w:hyperlink>
      <w:r>
        <w:rPr/>
        <w:t>关于签署控股子公司股权出售框架协议暨关联交易的公告》（</w:t>
      </w:r>
      <w:r>
        <w:rPr>
          <w:rFonts w:ascii="Times New Roman" w:hAnsi="Times New Roman" w:cs="Times New Roman" w:eastAsia="Times New Roman" w:hint="default"/>
        </w:rPr>
        <w:t>2017-59</w:t>
      </w:r>
      <w:r>
        <w:rPr/>
        <w:t>）。</w:t>
      </w:r>
    </w:p>
    <w:p>
      <w:pPr>
        <w:pStyle w:val="BodyText"/>
        <w:spacing w:line="256" w:lineRule="auto" w:before="46"/>
        <w:ind w:right="1124" w:firstLine="420"/>
        <w:jc w:val="left"/>
      </w:pPr>
      <w:r>
        <w:rPr>
          <w:spacing w:val="-2"/>
        </w:rPr>
        <w:t>按照框架协议的约定，经公司第六届董事会</w:t>
      </w:r>
      <w:r>
        <w:rPr>
          <w:rFonts w:ascii="Times New Roman" w:hAnsi="Times New Roman" w:cs="Times New Roman" w:eastAsia="Times New Roman" w:hint="default"/>
          <w:spacing w:val="-2"/>
        </w:rPr>
        <w:t>2018</w:t>
      </w:r>
      <w:r>
        <w:rPr>
          <w:spacing w:val="-2"/>
        </w:rPr>
        <w:t>年第一次临时会议审议通过，公司、石基（香港）于</w:t>
      </w:r>
      <w:r>
        <w:rPr>
          <w:w w:val="100"/>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日与阿里投资关联方</w:t>
      </w:r>
      <w:r>
        <w:rPr>
          <w:rFonts w:ascii="Times New Roman" w:hAnsi="Times New Roman" w:cs="Times New Roman" w:eastAsia="Times New Roman" w:hint="default"/>
        </w:rPr>
        <w:t>ALIBABA</w:t>
      </w:r>
      <w:r>
        <w:rPr>
          <w:rFonts w:ascii="Times New Roman" w:hAnsi="Times New Roman" w:cs="Times New Roman" w:eastAsia="Times New Roman" w:hint="default"/>
          <w:spacing w:val="-15"/>
        </w:rPr>
        <w:t> </w:t>
      </w:r>
      <w:r>
        <w:rPr>
          <w:rFonts w:ascii="Times New Roman" w:hAnsi="Times New Roman" w:cs="Times New Roman" w:eastAsia="Times New Roman" w:hint="default"/>
        </w:rPr>
        <w:t>SJ</w:t>
      </w:r>
      <w:r>
        <w:rPr>
          <w:rFonts w:ascii="Times New Roman" w:hAnsi="Times New Roman" w:cs="Times New Roman" w:eastAsia="Times New Roman" w:hint="default"/>
          <w:spacing w:val="-14"/>
        </w:rPr>
        <w:t> </w:t>
      </w:r>
      <w:r>
        <w:rPr>
          <w:rFonts w:ascii="Times New Roman" w:hAnsi="Times New Roman" w:cs="Times New Roman" w:eastAsia="Times New Roman" w:hint="default"/>
        </w:rPr>
        <w:t>INVESTMENT</w:t>
      </w:r>
      <w:r>
        <w:rPr>
          <w:rFonts w:ascii="Times New Roman" w:hAnsi="Times New Roman" w:cs="Times New Roman" w:eastAsia="Times New Roman" w:hint="default"/>
          <w:spacing w:val="-15"/>
        </w:rPr>
        <w:t> </w:t>
      </w:r>
      <w:r>
        <w:rPr>
          <w:rFonts w:ascii="Times New Roman" w:hAnsi="Times New Roman" w:cs="Times New Roman" w:eastAsia="Times New Roman" w:hint="default"/>
        </w:rPr>
        <w:t>LIMITED</w:t>
      </w:r>
      <w:r>
        <w:rPr/>
        <w:t>（阿里</w:t>
      </w:r>
      <w:r>
        <w:rPr>
          <w:rFonts w:ascii="Times New Roman" w:hAnsi="Times New Roman" w:cs="Times New Roman" w:eastAsia="Times New Roman" w:hint="default"/>
        </w:rPr>
        <w:t>SJ</w:t>
      </w:r>
      <w:r>
        <w:rPr/>
        <w:t>投资</w:t>
      </w:r>
      <w:r>
        <w:rPr>
          <w:rFonts w:ascii="Times New Roman" w:hAnsi="Times New Roman" w:cs="Times New Roman" w:eastAsia="Times New Roman" w:hint="default"/>
        </w:rPr>
        <w:t>”</w:t>
      </w:r>
      <w:r>
        <w:rPr/>
        <w:t>）签署《股份购买协</w:t>
      </w:r>
      <w:r>
        <w:rPr>
          <w:w w:val="100"/>
        </w:rPr>
        <w:t> </w:t>
      </w:r>
      <w:r>
        <w:rPr>
          <w:spacing w:val="-2"/>
        </w:rPr>
        <w:t>议》，将按照公司主要零售信息系统板块重组整合完成的石基零售</w:t>
      </w:r>
      <w:r>
        <w:rPr>
          <w:rFonts w:ascii="Times New Roman" w:hAnsi="Times New Roman" w:cs="Times New Roman" w:eastAsia="Times New Roman" w:hint="default"/>
          <w:spacing w:val="-2"/>
        </w:rPr>
        <w:t>38%</w:t>
      </w:r>
      <w:r>
        <w:rPr>
          <w:spacing w:val="-2"/>
        </w:rPr>
        <w:t>的股权以</w:t>
      </w:r>
      <w:r>
        <w:rPr>
          <w:rFonts w:ascii="Times New Roman" w:hAnsi="Times New Roman" w:cs="Times New Roman" w:eastAsia="Times New Roman" w:hint="default"/>
          <w:spacing w:val="-2"/>
        </w:rPr>
        <w:t>4.86</w:t>
      </w:r>
      <w:r>
        <w:rPr>
          <w:spacing w:val="-2"/>
        </w:rPr>
        <w:t>亿美元的价格转让给</w:t>
      </w:r>
      <w:r>
        <w:rPr>
          <w:spacing w:val="-15"/>
        </w:rPr>
        <w:t> </w:t>
      </w:r>
      <w:r>
        <w:rPr>
          <w:spacing w:val="-15"/>
        </w:rPr>
      </w:r>
      <w:r>
        <w:rPr/>
        <w:t>阿里</w:t>
      </w:r>
      <w:r>
        <w:rPr>
          <w:rFonts w:ascii="Times New Roman" w:hAnsi="Times New Roman" w:cs="Times New Roman" w:eastAsia="Times New Roman" w:hint="default"/>
        </w:rPr>
        <w:t>SJ</w:t>
      </w:r>
      <w:r>
        <w:rPr/>
        <w:t>投资和</w:t>
      </w:r>
      <w:r>
        <w:rPr>
          <w:rFonts w:ascii="Times New Roman" w:hAnsi="Times New Roman" w:cs="Times New Roman" w:eastAsia="Times New Roman" w:hint="default"/>
        </w:rPr>
        <w:t>/</w:t>
      </w:r>
      <w:r>
        <w:rPr/>
        <w:t>或其关联方。详见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日刊登于《中国证券报》、《证券时报》及巨潮资讯网</w:t>
      </w:r>
      <w:r>
        <w:rPr>
          <w:w w:val="100"/>
        </w:rPr>
        <w:t> </w:t>
      </w:r>
      <w:hyperlink r:id="rId28">
        <w:r>
          <w:rPr>
            <w:rFonts w:ascii="Times New Roman" w:hAnsi="Times New Roman" w:cs="Times New Roman" w:eastAsia="Times New Roman" w:hint="default"/>
            <w:spacing w:val="-3"/>
          </w:rPr>
          <w:t>www.cninfo.com.cn</w:t>
        </w:r>
        <w:r>
          <w:rPr>
            <w:spacing w:val="-3"/>
          </w:rPr>
          <w:t>的</w:t>
        </w:r>
      </w:hyperlink>
      <w:r>
        <w:rPr>
          <w:spacing w:val="-3"/>
        </w:rPr>
        <w:t>《关于向</w:t>
      </w:r>
      <w:r>
        <w:rPr>
          <w:rFonts w:ascii="Times New Roman" w:hAnsi="Times New Roman" w:cs="Times New Roman" w:eastAsia="Times New Roman" w:hint="default"/>
          <w:spacing w:val="-3"/>
        </w:rPr>
        <w:t>ALIBABA</w:t>
      </w:r>
      <w:r>
        <w:rPr>
          <w:rFonts w:ascii="Times New Roman" w:hAnsi="Times New Roman" w:cs="Times New Roman" w:eastAsia="Times New Roman" w:hint="default"/>
          <w:spacing w:val="-8"/>
        </w:rPr>
        <w:t> </w:t>
      </w:r>
      <w:r>
        <w:rPr>
          <w:rFonts w:ascii="Times New Roman" w:hAnsi="Times New Roman" w:cs="Times New Roman" w:eastAsia="Times New Roman" w:hint="default"/>
        </w:rPr>
        <w:t>SJ</w:t>
      </w:r>
      <w:r>
        <w:rPr>
          <w:rFonts w:ascii="Times New Roman" w:hAnsi="Times New Roman" w:cs="Times New Roman" w:eastAsia="Times New Roman" w:hint="default"/>
          <w:spacing w:val="-5"/>
        </w:rPr>
        <w:t> </w:t>
      </w:r>
      <w:r>
        <w:rPr>
          <w:rFonts w:ascii="Times New Roman" w:hAnsi="Times New Roman" w:cs="Times New Roman" w:eastAsia="Times New Roman" w:hint="default"/>
        </w:rPr>
        <w:t>INVESTMENT</w:t>
      </w:r>
      <w:r>
        <w:rPr>
          <w:rFonts w:ascii="Times New Roman" w:hAnsi="Times New Roman" w:cs="Times New Roman" w:eastAsia="Times New Roman" w:hint="default"/>
          <w:spacing w:val="-9"/>
        </w:rPr>
        <w:t> </w:t>
      </w:r>
      <w:r>
        <w:rPr>
          <w:rFonts w:ascii="Times New Roman" w:hAnsi="Times New Roman" w:cs="Times New Roman" w:eastAsia="Times New Roman" w:hint="default"/>
        </w:rPr>
        <w:t>LIMITED</w:t>
      </w:r>
      <w:r>
        <w:rPr/>
        <w:t>出售全资子公司</w:t>
      </w:r>
      <w:r>
        <w:rPr>
          <w:rFonts w:ascii="Times New Roman" w:hAnsi="Times New Roman" w:cs="Times New Roman" w:eastAsia="Times New Roman" w:hint="default"/>
        </w:rPr>
        <w:t>Shiji</w:t>
      </w:r>
      <w:r>
        <w:rPr>
          <w:rFonts w:ascii="Times New Roman" w:hAnsi="Times New Roman" w:cs="Times New Roman" w:eastAsia="Times New Roman" w:hint="default"/>
          <w:spacing w:val="-8"/>
        </w:rPr>
        <w:t> </w:t>
      </w:r>
      <w:r>
        <w:rPr>
          <w:rFonts w:ascii="Times New Roman" w:hAnsi="Times New Roman" w:cs="Times New Roman" w:eastAsia="Times New Roman" w:hint="default"/>
        </w:rPr>
        <w:t>Retail</w:t>
      </w:r>
      <w:r>
        <w:rPr>
          <w:rFonts w:ascii="Times New Roman" w:hAnsi="Times New Roman" w:cs="Times New Roman" w:eastAsia="Times New Roman" w:hint="default"/>
          <w:spacing w:val="-8"/>
        </w:rPr>
        <w:t> </w:t>
      </w:r>
      <w:r>
        <w:rPr>
          <w:rFonts w:ascii="Times New Roman" w:hAnsi="Times New Roman" w:cs="Times New Roman" w:eastAsia="Times New Roman" w:hint="default"/>
        </w:rPr>
        <w:t>Information</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rFonts w:ascii="Times New Roman" w:hAnsi="Times New Roman" w:cs="Times New Roman" w:eastAsia="Times New Roman" w:hint="default"/>
        </w:rPr>
        <w:t>Technology Co.</w:t>
      </w:r>
      <w:r>
        <w:rPr>
          <w:rFonts w:ascii="Times New Roman" w:hAnsi="Times New Roman" w:cs="Times New Roman" w:eastAsia="Times New Roman" w:hint="default"/>
          <w:spacing w:val="-10"/>
        </w:rPr>
        <w:t> </w:t>
      </w:r>
      <w:r>
        <w:rPr>
          <w:rFonts w:ascii="Times New Roman" w:hAnsi="Times New Roman" w:cs="Times New Roman" w:eastAsia="Times New Roman" w:hint="default"/>
        </w:rPr>
        <w:t>Ltd.38%</w:t>
      </w:r>
      <w:r>
        <w:rPr/>
        <w:t>股权暨关联交易的公告》（公告编号：</w:t>
      </w:r>
      <w:r>
        <w:rPr>
          <w:rFonts w:ascii="Times New Roman" w:hAnsi="Times New Roman" w:cs="Times New Roman" w:eastAsia="Times New Roman" w:hint="default"/>
        </w:rPr>
        <w:t>2018-04</w:t>
      </w:r>
      <w:r>
        <w:rPr/>
        <w:t>）。</w:t>
      </w:r>
    </w:p>
    <w:p>
      <w:pPr>
        <w:pStyle w:val="BodyText"/>
        <w:spacing w:line="256" w:lineRule="auto" w:before="46"/>
        <w:ind w:right="1128"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4</w:t>
      </w:r>
      <w:r>
        <w:rPr>
          <w:spacing w:val="-2"/>
        </w:rPr>
        <w:t>日，公司、石基（香港）、石基零售与阿里</w:t>
      </w:r>
      <w:r>
        <w:rPr>
          <w:rFonts w:ascii="Times New Roman" w:hAnsi="Times New Roman" w:cs="Times New Roman" w:eastAsia="Times New Roman" w:hint="default"/>
          <w:spacing w:val="-2"/>
        </w:rPr>
        <w:t>SJ</w:t>
      </w:r>
      <w:r>
        <w:rPr>
          <w:spacing w:val="-2"/>
        </w:rPr>
        <w:t>投资已签署《股东协议》，并达成以上《股</w:t>
      </w:r>
      <w:r>
        <w:rPr>
          <w:w w:val="100"/>
        </w:rPr>
        <w:t> </w:t>
      </w:r>
      <w:r>
        <w:rPr>
          <w:spacing w:val="-2"/>
        </w:rPr>
        <w:t>份购买协议》中约定的交割条件，完成了全部股权转让款支付等交割相关事项。交割完成后，阿里</w:t>
      </w:r>
      <w:r>
        <w:rPr>
          <w:rFonts w:ascii="Times New Roman" w:hAnsi="Times New Roman" w:cs="Times New Roman" w:eastAsia="Times New Roman" w:hint="default"/>
          <w:spacing w:val="-2"/>
        </w:rPr>
        <w:t>SJ</w:t>
      </w:r>
      <w:r>
        <w:rPr>
          <w:spacing w:val="-2"/>
        </w:rPr>
        <w:t>投资</w:t>
      </w:r>
      <w:r>
        <w:rPr>
          <w:spacing w:val="-31"/>
        </w:rPr>
        <w:t> </w:t>
      </w:r>
      <w:r>
        <w:rPr>
          <w:spacing w:val="9"/>
        </w:rPr>
        <w:t>持有石基零售</w:t>
      </w:r>
      <w:r>
        <w:rPr>
          <w:rFonts w:ascii="Times New Roman" w:hAnsi="Times New Roman" w:cs="Times New Roman" w:eastAsia="Times New Roman" w:hint="default"/>
          <w:spacing w:val="9"/>
        </w:rPr>
        <w:t>38%</w:t>
      </w:r>
      <w:r>
        <w:rPr>
          <w:spacing w:val="9"/>
        </w:rPr>
        <w:t>股权 </w:t>
      </w:r>
      <w:r>
        <w:rPr>
          <w:spacing w:val="11"/>
        </w:rPr>
        <w:t>。详见</w:t>
      </w:r>
      <w:r>
        <w:rPr>
          <w:rFonts w:ascii="Times New Roman" w:hAnsi="Times New Roman" w:cs="Times New Roman" w:eastAsia="Times New Roman" w:hint="default"/>
          <w:spacing w:val="11"/>
        </w:rPr>
        <w:t>2018</w:t>
      </w:r>
      <w:r>
        <w:rPr>
          <w:spacing w:val="11"/>
        </w:rPr>
        <w:t>年</w:t>
      </w:r>
      <w:r>
        <w:rPr>
          <w:rFonts w:ascii="Times New Roman" w:hAnsi="Times New Roman" w:cs="Times New Roman" w:eastAsia="Times New Roman" w:hint="default"/>
          <w:spacing w:val="11"/>
        </w:rPr>
        <w:t>4</w:t>
      </w:r>
      <w:r>
        <w:rPr>
          <w:spacing w:val="11"/>
        </w:rPr>
        <w:t>月</w:t>
      </w:r>
      <w:r>
        <w:rPr>
          <w:rFonts w:ascii="Times New Roman" w:hAnsi="Times New Roman" w:cs="Times New Roman" w:eastAsia="Times New Roman" w:hint="default"/>
          <w:spacing w:val="11"/>
        </w:rPr>
        <w:t>10</w:t>
      </w:r>
      <w:r>
        <w:rPr>
          <w:spacing w:val="11"/>
        </w:rPr>
        <w:t>日刊登于《中国证券报》、《证券时报》及巨潮资讯网</w:t>
      </w:r>
      <w:r>
        <w:rPr>
          <w:spacing w:val="-95"/>
        </w:rPr>
        <w:t> </w:t>
      </w:r>
      <w:r>
        <w:rPr>
          <w:spacing w:val="-95"/>
        </w:rPr>
      </w:r>
      <w:hyperlink r:id="rId28">
        <w:r>
          <w:rPr>
            <w:rFonts w:ascii="Times New Roman" w:hAnsi="Times New Roman" w:cs="Times New Roman" w:eastAsia="Times New Roman" w:hint="default"/>
            <w:spacing w:val="-3"/>
          </w:rPr>
          <w:t>www.cninfo.com.cn</w:t>
        </w:r>
        <w:r>
          <w:rPr>
            <w:spacing w:val="-3"/>
          </w:rPr>
          <w:t>的</w:t>
        </w:r>
      </w:hyperlink>
      <w:r>
        <w:rPr>
          <w:spacing w:val="-3"/>
        </w:rPr>
        <w:t>《关于向</w:t>
      </w:r>
      <w:r>
        <w:rPr>
          <w:rFonts w:ascii="Times New Roman" w:hAnsi="Times New Roman" w:cs="Times New Roman" w:eastAsia="Times New Roman" w:hint="default"/>
          <w:spacing w:val="-3"/>
        </w:rPr>
        <w:t>ALIBABA</w:t>
      </w:r>
      <w:r>
        <w:rPr>
          <w:rFonts w:ascii="Times New Roman" w:hAnsi="Times New Roman" w:cs="Times New Roman" w:eastAsia="Times New Roman" w:hint="default"/>
          <w:spacing w:val="-8"/>
        </w:rPr>
        <w:t> </w:t>
      </w:r>
      <w:r>
        <w:rPr>
          <w:rFonts w:ascii="Times New Roman" w:hAnsi="Times New Roman" w:cs="Times New Roman" w:eastAsia="Times New Roman" w:hint="default"/>
        </w:rPr>
        <w:t>SJ</w:t>
      </w:r>
      <w:r>
        <w:rPr>
          <w:rFonts w:ascii="Times New Roman" w:hAnsi="Times New Roman" w:cs="Times New Roman" w:eastAsia="Times New Roman" w:hint="default"/>
          <w:spacing w:val="-5"/>
        </w:rPr>
        <w:t> </w:t>
      </w:r>
      <w:r>
        <w:rPr>
          <w:rFonts w:ascii="Times New Roman" w:hAnsi="Times New Roman" w:cs="Times New Roman" w:eastAsia="Times New Roman" w:hint="default"/>
        </w:rPr>
        <w:t>INVESTMENT</w:t>
      </w:r>
      <w:r>
        <w:rPr>
          <w:rFonts w:ascii="Times New Roman" w:hAnsi="Times New Roman" w:cs="Times New Roman" w:eastAsia="Times New Roman" w:hint="default"/>
          <w:spacing w:val="-9"/>
        </w:rPr>
        <w:t> </w:t>
      </w:r>
      <w:r>
        <w:rPr>
          <w:rFonts w:ascii="Times New Roman" w:hAnsi="Times New Roman" w:cs="Times New Roman" w:eastAsia="Times New Roman" w:hint="default"/>
        </w:rPr>
        <w:t>LIMITED</w:t>
      </w:r>
      <w:r>
        <w:rPr/>
        <w:t>出售全资子公司</w:t>
      </w:r>
      <w:r>
        <w:rPr>
          <w:rFonts w:ascii="Times New Roman" w:hAnsi="Times New Roman" w:cs="Times New Roman" w:eastAsia="Times New Roman" w:hint="default"/>
        </w:rPr>
        <w:t>Shiji</w:t>
      </w:r>
      <w:r>
        <w:rPr>
          <w:rFonts w:ascii="Times New Roman" w:hAnsi="Times New Roman" w:cs="Times New Roman" w:eastAsia="Times New Roman" w:hint="default"/>
          <w:spacing w:val="-8"/>
        </w:rPr>
        <w:t> </w:t>
      </w:r>
      <w:r>
        <w:rPr>
          <w:rFonts w:ascii="Times New Roman" w:hAnsi="Times New Roman" w:cs="Times New Roman" w:eastAsia="Times New Roman" w:hint="default"/>
        </w:rPr>
        <w:t>Retail</w:t>
      </w:r>
      <w:r>
        <w:rPr>
          <w:rFonts w:ascii="Times New Roman" w:hAnsi="Times New Roman" w:cs="Times New Roman" w:eastAsia="Times New Roman" w:hint="default"/>
          <w:spacing w:val="-8"/>
        </w:rPr>
        <w:t> </w:t>
      </w:r>
      <w:r>
        <w:rPr>
          <w:rFonts w:ascii="Times New Roman" w:hAnsi="Times New Roman" w:cs="Times New Roman" w:eastAsia="Times New Roman" w:hint="default"/>
        </w:rPr>
        <w:t>Information</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rFonts w:ascii="Times New Roman" w:hAnsi="Times New Roman" w:cs="Times New Roman" w:eastAsia="Times New Roman" w:hint="default"/>
        </w:rPr>
        <w:t>Technology Co.</w:t>
      </w:r>
      <w:r>
        <w:rPr>
          <w:rFonts w:ascii="Times New Roman" w:hAnsi="Times New Roman" w:cs="Times New Roman" w:eastAsia="Times New Roman" w:hint="default"/>
          <w:spacing w:val="-7"/>
        </w:rPr>
        <w:t> </w:t>
      </w:r>
      <w:r>
        <w:rPr>
          <w:rFonts w:ascii="Times New Roman" w:hAnsi="Times New Roman" w:cs="Times New Roman" w:eastAsia="Times New Roman" w:hint="default"/>
        </w:rPr>
        <w:t>Ltd.38%</w:t>
      </w:r>
      <w:r>
        <w:rPr/>
        <w:t>股权交割完成的交易进展公告》（公告编号：</w:t>
      </w:r>
      <w:r>
        <w:rPr>
          <w:rFonts w:ascii="Times New Roman" w:hAnsi="Times New Roman" w:cs="Times New Roman" w:eastAsia="Times New Roman" w:hint="default"/>
        </w:rPr>
        <w:t>2018-14</w:t>
      </w:r>
      <w:r>
        <w:rPr/>
        <w:t>）。</w:t>
      </w:r>
    </w:p>
    <w:p>
      <w:pPr>
        <w:pStyle w:val="Heading7"/>
        <w:spacing w:line="240" w:lineRule="auto" w:before="45"/>
        <w:ind w:left="575" w:right="1133"/>
        <w:jc w:val="left"/>
        <w:rPr>
          <w:b w:val="0"/>
          <w:bCs w:val="0"/>
        </w:rPr>
      </w:pPr>
      <w:r>
        <w:rPr/>
        <w:t>（</w:t>
      </w:r>
      <w:r>
        <w:rPr>
          <w:rFonts w:ascii="Times New Roman" w:hAnsi="Times New Roman" w:cs="Times New Roman" w:eastAsia="Times New Roman" w:hint="default"/>
        </w:rPr>
        <w:t>2</w:t>
      </w:r>
      <w:r>
        <w:rPr/>
        <w:t>）北海石基收购宝库在线</w:t>
      </w:r>
      <w:r>
        <w:rPr>
          <w:rFonts w:ascii="Times New Roman" w:hAnsi="Times New Roman" w:cs="Times New Roman" w:eastAsia="Times New Roman" w:hint="default"/>
        </w:rPr>
        <w:t>85%</w:t>
      </w:r>
      <w:r>
        <w:rPr/>
        <w:t>股权</w:t>
      </w:r>
      <w:r>
        <w:rPr>
          <w:b w:val="0"/>
          <w:bCs w:val="0"/>
        </w:rPr>
      </w:r>
    </w:p>
    <w:p>
      <w:pPr>
        <w:pStyle w:val="BodyText"/>
        <w:spacing w:line="240" w:lineRule="auto" w:before="59"/>
        <w:ind w:left="573" w:right="113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日，北海石基与宝库在线签订《股权转让及增资协议》，公司全资子公司北海石基拟以</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56" w:lineRule="auto" w:before="36"/>
        <w:ind w:right="1129"/>
        <w:jc w:val="both"/>
      </w:pPr>
      <w:r>
        <w:rPr>
          <w:spacing w:val="-2"/>
        </w:rPr>
        <w:t>合计</w:t>
      </w:r>
      <w:r>
        <w:rPr>
          <w:rFonts w:ascii="Times New Roman" w:hAnsi="Times New Roman" w:cs="Times New Roman" w:eastAsia="Times New Roman" w:hint="default"/>
          <w:spacing w:val="-2"/>
        </w:rPr>
        <w:t>1916</w:t>
      </w:r>
      <w:r>
        <w:rPr>
          <w:spacing w:val="-2"/>
        </w:rPr>
        <w:t>万元收购宝库在线的部分股东持有的北京宝库</w:t>
      </w:r>
      <w:r>
        <w:rPr>
          <w:rFonts w:ascii="Times New Roman" w:hAnsi="Times New Roman" w:cs="Times New Roman" w:eastAsia="Times New Roman" w:hint="default"/>
          <w:spacing w:val="-2"/>
        </w:rPr>
        <w:t>47.7%</w:t>
      </w:r>
      <w:r>
        <w:rPr>
          <w:spacing w:val="-2"/>
        </w:rPr>
        <w:t>股份，并向宝库在线增资；增资完成后，公</w:t>
      </w:r>
      <w:r>
        <w:rPr>
          <w:spacing w:val="-14"/>
        </w:rPr>
        <w:t> </w:t>
      </w:r>
      <w:r>
        <w:rPr>
          <w:spacing w:val="-14"/>
        </w:rPr>
      </w:r>
      <w:r>
        <w:rPr>
          <w:spacing w:val="-2"/>
        </w:rPr>
        <w:t>司全资子公司北海石基将持有宝库在线</w:t>
      </w:r>
      <w:r>
        <w:rPr>
          <w:rFonts w:ascii="Times New Roman" w:hAnsi="Times New Roman" w:cs="Times New Roman" w:eastAsia="Times New Roman" w:hint="default"/>
          <w:spacing w:val="-2"/>
        </w:rPr>
        <w:t>85%</w:t>
      </w:r>
      <w:r>
        <w:rPr>
          <w:spacing w:val="-2"/>
        </w:rPr>
        <w:t>的股份。该事项已经公司</w:t>
      </w:r>
      <w:r>
        <w:rPr>
          <w:rFonts w:ascii="Times New Roman" w:hAnsi="Times New Roman" w:cs="Times New Roman" w:eastAsia="Times New Roman" w:hint="default"/>
          <w:spacing w:val="-2"/>
        </w:rPr>
        <w:t>2018</w:t>
      </w:r>
      <w:r>
        <w:rPr>
          <w:spacing w:val="-2"/>
        </w:rPr>
        <w:t>年第二次总裁办公会审议通过。</w:t>
      </w:r>
      <w:r>
        <w:rPr>
          <w:spacing w:val="-14"/>
        </w:rPr>
        <w:t> </w:t>
      </w:r>
      <w:r>
        <w:rPr>
          <w:spacing w:val="-14"/>
        </w:rPr>
      </w:r>
      <w:r>
        <w:rPr>
          <w:spacing w:val="-6"/>
          <w:w w:val="100"/>
        </w:rPr>
        <w:t>截至本报告披露日，上述股权转让已经完成工商变更登记手续，公司全资子公司北海石基持有宝库在线</w:t>
      </w:r>
      <w:r>
        <w:rPr>
          <w:rFonts w:ascii="Times New Roman" w:hAnsi="Times New Roman" w:cs="Times New Roman" w:eastAsia="Times New Roman" w:hint="default"/>
          <w:spacing w:val="-6"/>
          <w:w w:val="100"/>
        </w:rPr>
        <w:t>85%</w:t>
      </w:r>
      <w:r>
        <w:rPr>
          <w:rFonts w:ascii="Times New Roman" w:hAnsi="Times New Roman" w:cs="Times New Roman" w:eastAsia="Times New Roman" w:hint="default"/>
          <w:spacing w:val="-26"/>
          <w:w w:val="100"/>
        </w:rPr>
        <w:t> </w:t>
      </w:r>
      <w:r>
        <w:rPr>
          <w:rFonts w:ascii="Times New Roman" w:hAnsi="Times New Roman" w:cs="Times New Roman" w:eastAsia="Times New Roman" w:hint="default"/>
          <w:spacing w:val="-26"/>
          <w:w w:val="100"/>
        </w:rPr>
      </w:r>
      <w:r>
        <w:rPr/>
        <w:t>股权。</w:t>
      </w:r>
    </w:p>
    <w:p>
      <w:pPr>
        <w:pStyle w:val="Heading7"/>
        <w:spacing w:line="240" w:lineRule="auto" w:before="63"/>
        <w:ind w:left="575" w:right="1133"/>
        <w:jc w:val="left"/>
        <w:rPr>
          <w:b w:val="0"/>
          <w:bCs w:val="0"/>
        </w:rPr>
      </w:pPr>
      <w:r>
        <w:rPr/>
        <w:t>（</w:t>
      </w:r>
      <w:r>
        <w:rPr>
          <w:rFonts w:ascii="Times New Roman" w:hAnsi="Times New Roman" w:cs="Times New Roman" w:eastAsia="Times New Roman" w:hint="default"/>
        </w:rPr>
        <w:t>3</w:t>
      </w:r>
      <w:r>
        <w:rPr/>
        <w:t>）石基大商信息收购广州合光</w:t>
      </w:r>
      <w:r>
        <w:rPr>
          <w:rFonts w:ascii="Times New Roman" w:hAnsi="Times New Roman" w:cs="Times New Roman" w:eastAsia="Times New Roman" w:hint="default"/>
        </w:rPr>
        <w:t>100%</w:t>
      </w:r>
      <w:r>
        <w:rPr/>
        <w:t>股权</w:t>
      </w:r>
      <w:r>
        <w:rPr>
          <w:b w:val="0"/>
          <w:bCs w:val="0"/>
        </w:rPr>
      </w:r>
    </w:p>
    <w:p>
      <w:pPr>
        <w:pStyle w:val="BodyText"/>
        <w:spacing w:line="261" w:lineRule="auto" w:before="59"/>
        <w:ind w:right="1126" w:firstLine="420"/>
        <w:jc w:val="both"/>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8</w:t>
      </w:r>
      <w:r>
        <w:rPr>
          <w:spacing w:val="-4"/>
        </w:rPr>
        <w:t>日，公司控股子公司石基大商信息与广州合光签订《</w:t>
      </w:r>
      <w:r>
        <w:rPr>
          <w:rFonts w:ascii="Times New Roman" w:hAnsi="Times New Roman" w:cs="Times New Roman" w:eastAsia="Times New Roman" w:hint="default"/>
          <w:spacing w:val="-4"/>
        </w:rPr>
        <w:t>100%</w:t>
      </w:r>
      <w:r>
        <w:rPr>
          <w:spacing w:val="-4"/>
        </w:rPr>
        <w:t>股权转让协议》，公司以自有资</w:t>
      </w:r>
      <w:r>
        <w:rPr>
          <w:w w:val="100"/>
        </w:rPr>
        <w:t> </w:t>
      </w:r>
      <w:r>
        <w:rPr>
          <w:spacing w:val="-4"/>
          <w:w w:val="100"/>
        </w:rPr>
        <w:t>金</w:t>
      </w:r>
      <w:r>
        <w:rPr>
          <w:rFonts w:ascii="Times New Roman" w:hAnsi="Times New Roman" w:cs="Times New Roman" w:eastAsia="Times New Roman" w:hint="default"/>
          <w:spacing w:val="-4"/>
          <w:w w:val="100"/>
        </w:rPr>
        <w:t>6000</w:t>
      </w:r>
      <w:r>
        <w:rPr>
          <w:spacing w:val="-4"/>
          <w:w w:val="100"/>
        </w:rPr>
        <w:t>万元收购广州合光</w:t>
      </w:r>
      <w:r>
        <w:rPr>
          <w:rFonts w:ascii="Times New Roman" w:hAnsi="Times New Roman" w:cs="Times New Roman" w:eastAsia="Times New Roman" w:hint="default"/>
          <w:spacing w:val="-4"/>
          <w:w w:val="100"/>
        </w:rPr>
        <w:t>100%</w:t>
      </w:r>
      <w:r>
        <w:rPr>
          <w:spacing w:val="-4"/>
          <w:w w:val="100"/>
        </w:rPr>
        <w:t>股权，该事项已经石基大商信息股东会及公司</w:t>
      </w:r>
      <w:r>
        <w:rPr>
          <w:rFonts w:ascii="Times New Roman" w:hAnsi="Times New Roman" w:cs="Times New Roman" w:eastAsia="Times New Roman" w:hint="default"/>
          <w:spacing w:val="-4"/>
          <w:w w:val="100"/>
        </w:rPr>
        <w:t>2018</w:t>
      </w:r>
      <w:r>
        <w:rPr>
          <w:spacing w:val="-4"/>
          <w:w w:val="100"/>
        </w:rPr>
        <w:t>年第二次总裁办公会审议</w:t>
      </w:r>
      <w:r>
        <w:rPr>
          <w:spacing w:val="-60"/>
          <w:w w:val="100"/>
        </w:rPr>
        <w:t> </w:t>
      </w:r>
      <w:r>
        <w:rPr>
          <w:spacing w:val="-60"/>
          <w:w w:val="100"/>
        </w:rPr>
      </w:r>
      <w:r>
        <w:rPr>
          <w:spacing w:val="-2"/>
        </w:rPr>
        <w:t>通过。截至本报告披露日，上述股权转让已经完成工商变更登记手续，公司控股子公司石基大商信息持有</w:t>
      </w:r>
      <w:r>
        <w:rPr>
          <w:spacing w:val="-44"/>
        </w:rPr>
        <w:t> </w:t>
      </w:r>
      <w:r>
        <w:rPr>
          <w:spacing w:val="-44"/>
        </w:rPr>
      </w:r>
      <w:r>
        <w:rPr/>
        <w:t>广州合光</w:t>
      </w:r>
      <w:r>
        <w:rPr>
          <w:rFonts w:ascii="Times New Roman" w:hAnsi="Times New Roman" w:cs="Times New Roman" w:eastAsia="Times New Roman" w:hint="default"/>
        </w:rPr>
        <w:t>100%</w:t>
      </w:r>
      <w:r>
        <w:rPr/>
        <w:t>股权。</w:t>
      </w:r>
    </w:p>
    <w:p>
      <w:pPr>
        <w:pStyle w:val="Heading7"/>
        <w:spacing w:line="240" w:lineRule="auto" w:before="41"/>
        <w:ind w:left="575" w:right="1133"/>
        <w:jc w:val="left"/>
        <w:rPr>
          <w:b w:val="0"/>
          <w:bCs w:val="0"/>
        </w:rPr>
      </w:pPr>
      <w:r>
        <w:rPr/>
        <w:t>（</w:t>
      </w:r>
      <w:r>
        <w:rPr>
          <w:rFonts w:ascii="Times New Roman" w:hAnsi="Times New Roman" w:cs="Times New Roman" w:eastAsia="Times New Roman" w:hint="default"/>
        </w:rPr>
        <w:t>4</w:t>
      </w:r>
      <w:r>
        <w:rPr/>
        <w:t>）北海石基出售迅付信息公司</w:t>
      </w:r>
      <w:r>
        <w:rPr>
          <w:rFonts w:ascii="Times New Roman" w:hAnsi="Times New Roman" w:cs="Times New Roman" w:eastAsia="Times New Roman" w:hint="default"/>
        </w:rPr>
        <w:t>22.5%</w:t>
      </w:r>
      <w:r>
        <w:rPr/>
        <w:t>股权</w:t>
      </w:r>
      <w:r>
        <w:rPr>
          <w:b w:val="0"/>
          <w:bCs w:val="0"/>
        </w:rPr>
      </w:r>
    </w:p>
    <w:p>
      <w:pPr>
        <w:pStyle w:val="BodyText"/>
        <w:spacing w:line="256" w:lineRule="auto" w:before="62"/>
        <w:ind w:right="1129" w:firstLine="420"/>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22</w:t>
      </w:r>
      <w:r>
        <w:rPr>
          <w:spacing w:val="-3"/>
        </w:rPr>
        <w:t>日，全资子公司北海石基与盒子信息签署《股权转让协议》，将其持有的迅付信息</w:t>
      </w:r>
      <w:r>
        <w:rPr>
          <w:rFonts w:ascii="Times New Roman" w:hAnsi="Times New Roman" w:cs="Times New Roman" w:eastAsia="Times New Roman" w:hint="default"/>
          <w:spacing w:val="-3"/>
        </w:rPr>
        <w:t>22.5%</w:t>
      </w:r>
      <w:r>
        <w:rPr>
          <w:rFonts w:ascii="Times New Roman" w:hAnsi="Times New Roman" w:cs="Times New Roman" w:eastAsia="Times New Roman" w:hint="default"/>
          <w:w w:val="100"/>
        </w:rPr>
        <w:t> </w:t>
      </w:r>
      <w:r>
        <w:rPr/>
        <w:t>的股权以人民币</w:t>
      </w:r>
      <w:r>
        <w:rPr>
          <w:rFonts w:ascii="Times New Roman" w:hAnsi="Times New Roman" w:cs="Times New Roman" w:eastAsia="Times New Roman" w:hint="default"/>
        </w:rPr>
        <w:t>247,500,000</w:t>
      </w:r>
      <w:r>
        <w:rPr>
          <w:rFonts w:ascii="Times New Roman" w:hAnsi="Times New Roman" w:cs="Times New Roman" w:eastAsia="Times New Roman" w:hint="default"/>
          <w:spacing w:val="28"/>
        </w:rPr>
        <w:t> </w:t>
      </w:r>
      <w:r>
        <w:rPr/>
        <w:t>元转让与盒子信息。本次交易已经公司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日召开的第六届董事会</w:t>
      </w:r>
      <w:r>
        <w:rPr>
          <w:w w:val="100"/>
        </w:rPr>
        <w:t> </w:t>
      </w:r>
      <w:r>
        <w:rPr>
          <w:rFonts w:ascii="Times New Roman" w:hAnsi="Times New Roman" w:cs="Times New Roman" w:eastAsia="Times New Roman" w:hint="default"/>
          <w:spacing w:val="-4"/>
        </w:rPr>
        <w:t>2018</w:t>
      </w:r>
      <w:r>
        <w:rPr>
          <w:spacing w:val="-4"/>
        </w:rPr>
        <w:t>年第四次临时会议审议通过。《关于全资子公司出售迅付信息股权及相关事项的公告》（</w:t>
      </w:r>
      <w:r>
        <w:rPr>
          <w:rFonts w:ascii="Times New Roman" w:hAnsi="Times New Roman" w:cs="Times New Roman" w:eastAsia="Times New Roman" w:hint="default"/>
          <w:spacing w:val="-4"/>
        </w:rPr>
        <w:t>2018-34</w:t>
      </w:r>
      <w:r>
        <w:rPr>
          <w:spacing w:val="-4"/>
        </w:rPr>
        <w:t>）详</w:t>
      </w:r>
      <w:r>
        <w:rPr>
          <w:spacing w:val="-21"/>
        </w:rPr>
        <w:t> </w:t>
      </w:r>
      <w:r>
        <w:rPr/>
        <w:t>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日的《中国证券报》、《证券时报》及巨潮资讯网</w:t>
      </w:r>
      <w:hyperlink r:id="rId13">
        <w:r>
          <w:rPr>
            <w:rFonts w:ascii="Times New Roman" w:hAnsi="Times New Roman" w:cs="Times New Roman" w:eastAsia="Times New Roman" w:hint="default"/>
          </w:rPr>
          <w:t>www.cninfo.com.cn</w:t>
        </w:r>
      </w:hyperlink>
      <w:r>
        <w:rPr/>
        <w:t>。</w:t>
      </w:r>
    </w:p>
    <w:p>
      <w:pPr>
        <w:pStyle w:val="Heading7"/>
        <w:spacing w:line="240" w:lineRule="auto" w:before="46"/>
        <w:ind w:left="575" w:right="1133"/>
        <w:jc w:val="left"/>
        <w:rPr>
          <w:b w:val="0"/>
          <w:bCs w:val="0"/>
        </w:rPr>
      </w:pPr>
      <w:r>
        <w:rPr/>
        <w:t>（</w:t>
      </w:r>
      <w:r>
        <w:rPr>
          <w:rFonts w:ascii="Times New Roman" w:hAnsi="Times New Roman" w:cs="Times New Roman" w:eastAsia="Times New Roman" w:hint="default"/>
        </w:rPr>
        <w:t>5</w:t>
      </w:r>
      <w:r>
        <w:rPr/>
        <w:t>）北海石基出售环迅保理公司</w:t>
      </w:r>
      <w:r>
        <w:rPr>
          <w:rFonts w:ascii="Times New Roman" w:hAnsi="Times New Roman" w:cs="Times New Roman" w:eastAsia="Times New Roman" w:hint="default"/>
        </w:rPr>
        <w:t>22.5%</w:t>
      </w:r>
      <w:r>
        <w:rPr/>
        <w:t>股权</w:t>
      </w:r>
      <w:r>
        <w:rPr>
          <w:b w:val="0"/>
          <w:bCs w:val="0"/>
        </w:rPr>
      </w:r>
    </w:p>
    <w:p>
      <w:pPr>
        <w:pStyle w:val="BodyText"/>
        <w:spacing w:line="240" w:lineRule="auto" w:before="59"/>
        <w:ind w:left="573" w:right="1133"/>
        <w:jc w:val="left"/>
        <w:rPr>
          <w:rFonts w:ascii="Times New Roman" w:hAnsi="Times New Roman" w:cs="Times New Roman" w:eastAsia="Times New Roman" w:hint="default"/>
        </w:rPr>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22</w:t>
      </w:r>
      <w:r>
        <w:rPr>
          <w:spacing w:val="-3"/>
        </w:rPr>
        <w:t>日，全资子公司北海石基与盒子信息签署《股权转让协议》，将其持有的环迅保理</w:t>
      </w:r>
      <w:r>
        <w:rPr>
          <w:rFonts w:ascii="Times New Roman" w:hAnsi="Times New Roman" w:cs="Times New Roman" w:eastAsia="Times New Roman" w:hint="default"/>
          <w:spacing w:val="-3"/>
        </w:rPr>
        <w:t>22.5%</w:t>
      </w:r>
    </w:p>
    <w:p>
      <w:pPr>
        <w:pStyle w:val="BodyText"/>
        <w:spacing w:line="240" w:lineRule="auto" w:before="21"/>
        <w:ind w:right="0"/>
        <w:jc w:val="both"/>
      </w:pPr>
      <w:r>
        <w:rPr/>
        <w:t>的股权以</w:t>
      </w:r>
      <w:r>
        <w:rPr>
          <w:rFonts w:ascii="Times New Roman" w:hAnsi="Times New Roman" w:cs="Times New Roman" w:eastAsia="Times New Roman" w:hint="default"/>
        </w:rPr>
        <w:t>1,127.42</w:t>
      </w:r>
      <w:r>
        <w:rPr/>
        <w:t>万元转让与盒子信息。本次交易已经公司</w:t>
      </w:r>
      <w:r>
        <w:rPr>
          <w:rFonts w:ascii="Times New Roman" w:hAnsi="Times New Roman" w:cs="Times New Roman" w:eastAsia="Times New Roman" w:hint="default"/>
        </w:rPr>
        <w:t>2018</w:t>
      </w:r>
      <w:r>
        <w:rPr/>
        <w:t>年第五次总裁办公会议审议通过。</w:t>
      </w:r>
    </w:p>
    <w:p>
      <w:pPr>
        <w:pStyle w:val="Heading7"/>
        <w:spacing w:line="240" w:lineRule="auto" w:before="62"/>
        <w:ind w:left="575" w:right="1133"/>
        <w:jc w:val="left"/>
        <w:rPr>
          <w:rFonts w:ascii="Times New Roman" w:hAnsi="Times New Roman" w:cs="Times New Roman" w:eastAsia="Times New Roman" w:hint="default"/>
          <w:b w:val="0"/>
          <w:bCs w:val="0"/>
        </w:rPr>
      </w:pPr>
      <w:r>
        <w:rPr/>
        <w:t>（</w:t>
      </w:r>
      <w:r>
        <w:rPr>
          <w:rFonts w:ascii="Times New Roman" w:hAnsi="Times New Roman" w:cs="Times New Roman" w:eastAsia="Times New Roman" w:hint="default"/>
        </w:rPr>
        <w:t>6</w:t>
      </w:r>
      <w:r>
        <w:rPr/>
        <w:t>）上海石基增持上海鸿鹊信息科技有限公司股权至</w:t>
      </w:r>
      <w:r>
        <w:rPr>
          <w:rFonts w:ascii="Times New Roman" w:hAnsi="Times New Roman" w:cs="Times New Roman" w:eastAsia="Times New Roman" w:hint="default"/>
        </w:rPr>
        <w:t>22.037%</w:t>
      </w:r>
      <w:r>
        <w:rPr>
          <w:rFonts w:ascii="Times New Roman" w:hAnsi="Times New Roman" w:cs="Times New Roman" w:eastAsia="Times New Roman" w:hint="default"/>
          <w:b w:val="0"/>
          <w:bCs w:val="0"/>
        </w:rPr>
      </w:r>
    </w:p>
    <w:p>
      <w:pPr>
        <w:pStyle w:val="BodyText"/>
        <w:spacing w:line="261" w:lineRule="auto" w:before="59"/>
        <w:ind w:right="1128" w:firstLine="420"/>
        <w:jc w:val="both"/>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26</w:t>
      </w:r>
      <w:r>
        <w:rPr>
          <w:spacing w:val="-4"/>
        </w:rPr>
        <w:t>日，全资子公司上海石基与上海鸿鹊信息科技有限公司（以下简称</w:t>
      </w:r>
      <w:r>
        <w:rPr>
          <w:rFonts w:ascii="Times New Roman" w:hAnsi="Times New Roman" w:cs="Times New Roman" w:eastAsia="Times New Roman" w:hint="default"/>
          <w:spacing w:val="-4"/>
        </w:rPr>
        <w:t>“</w:t>
      </w:r>
      <w:r>
        <w:rPr>
          <w:spacing w:val="-4"/>
        </w:rPr>
        <w:t>上海鸿鹊</w:t>
      </w:r>
      <w:r>
        <w:rPr>
          <w:rFonts w:ascii="Times New Roman" w:hAnsi="Times New Roman" w:cs="Times New Roman" w:eastAsia="Times New Roman" w:hint="default"/>
          <w:spacing w:val="-4"/>
        </w:rPr>
        <w:t>”</w:t>
      </w:r>
      <w:r>
        <w:rPr>
          <w:spacing w:val="-4"/>
        </w:rPr>
        <w:t>）及其他全</w:t>
      </w:r>
      <w:r>
        <w:rPr>
          <w:w w:val="100"/>
        </w:rPr>
        <w:t> </w:t>
      </w:r>
      <w:r>
        <w:rPr>
          <w:spacing w:val="-2"/>
        </w:rPr>
        <w:t>部原股东共同签署《增资扩股协议》，先对一名原股东的出资进行减资后，由上海石基及部分原股东共同</w:t>
      </w:r>
      <w:r>
        <w:rPr>
          <w:spacing w:val="-47"/>
        </w:rPr>
        <w:t> </w:t>
      </w:r>
      <w:r>
        <w:rPr>
          <w:spacing w:val="-47"/>
        </w:rPr>
      </w:r>
      <w:r>
        <w:rPr>
          <w:spacing w:val="-3"/>
        </w:rPr>
        <w:t>增资上海鸿鹊，其中上海石基的增资额为</w:t>
      </w:r>
      <w:r>
        <w:rPr>
          <w:rFonts w:ascii="Times New Roman" w:hAnsi="Times New Roman" w:cs="Times New Roman" w:eastAsia="Times New Roman" w:hint="default"/>
          <w:spacing w:val="-3"/>
        </w:rPr>
        <w:t>185.6</w:t>
      </w:r>
      <w:r>
        <w:rPr>
          <w:spacing w:val="-3"/>
        </w:rPr>
        <w:t>万元，增资完成后上海石基将持有上海鸿鹊</w:t>
      </w:r>
      <w:r>
        <w:rPr>
          <w:rFonts w:ascii="Times New Roman" w:hAnsi="Times New Roman" w:cs="Times New Roman" w:eastAsia="Times New Roman" w:hint="default"/>
          <w:spacing w:val="-3"/>
        </w:rPr>
        <w:t>22%</w:t>
      </w:r>
      <w:r>
        <w:rPr>
          <w:spacing w:val="-3"/>
        </w:rPr>
        <w:t>股权。本次</w:t>
      </w:r>
      <w:r>
        <w:rPr>
          <w:spacing w:val="-12"/>
        </w:rPr>
        <w:t> </w:t>
      </w:r>
      <w:r>
        <w:rPr>
          <w:spacing w:val="-12"/>
        </w:rPr>
      </w:r>
      <w:r>
        <w:rPr/>
        <w:t>交易已经上海石基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日召开的董事会审议通过。</w:t>
      </w:r>
    </w:p>
    <w:p>
      <w:pPr>
        <w:spacing w:line="290" w:lineRule="auto" w:before="41"/>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）石基（香港）短期借款不超过</w:t>
      </w:r>
      <w:r>
        <w:rPr>
          <w:rFonts w:ascii="Times New Roman" w:hAnsi="Times New Roman" w:cs="Times New Roman" w:eastAsia="Times New Roman" w:hint="default"/>
          <w:b/>
          <w:bCs/>
          <w:sz w:val="21"/>
          <w:szCs w:val="21"/>
        </w:rPr>
        <w:t>7000</w:t>
      </w:r>
      <w:r>
        <w:rPr>
          <w:rFonts w:ascii="宋体" w:hAnsi="宋体" w:cs="宋体" w:eastAsia="宋体" w:hint="default"/>
          <w:b/>
          <w:bCs/>
          <w:sz w:val="21"/>
          <w:szCs w:val="21"/>
        </w:rPr>
        <w:t>万美元</w:t>
      </w:r>
      <w:r>
        <w:rPr>
          <w:rFonts w:ascii="宋体" w:hAnsi="宋体" w:cs="宋体" w:eastAsia="宋体" w:hint="default"/>
          <w:b/>
          <w:bCs/>
          <w:w w:val="100"/>
          <w:sz w:val="21"/>
          <w:szCs w:val="21"/>
        </w:rPr>
        <w:t> </w:t>
      </w:r>
      <w:r>
        <w:rPr>
          <w:rFonts w:ascii="宋体" w:hAnsi="宋体" w:cs="宋体" w:eastAsia="宋体" w:hint="default"/>
          <w:spacing w:val="-4"/>
          <w:sz w:val="21"/>
          <w:szCs w:val="21"/>
        </w:rPr>
        <w:t>石基香港因短期资金周转需要，于</w:t>
      </w:r>
      <w:r>
        <w:rPr>
          <w:rFonts w:ascii="Times New Roman" w:hAnsi="Times New Roman" w:cs="Times New Roman" w:eastAsia="Times New Roman" w:hint="default"/>
          <w:spacing w:val="-4"/>
          <w:sz w:val="21"/>
          <w:szCs w:val="21"/>
        </w:rPr>
        <w:t>2018</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27</w:t>
      </w:r>
      <w:r>
        <w:rPr>
          <w:rFonts w:ascii="宋体" w:hAnsi="宋体" w:cs="宋体" w:eastAsia="宋体" w:hint="default"/>
          <w:spacing w:val="-4"/>
          <w:sz w:val="21"/>
          <w:szCs w:val="21"/>
        </w:rPr>
        <w:t>日、</w:t>
      </w:r>
      <w:r>
        <w:rPr>
          <w:rFonts w:ascii="Times New Roman" w:hAnsi="Times New Roman" w:cs="Times New Roman" w:eastAsia="Times New Roman" w:hint="default"/>
          <w:spacing w:val="-4"/>
          <w:sz w:val="21"/>
          <w:szCs w:val="21"/>
        </w:rPr>
        <w:t>2018</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28</w:t>
      </w:r>
      <w:r>
        <w:rPr>
          <w:rFonts w:ascii="宋体" w:hAnsi="宋体" w:cs="宋体" w:eastAsia="宋体" w:hint="default"/>
          <w:spacing w:val="-4"/>
          <w:sz w:val="21"/>
          <w:szCs w:val="21"/>
        </w:rPr>
        <w:t>日，分别与任莉莉、中信建投（国际）</w:t>
      </w:r>
    </w:p>
    <w:p>
      <w:pPr>
        <w:pStyle w:val="BodyText"/>
        <w:spacing w:line="264" w:lineRule="exact"/>
        <w:ind w:right="0"/>
        <w:jc w:val="both"/>
      </w:pPr>
      <w:r>
        <w:rPr/>
        <w:t>财务有限公司及</w:t>
      </w:r>
      <w:r>
        <w:rPr>
          <w:rFonts w:ascii="Times New Roman" w:hAnsi="Times New Roman" w:cs="Times New Roman" w:eastAsia="Times New Roman" w:hint="default"/>
        </w:rPr>
        <w:t>GREENWOODS ASSET MANAGEMENT</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3"/>
        </w:rPr>
        <w:t>LIMITED</w:t>
      </w:r>
      <w:r>
        <w:rPr>
          <w:spacing w:val="-3"/>
        </w:rPr>
        <w:t>签署借款协议，共计借款不超过</w:t>
      </w:r>
      <w:r>
        <w:rPr>
          <w:rFonts w:ascii="Times New Roman" w:hAnsi="Times New Roman" w:cs="Times New Roman" w:eastAsia="Times New Roman" w:hint="default"/>
          <w:spacing w:val="-3"/>
        </w:rPr>
        <w:t>7000</w:t>
      </w:r>
      <w:r>
        <w:rPr>
          <w:spacing w:val="-3"/>
        </w:rPr>
        <w:t>万</w:t>
      </w:r>
    </w:p>
    <w:p>
      <w:pPr>
        <w:pStyle w:val="BodyText"/>
        <w:spacing w:line="256" w:lineRule="auto" w:before="21"/>
        <w:ind w:right="1131"/>
        <w:jc w:val="both"/>
      </w:pPr>
      <w:r>
        <w:rPr>
          <w:spacing w:val="-2"/>
        </w:rPr>
        <w:t>美元。该事项已经公司</w:t>
      </w:r>
      <w:r>
        <w:rPr>
          <w:rFonts w:ascii="Times New Roman" w:hAnsi="Times New Roman" w:cs="Times New Roman" w:eastAsia="Times New Roman" w:hint="default"/>
          <w:spacing w:val="-2"/>
        </w:rPr>
        <w:t>2018</w:t>
      </w:r>
      <w:r>
        <w:rPr>
          <w:spacing w:val="-2"/>
        </w:rPr>
        <w:t>年第二次总裁办公会及石基（香港）董事会审议通过。截至本报告期末，上述</w:t>
      </w:r>
      <w:r>
        <w:rPr>
          <w:spacing w:val="-46"/>
        </w:rPr>
        <w:t> </w:t>
      </w:r>
      <w:r>
        <w:rPr>
          <w:spacing w:val="-46"/>
        </w:rPr>
      </w:r>
      <w:r>
        <w:rPr/>
        <w:t>借款已全部归还。</w:t>
      </w:r>
    </w:p>
    <w:p>
      <w:pPr>
        <w:pStyle w:val="Heading7"/>
        <w:spacing w:line="240" w:lineRule="auto" w:before="61"/>
        <w:ind w:left="573" w:right="1133"/>
        <w:jc w:val="left"/>
        <w:rPr>
          <w:b w:val="0"/>
          <w:bCs w:val="0"/>
        </w:rPr>
      </w:pPr>
      <w:r>
        <w:rPr/>
        <w:t>（</w:t>
      </w:r>
      <w:r>
        <w:rPr>
          <w:rFonts w:ascii="Times New Roman" w:hAnsi="Times New Roman" w:cs="Times New Roman" w:eastAsia="Times New Roman" w:hint="default"/>
        </w:rPr>
        <w:t>8</w:t>
      </w:r>
      <w:r>
        <w:rPr/>
        <w:t>）公司控股子公司思迅软件增资并购买取得客至软件</w:t>
      </w:r>
      <w:r>
        <w:rPr>
          <w:rFonts w:ascii="Times New Roman" w:hAnsi="Times New Roman" w:cs="Times New Roman" w:eastAsia="Times New Roman" w:hint="default"/>
        </w:rPr>
        <w:t>55%</w:t>
      </w:r>
      <w:r>
        <w:rPr/>
        <w:t>股权</w:t>
      </w:r>
      <w:r>
        <w:rPr>
          <w:b w:val="0"/>
          <w:bCs w:val="0"/>
        </w:rPr>
      </w:r>
    </w:p>
    <w:p>
      <w:pPr>
        <w:pStyle w:val="BodyText"/>
        <w:spacing w:line="256" w:lineRule="auto" w:before="21"/>
        <w:ind w:right="1126"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日，公司子公司思迅软件通过向南京客至软件有限公司（</w:t>
      </w:r>
      <w:r>
        <w:rPr>
          <w:rFonts w:ascii="Times New Roman" w:hAnsi="Times New Roman" w:cs="Times New Roman" w:eastAsia="Times New Roman" w:hint="default"/>
        </w:rPr>
        <w:t>“</w:t>
      </w:r>
      <w:r>
        <w:rPr/>
        <w:t>客至软件</w:t>
      </w:r>
      <w:r>
        <w:rPr>
          <w:rFonts w:ascii="Times New Roman" w:hAnsi="Times New Roman" w:cs="Times New Roman" w:eastAsia="Times New Roman" w:hint="default"/>
        </w:rPr>
        <w:t>”</w:t>
      </w:r>
      <w:r>
        <w:rPr/>
        <w:t>）增资人民币</w:t>
      </w:r>
      <w:r>
        <w:rPr>
          <w:rFonts w:ascii="Times New Roman" w:hAnsi="Times New Roman" w:cs="Times New Roman" w:eastAsia="Times New Roman" w:hint="default"/>
        </w:rPr>
        <w:t>1200</w:t>
      </w:r>
      <w:r>
        <w:rPr>
          <w:rFonts w:ascii="Times New Roman" w:hAnsi="Times New Roman" w:cs="Times New Roman" w:eastAsia="Times New Roman" w:hint="default"/>
          <w:w w:val="100"/>
        </w:rPr>
        <w:t> </w:t>
      </w:r>
      <w:r>
        <w:rPr>
          <w:spacing w:val="-3"/>
        </w:rPr>
        <w:t>万元，并以</w:t>
      </w:r>
      <w:r>
        <w:rPr>
          <w:rFonts w:ascii="Times New Roman" w:hAnsi="Times New Roman" w:cs="Times New Roman" w:eastAsia="Times New Roman" w:hint="default"/>
          <w:spacing w:val="-3"/>
        </w:rPr>
        <w:t>40</w:t>
      </w:r>
      <w:r>
        <w:rPr>
          <w:spacing w:val="-3"/>
        </w:rPr>
        <w:t>万元价格购买客至软件原股东所持前述增资后</w:t>
      </w:r>
      <w:r>
        <w:rPr>
          <w:rFonts w:ascii="Times New Roman" w:hAnsi="Times New Roman" w:cs="Times New Roman" w:eastAsia="Times New Roman" w:hint="default"/>
          <w:spacing w:val="-3"/>
        </w:rPr>
        <w:t>5%</w:t>
      </w:r>
      <w:r>
        <w:rPr>
          <w:spacing w:val="-3"/>
        </w:rPr>
        <w:t>股权，最终取得客至软件</w:t>
      </w:r>
      <w:r>
        <w:rPr>
          <w:rFonts w:ascii="Times New Roman" w:hAnsi="Times New Roman" w:cs="Times New Roman" w:eastAsia="Times New Roman" w:hint="default"/>
          <w:spacing w:val="-3"/>
        </w:rPr>
        <w:t>55%</w:t>
      </w:r>
      <w:r>
        <w:rPr>
          <w:spacing w:val="-3"/>
        </w:rPr>
        <w:t>股权。该事项</w:t>
      </w:r>
      <w:r>
        <w:rPr>
          <w:spacing w:val="-22"/>
        </w:rPr>
        <w:t> </w:t>
      </w:r>
      <w:r>
        <w:rPr>
          <w:spacing w:val="-22"/>
        </w:rPr>
      </w:r>
      <w:r>
        <w:rPr/>
        <w:t>已经思迅软件第一届董事会第十二次会议审议通过。</w:t>
      </w:r>
    </w:p>
    <w:p>
      <w:pPr>
        <w:pStyle w:val="Heading7"/>
        <w:spacing w:line="240" w:lineRule="auto" w:before="22"/>
        <w:ind w:left="575" w:right="1133"/>
        <w:jc w:val="left"/>
        <w:rPr>
          <w:rFonts w:ascii="Times New Roman" w:hAnsi="Times New Roman" w:cs="Times New Roman" w:eastAsia="Times New Roman" w:hint="default"/>
          <w:b w:val="0"/>
          <w:bCs w:val="0"/>
        </w:rPr>
      </w:pPr>
      <w:r>
        <w:rPr/>
        <w:t>（</w:t>
      </w:r>
      <w:r>
        <w:rPr>
          <w:rFonts w:ascii="Times New Roman" w:hAnsi="Times New Roman" w:cs="Times New Roman" w:eastAsia="Times New Roman" w:hint="default"/>
        </w:rPr>
        <w:t>9</w:t>
      </w:r>
      <w:r>
        <w:rPr/>
        <w:t>）公司全资子公司石基（香港）收购并增资</w:t>
      </w:r>
      <w:r>
        <w:rPr>
          <w:rFonts w:ascii="Times New Roman" w:hAnsi="Times New Roman" w:cs="Times New Roman" w:eastAsia="Times New Roman" w:hint="default"/>
        </w:rPr>
        <w:t>Snapshot</w:t>
      </w:r>
      <w:r>
        <w:rPr>
          <w:rFonts w:ascii="Times New Roman" w:hAnsi="Times New Roman" w:cs="Times New Roman" w:eastAsia="Times New Roman" w:hint="default"/>
          <w:spacing w:val="-6"/>
        </w:rPr>
        <w:t> </w:t>
      </w:r>
      <w:r>
        <w:rPr>
          <w:rFonts w:ascii="Times New Roman" w:hAnsi="Times New Roman" w:cs="Times New Roman" w:eastAsia="Times New Roman" w:hint="default"/>
        </w:rPr>
        <w:t>GmbH</w:t>
      </w:r>
      <w:r>
        <w:rPr>
          <w:rFonts w:ascii="Times New Roman" w:hAnsi="Times New Roman" w:cs="Times New Roman" w:eastAsia="Times New Roman" w:hint="default"/>
          <w:b w:val="0"/>
          <w:bCs w:val="0"/>
        </w:rPr>
      </w:r>
    </w:p>
    <w:p>
      <w:pPr>
        <w:pStyle w:val="BodyText"/>
        <w:spacing w:line="256" w:lineRule="auto" w:before="21"/>
        <w:ind w:right="1128"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日，石基（香港）以</w:t>
      </w:r>
      <w:r>
        <w:rPr>
          <w:rFonts w:ascii="Times New Roman" w:hAnsi="Times New Roman" w:cs="Times New Roman" w:eastAsia="Times New Roman" w:hint="default"/>
        </w:rPr>
        <w:t>1,092,453.38</w:t>
      </w:r>
      <w:r>
        <w:rPr/>
        <w:t>欧元收购其参股子公司</w:t>
      </w:r>
      <w:r>
        <w:rPr>
          <w:rFonts w:ascii="Times New Roman" w:hAnsi="Times New Roman" w:cs="Times New Roman" w:eastAsia="Times New Roman" w:hint="default"/>
        </w:rPr>
        <w:t>Snapshot</w:t>
      </w:r>
      <w:r>
        <w:rPr>
          <w:rFonts w:ascii="Times New Roman" w:hAnsi="Times New Roman" w:cs="Times New Roman" w:eastAsia="Times New Roman" w:hint="default"/>
          <w:spacing w:val="23"/>
        </w:rPr>
        <w:t> </w:t>
      </w:r>
      <w:r>
        <w:rPr>
          <w:rFonts w:ascii="Times New Roman" w:hAnsi="Times New Roman" w:cs="Times New Roman" w:eastAsia="Times New Roman" w:hint="default"/>
        </w:rPr>
        <w:t>10.9249%</w:t>
      </w:r>
      <w:r>
        <w:rPr/>
        <w:t>股权，该收购</w:t>
      </w:r>
      <w:r>
        <w:rPr>
          <w:w w:val="100"/>
        </w:rPr>
        <w:t> </w:t>
      </w:r>
      <w:r>
        <w:rPr>
          <w:spacing w:val="-3"/>
        </w:rPr>
        <w:t>完成后，石基（香港）现持有</w:t>
      </w:r>
      <w:r>
        <w:rPr>
          <w:rFonts w:ascii="Times New Roman" w:hAnsi="Times New Roman" w:cs="Times New Roman" w:eastAsia="Times New Roman" w:hint="default"/>
          <w:spacing w:val="-3"/>
        </w:rPr>
        <w:t>Snapshot100%</w:t>
      </w:r>
      <w:r>
        <w:rPr>
          <w:spacing w:val="-3"/>
        </w:rPr>
        <w:t>股权。石基（香港）完成上述收购后，以</w:t>
      </w:r>
      <w:r>
        <w:rPr>
          <w:rFonts w:ascii="Times New Roman" w:hAnsi="Times New Roman" w:cs="Times New Roman" w:eastAsia="Times New Roman" w:hint="default"/>
          <w:spacing w:val="-3"/>
        </w:rPr>
        <w:t>150</w:t>
      </w:r>
      <w:r>
        <w:rPr>
          <w:spacing w:val="-3"/>
        </w:rPr>
        <w:t>万欧元对</w:t>
      </w:r>
      <w:r>
        <w:rPr>
          <w:rFonts w:ascii="Times New Roman" w:hAnsi="Times New Roman" w:cs="Times New Roman" w:eastAsia="Times New Roman" w:hint="default"/>
          <w:spacing w:val="-3"/>
        </w:rPr>
        <w:t>Snapshot</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进行增资，该金额将被作为资本公积，且此次增资将不增加</w:t>
      </w:r>
      <w:r>
        <w:rPr>
          <w:rFonts w:ascii="Times New Roman" w:hAnsi="Times New Roman" w:cs="Times New Roman" w:eastAsia="Times New Roman" w:hint="default"/>
        </w:rPr>
        <w:t>Snapshot</w:t>
      </w:r>
      <w:r>
        <w:rPr/>
        <w:t>总股本数量，截止本报告期末，增资</w:t>
      </w:r>
      <w:r>
        <w:rPr>
          <w:spacing w:val="-55"/>
        </w:rPr>
        <w:t> </w:t>
      </w:r>
      <w:r>
        <w:rPr>
          <w:spacing w:val="-55"/>
        </w:rPr>
      </w:r>
      <w:r>
        <w:rPr/>
        <w:t>事项已经完成。上述事项已经公司总裁办会议审议通过。</w:t>
      </w:r>
    </w:p>
    <w:p>
      <w:pPr>
        <w:pStyle w:val="Heading7"/>
        <w:spacing w:line="240" w:lineRule="auto" w:before="23"/>
        <w:ind w:left="575" w:right="1133"/>
        <w:jc w:val="left"/>
        <w:rPr>
          <w:rFonts w:ascii="Times New Roman" w:hAnsi="Times New Roman" w:cs="Times New Roman" w:eastAsia="Times New Roman" w:hint="default"/>
          <w:b w:val="0"/>
          <w:bCs w:val="0"/>
        </w:rPr>
      </w:pPr>
      <w:r>
        <w:rPr/>
        <w:t>（</w:t>
      </w:r>
      <w:r>
        <w:rPr>
          <w:rFonts w:ascii="宋体" w:hAnsi="宋体" w:cs="宋体" w:eastAsia="宋体" w:hint="default"/>
        </w:rPr>
        <w:t>10</w:t>
      </w:r>
      <w:r>
        <w:rPr/>
        <w:t>）公司全资子公司石基（香港）收购其参股子公司</w:t>
      </w:r>
      <w:r>
        <w:rPr>
          <w:rFonts w:ascii="Times New Roman" w:hAnsi="Times New Roman" w:cs="Times New Roman" w:eastAsia="Times New Roman" w:hint="default"/>
        </w:rPr>
        <w:t>StayNTouch</w:t>
      </w:r>
      <w:r>
        <w:rPr>
          <w:rFonts w:ascii="Times New Roman" w:hAnsi="Times New Roman" w:cs="Times New Roman" w:eastAsia="Times New Roman" w:hint="default"/>
          <w:b w:val="0"/>
          <w:bCs w:val="0"/>
        </w:rPr>
      </w:r>
    </w:p>
    <w:p>
      <w:pPr>
        <w:pStyle w:val="BodyText"/>
        <w:spacing w:line="256" w:lineRule="auto" w:before="21"/>
        <w:ind w:right="1109" w:firstLine="42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4"/>
        </w:rPr>
        <w:t> </w:t>
      </w:r>
      <w:r>
        <w:rPr/>
        <w:t>年</w:t>
      </w:r>
      <w:r>
        <w:rPr>
          <w:spacing w:val="-77"/>
        </w:rPr>
        <w:t> </w:t>
      </w:r>
      <w:r>
        <w:rPr>
          <w:rFonts w:ascii="Times New Roman" w:hAnsi="Times New Roman" w:cs="Times New Roman" w:eastAsia="Times New Roman" w:hint="default"/>
        </w:rPr>
        <w:t>9</w:t>
      </w:r>
      <w:r>
        <w:rPr>
          <w:rFonts w:ascii="Times New Roman" w:hAnsi="Times New Roman" w:cs="Times New Roman" w:eastAsia="Times New Roman" w:hint="default"/>
          <w:spacing w:val="-24"/>
        </w:rPr>
        <w:t> </w:t>
      </w:r>
      <w:r>
        <w:rPr/>
        <w:t>月</w:t>
      </w:r>
      <w:r>
        <w:rPr>
          <w:spacing w:val="-77"/>
        </w:rPr>
        <w:t> </w:t>
      </w:r>
      <w:r>
        <w:rPr>
          <w:rFonts w:ascii="Times New Roman" w:hAnsi="Times New Roman" w:cs="Times New Roman" w:eastAsia="Times New Roman" w:hint="default"/>
        </w:rPr>
        <w:t>18</w:t>
      </w:r>
      <w:r>
        <w:rPr>
          <w:rFonts w:ascii="Times New Roman" w:hAnsi="Times New Roman" w:cs="Times New Roman" w:eastAsia="Times New Roman" w:hint="default"/>
          <w:spacing w:val="-24"/>
        </w:rPr>
        <w:t> </w:t>
      </w:r>
      <w:r>
        <w:rPr>
          <w:spacing w:val="10"/>
        </w:rPr>
        <w:t>日，</w:t>
      </w:r>
      <w:r>
        <w:rPr>
          <w:spacing w:val="-77"/>
        </w:rPr>
        <w:t> </w:t>
      </w:r>
      <w:r>
        <w:rPr>
          <w:spacing w:val="13"/>
        </w:rPr>
        <w:t>石基（</w:t>
      </w:r>
      <w:r>
        <w:rPr>
          <w:spacing w:val="-80"/>
        </w:rPr>
        <w:t> </w:t>
      </w:r>
      <w:r>
        <w:rPr>
          <w:spacing w:val="13"/>
        </w:rPr>
        <w:t>香港）</w:t>
      </w:r>
      <w:r>
        <w:rPr>
          <w:spacing w:val="-77"/>
        </w:rPr>
        <w:t> </w:t>
      </w:r>
      <w:r>
        <w:rPr/>
        <w:t>以</w:t>
      </w:r>
      <w:r>
        <w:rPr>
          <w:spacing w:val="-73"/>
        </w:rPr>
        <w:t> </w:t>
      </w:r>
      <w:r>
        <w:rPr>
          <w:rFonts w:ascii="Times New Roman" w:hAnsi="Times New Roman" w:cs="Times New Roman" w:eastAsia="Times New Roman" w:hint="default"/>
        </w:rPr>
        <w:t>3300</w:t>
      </w:r>
      <w:r>
        <w:rPr>
          <w:rFonts w:ascii="Times New Roman" w:hAnsi="Times New Roman" w:cs="Times New Roman" w:eastAsia="Times New Roman" w:hint="default"/>
          <w:spacing w:val="-24"/>
        </w:rPr>
        <w:t> </w:t>
      </w:r>
      <w:r>
        <w:rPr>
          <w:spacing w:val="10"/>
        </w:rPr>
        <w:t>万美元收购其参股子公司</w:t>
      </w:r>
      <w:r>
        <w:rPr>
          <w:rFonts w:ascii="Times New Roman" w:hAnsi="Times New Roman" w:cs="Times New Roman" w:eastAsia="Times New Roman" w:hint="default"/>
          <w:spacing w:val="10"/>
        </w:rPr>
        <w:t>StayNTouch</w:t>
      </w:r>
      <w:r>
        <w:rPr>
          <w:spacing w:val="10"/>
        </w:rPr>
        <w:t>，</w:t>
      </w:r>
      <w:r>
        <w:rPr>
          <w:spacing w:val="-77"/>
        </w:rPr>
        <w:t> </w:t>
      </w:r>
      <w:r>
        <w:rPr>
          <w:rFonts w:ascii="Times New Roman" w:hAnsi="Times New Roman" w:cs="Times New Roman" w:eastAsia="Times New Roman" w:hint="default"/>
          <w:spacing w:val="9"/>
        </w:rPr>
        <w:t>Inc.,</w:t>
      </w:r>
      <w:r>
        <w:rPr>
          <w:spacing w:val="9"/>
        </w:rPr>
        <w:t>（以下简称</w:t>
      </w:r>
      <w:r>
        <w:rPr>
          <w:spacing w:val="-84"/>
        </w:rPr>
        <w:t> </w:t>
      </w:r>
      <w:r>
        <w:rPr>
          <w:rFonts w:ascii="Times New Roman" w:hAnsi="Times New Roman" w:cs="Times New Roman" w:eastAsia="Times New Roman" w:hint="default"/>
          <w:spacing w:val="-2"/>
        </w:rPr>
        <w:t>“StayNTouch”</w:t>
      </w:r>
      <w:r>
        <w:rPr>
          <w:spacing w:val="-2"/>
        </w:rPr>
        <w:t>）</w:t>
      </w:r>
      <w:r>
        <w:rPr>
          <w:rFonts w:ascii="Times New Roman" w:hAnsi="Times New Roman" w:cs="Times New Roman" w:eastAsia="Times New Roman" w:hint="default"/>
          <w:spacing w:val="-2"/>
        </w:rPr>
        <w:t>77.4%</w:t>
      </w:r>
      <w:r>
        <w:rPr>
          <w:spacing w:val="-2"/>
        </w:rPr>
        <w:t>股权，现石基（香港）持有</w:t>
      </w:r>
      <w:r>
        <w:rPr>
          <w:rFonts w:ascii="Times New Roman" w:hAnsi="Times New Roman" w:cs="Times New Roman" w:eastAsia="Times New Roman" w:hint="default"/>
          <w:spacing w:val="-2"/>
        </w:rPr>
        <w:t>StayNTouch100%</w:t>
      </w:r>
      <w:r>
        <w:rPr>
          <w:spacing w:val="-2"/>
        </w:rPr>
        <w:t>股权。该事项已经公司总裁办会议审议</w:t>
      </w:r>
      <w:r>
        <w:rPr>
          <w:spacing w:val="1"/>
        </w:rPr>
        <w:t> </w:t>
      </w:r>
      <w:r>
        <w:rPr>
          <w:spacing w:val="1"/>
        </w:rPr>
      </w:r>
      <w:r>
        <w:rPr/>
        <w:t>通过。</w:t>
      </w:r>
    </w:p>
    <w:p>
      <w:pPr>
        <w:pStyle w:val="Heading7"/>
        <w:spacing w:line="240" w:lineRule="auto" w:before="22"/>
        <w:ind w:left="573" w:right="1133"/>
        <w:jc w:val="left"/>
        <w:rPr>
          <w:rFonts w:ascii="Times New Roman" w:hAnsi="Times New Roman" w:cs="Times New Roman" w:eastAsia="Times New Roman" w:hint="default"/>
          <w:b w:val="0"/>
          <w:bCs w:val="0"/>
        </w:rPr>
      </w:pPr>
      <w:r>
        <w:rPr/>
        <w:t>（</w:t>
      </w:r>
      <w:r>
        <w:rPr>
          <w:rFonts w:ascii="Times New Roman" w:hAnsi="Times New Roman" w:cs="Times New Roman" w:eastAsia="Times New Roman" w:hint="default"/>
        </w:rPr>
        <w:t>11</w:t>
      </w:r>
      <w:r>
        <w:rPr/>
        <w:t>）公司全资子公司石基（香港）通过石基（新加坡）收购</w:t>
      </w:r>
      <w:r>
        <w:rPr>
          <w:rFonts w:ascii="Times New Roman" w:hAnsi="Times New Roman" w:cs="Times New Roman" w:eastAsia="Times New Roman" w:hint="default"/>
        </w:rPr>
        <w:t>CONCEPTEK</w:t>
      </w:r>
      <w:r>
        <w:rPr>
          <w:rFonts w:ascii="Times New Roman" w:hAnsi="Times New Roman" w:cs="Times New Roman" w:eastAsia="Times New Roman" w:hint="default"/>
        </w:rPr>
        <w:t>–</w:t>
      </w:r>
      <w:r>
        <w:rPr>
          <w:rFonts w:ascii="Times New Roman" w:hAnsi="Times New Roman" w:cs="Times New Roman" w:eastAsia="Times New Roman" w:hint="default"/>
        </w:rPr>
        <w:t>SISTEMAS</w:t>
      </w:r>
      <w:r>
        <w:rPr>
          <w:rFonts w:ascii="Times New Roman" w:hAnsi="Times New Roman" w:cs="Times New Roman" w:eastAsia="Times New Roman" w:hint="default"/>
          <w:b w:val="0"/>
          <w:bCs w:val="0"/>
        </w:rPr>
      </w:r>
    </w:p>
    <w:p>
      <w:pPr>
        <w:pStyle w:val="BodyText"/>
        <w:spacing w:line="256" w:lineRule="auto" w:before="62"/>
        <w:ind w:right="0" w:firstLine="504"/>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日，石基（香港）之全资子公司</w:t>
      </w:r>
      <w:r>
        <w:rPr>
          <w:rFonts w:ascii="Times New Roman" w:hAnsi="Times New Roman" w:cs="Times New Roman" w:eastAsia="Times New Roman" w:hint="default"/>
        </w:rPr>
        <w:t>Shiji (Singapore) Pte.</w:t>
      </w:r>
      <w:r>
        <w:rPr>
          <w:rFonts w:ascii="Times New Roman" w:hAnsi="Times New Roman" w:cs="Times New Roman" w:eastAsia="Times New Roman" w:hint="default"/>
          <w:spacing w:val="-14"/>
        </w:rPr>
        <w:t> </w:t>
      </w:r>
      <w:r>
        <w:rPr>
          <w:rFonts w:ascii="Times New Roman" w:hAnsi="Times New Roman" w:cs="Times New Roman" w:eastAsia="Times New Roman" w:hint="default"/>
        </w:rPr>
        <w:t>Ltd.</w:t>
      </w:r>
      <w:r>
        <w:rPr/>
        <w:t>（以下简称</w:t>
      </w:r>
      <w:r>
        <w:rPr>
          <w:rFonts w:ascii="Times New Roman" w:hAnsi="Times New Roman" w:cs="Times New Roman" w:eastAsia="Times New Roman" w:hint="default"/>
        </w:rPr>
        <w:t>“</w:t>
      </w:r>
      <w:r>
        <w:rPr/>
        <w:t>石基（新加坡）</w:t>
      </w:r>
      <w:r>
        <w:rPr>
          <w:rFonts w:ascii="Times New Roman" w:hAnsi="Times New Roman" w:cs="Times New Roman" w:eastAsia="Times New Roman" w:hint="default"/>
        </w:rPr>
        <w:t>”</w:t>
      </w:r>
      <w:r>
        <w:rPr/>
        <w:t>）</w:t>
      </w:r>
      <w:r>
        <w:rPr>
          <w:w w:val="100"/>
        </w:rPr>
        <w:t> </w:t>
      </w:r>
      <w:r>
        <w:rPr/>
        <w:t>签署股份购买协议，以</w:t>
      </w:r>
      <w:r>
        <w:rPr>
          <w:rFonts w:ascii="Times New Roman" w:hAnsi="Times New Roman" w:cs="Times New Roman" w:eastAsia="Times New Roman" w:hint="default"/>
        </w:rPr>
        <w:t>5,200,000</w:t>
      </w:r>
      <w:r>
        <w:rPr/>
        <w:t>欧元购买取得</w:t>
      </w:r>
      <w:r>
        <w:rPr>
          <w:rFonts w:ascii="Times New Roman" w:hAnsi="Times New Roman" w:cs="Times New Roman" w:eastAsia="Times New Roman" w:hint="default"/>
        </w:rPr>
        <w:t>CONCEPTEK</w:t>
      </w:r>
      <w:r>
        <w:rPr>
          <w:rFonts w:ascii="Times New Roman" w:hAnsi="Times New Roman" w:cs="Times New Roman" w:eastAsia="Times New Roman" w:hint="default"/>
          <w:spacing w:val="-11"/>
        </w:rPr>
        <w:t>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rFonts w:ascii="Times New Roman" w:hAnsi="Times New Roman" w:cs="Times New Roman" w:eastAsia="Times New Roman" w:hint="default"/>
        </w:rPr>
        <w:t>SISTEMAS</w:t>
      </w:r>
      <w:r>
        <w:rPr>
          <w:rFonts w:ascii="Times New Roman" w:hAnsi="Times New Roman" w:cs="Times New Roman" w:eastAsia="Times New Roman" w:hint="default"/>
          <w:spacing w:val="-13"/>
        </w:rPr>
        <w:t> </w:t>
      </w:r>
      <w:r>
        <w:rPr>
          <w:rFonts w:ascii="Times New Roman" w:hAnsi="Times New Roman" w:cs="Times New Roman" w:eastAsia="Times New Roman" w:hint="default"/>
        </w:rPr>
        <w:t>DE</w:t>
      </w:r>
      <w:r>
        <w:rPr>
          <w:rFonts w:ascii="Times New Roman" w:hAnsi="Times New Roman" w:cs="Times New Roman" w:eastAsia="Times New Roman" w:hint="default"/>
          <w:spacing w:val="-10"/>
        </w:rPr>
        <w:t> </w:t>
      </w:r>
      <w:r>
        <w:rPr>
          <w:rFonts w:ascii="Times New Roman" w:hAnsi="Times New Roman" w:cs="Times New Roman" w:eastAsia="Times New Roman" w:hint="default"/>
        </w:rPr>
        <w:t>INFORMA</w:t>
      </w:r>
      <w:r>
        <w:rPr>
          <w:rFonts w:ascii="MS Gothic" w:hAnsi="MS Gothic" w:cs="MS Gothic" w:eastAsia="MS Gothic" w:hint="default"/>
        </w:rPr>
        <w:t>ﾇ</w:t>
      </w:r>
      <w:r>
        <w:rPr>
          <w:rFonts w:ascii="Times New Roman" w:hAnsi="Times New Roman" w:cs="Times New Roman" w:eastAsia="Times New Roman" w:hint="default"/>
        </w:rPr>
        <w:t>O</w:t>
      </w:r>
      <w:r>
        <w:rPr>
          <w:rFonts w:ascii="Times New Roman" w:hAnsi="Times New Roman" w:cs="Times New Roman" w:eastAsia="Times New Roman" w:hint="default"/>
          <w:spacing w:val="-10"/>
        </w:rPr>
        <w:t> </w:t>
      </w:r>
      <w:r>
        <w:rPr>
          <w:rFonts w:ascii="Times New Roman" w:hAnsi="Times New Roman" w:cs="Times New Roman" w:eastAsia="Times New Roman" w:hint="default"/>
        </w:rPr>
        <w:t>S.A.100%</w:t>
      </w:r>
      <w:r>
        <w:rPr/>
        <w:t>股权。</w:t>
      </w:r>
    </w:p>
    <w:p>
      <w:pPr>
        <w:spacing w:after="0" w:line="256"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40" w:lineRule="auto" w:before="36"/>
        <w:ind w:right="1133"/>
        <w:jc w:val="left"/>
      </w:pPr>
      <w:r>
        <w:rPr/>
        <w:t>该事项已通过石基（香港）执行董事决定。</w:t>
      </w:r>
    </w:p>
    <w:p>
      <w:pPr>
        <w:pStyle w:val="Heading7"/>
        <w:spacing w:line="240" w:lineRule="auto" w:before="78"/>
        <w:ind w:left="573" w:right="1133"/>
        <w:jc w:val="left"/>
        <w:rPr>
          <w:b w:val="0"/>
          <w:bCs w:val="0"/>
        </w:rPr>
      </w:pPr>
      <w:r>
        <w:rPr/>
        <w:t>（</w:t>
      </w:r>
      <w:r>
        <w:rPr>
          <w:rFonts w:ascii="Times New Roman" w:hAnsi="Times New Roman" w:cs="Times New Roman" w:eastAsia="Times New Roman" w:hint="default"/>
        </w:rPr>
        <w:t>12</w:t>
      </w:r>
      <w:r>
        <w:rPr/>
        <w:t>）公司子公司北海石基参股追溯云</w:t>
      </w:r>
      <w:r>
        <w:rPr>
          <w:rFonts w:ascii="Times New Roman" w:hAnsi="Times New Roman" w:cs="Times New Roman" w:eastAsia="Times New Roman" w:hint="default"/>
        </w:rPr>
        <w:t>25.59%</w:t>
      </w:r>
      <w:r>
        <w:rPr/>
        <w:t>股份</w:t>
      </w:r>
      <w:r>
        <w:rPr>
          <w:b w:val="0"/>
          <w:bCs w:val="0"/>
        </w:rPr>
      </w:r>
    </w:p>
    <w:p>
      <w:pPr>
        <w:pStyle w:val="BodyText"/>
        <w:spacing w:line="261" w:lineRule="auto" w:before="21"/>
        <w:ind w:right="1126"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日，公司全资子公司北海石基与追溯云信息发展股份有限公司（以下简称</w:t>
      </w:r>
      <w:r>
        <w:rPr>
          <w:rFonts w:ascii="Times New Roman" w:hAnsi="Times New Roman" w:cs="Times New Roman" w:eastAsia="Times New Roman" w:hint="default"/>
          <w:spacing w:val="-2"/>
        </w:rPr>
        <w:t>“</w:t>
      </w:r>
      <w:r>
        <w:rPr>
          <w:spacing w:val="-2"/>
        </w:rPr>
        <w:t>追溯云</w:t>
      </w:r>
      <w:r>
        <w:rPr>
          <w:rFonts w:ascii="Times New Roman" w:hAnsi="Times New Roman" w:cs="Times New Roman" w:eastAsia="Times New Roman" w:hint="default"/>
          <w:spacing w:val="-2"/>
        </w:rPr>
        <w:t>”</w:t>
      </w:r>
      <w:r>
        <w:rPr>
          <w:spacing w:val="-2"/>
        </w:rPr>
        <w:t>）及</w:t>
      </w:r>
      <w:r>
        <w:rPr>
          <w:w w:val="100"/>
        </w:rPr>
        <w:t> </w:t>
      </w:r>
      <w:r>
        <w:rPr/>
        <w:t>其现有股东签订《股份转让及认购协议》，北海石基以自有资金合计人民币</w:t>
      </w:r>
      <w:r>
        <w:rPr>
          <w:rFonts w:ascii="Times New Roman" w:hAnsi="Times New Roman" w:cs="Times New Roman" w:eastAsia="Times New Roman" w:hint="default"/>
        </w:rPr>
        <w:t>1</w:t>
      </w:r>
      <w:r>
        <w:rPr/>
        <w:t>亿元收购追溯云原股东持有</w:t>
      </w:r>
      <w:r>
        <w:rPr>
          <w:spacing w:val="-22"/>
        </w:rPr>
        <w:t> </w:t>
      </w:r>
      <w:r>
        <w:rPr>
          <w:spacing w:val="-22"/>
        </w:rPr>
      </w:r>
      <w:r>
        <w:rPr>
          <w:spacing w:val="-3"/>
        </w:rPr>
        <w:t>的部分股份并认购追溯云新增注册资本，交易完成后，北海石基将持有追溯云</w:t>
      </w:r>
      <w:r>
        <w:rPr>
          <w:rFonts w:ascii="Times New Roman" w:hAnsi="Times New Roman" w:cs="Times New Roman" w:eastAsia="Times New Roman" w:hint="default"/>
          <w:spacing w:val="-3"/>
        </w:rPr>
        <w:t>25.59%</w:t>
      </w:r>
      <w:r>
        <w:rPr>
          <w:spacing w:val="-3"/>
        </w:rPr>
        <w:t>股权。截至本报告披</w:t>
      </w:r>
      <w:r>
        <w:rPr>
          <w:spacing w:val="-11"/>
        </w:rPr>
        <w:t> </w:t>
      </w:r>
      <w:r>
        <w:rPr>
          <w:spacing w:val="-11"/>
        </w:rPr>
      </w:r>
      <w:r>
        <w:rPr>
          <w:spacing w:val="-2"/>
        </w:rPr>
        <w:t>露日，上述股权转让及增资事项已经完成交割，追溯云成为北海石基及公司的参股子公司。本次交易已经</w:t>
      </w:r>
      <w:r>
        <w:rPr>
          <w:spacing w:val="-45"/>
        </w:rPr>
        <w:t> </w:t>
      </w:r>
      <w:r>
        <w:rPr>
          <w:spacing w:val="-45"/>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日召开的北海石基股东会及公司</w:t>
      </w:r>
      <w:r>
        <w:rPr>
          <w:rFonts w:ascii="Times New Roman" w:hAnsi="Times New Roman" w:cs="Times New Roman" w:eastAsia="Times New Roman" w:hint="default"/>
        </w:rPr>
        <w:t>2018</w:t>
      </w:r>
      <w:r>
        <w:rPr/>
        <w:t>年第九次总裁办公会议审议通过。</w:t>
      </w:r>
    </w:p>
    <w:p>
      <w:pPr>
        <w:spacing w:after="0" w:line="261" w:lineRule="auto"/>
        <w:jc w:val="both"/>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2963" w:right="1133"/>
        <w:jc w:val="left"/>
        <w:rPr>
          <w:b w:val="0"/>
          <w:bCs w:val="0"/>
        </w:rPr>
      </w:pPr>
      <w:bookmarkStart w:name="_bookmark4" w:id="5"/>
      <w:bookmarkEnd w:id="5"/>
      <w:r>
        <w:rPr>
          <w:b w:val="0"/>
          <w:bCs w:val="0"/>
        </w:rPr>
      </w:r>
      <w:r>
        <w:rPr/>
        <w:t>第六节</w:t>
      </w:r>
      <w:r>
        <w:rPr>
          <w:spacing w:val="-5"/>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1133"/>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38"/>
        <w:gridCol w:w="1146"/>
        <w:gridCol w:w="850"/>
        <w:gridCol w:w="850"/>
        <w:gridCol w:w="569"/>
        <w:gridCol w:w="708"/>
        <w:gridCol w:w="850"/>
        <w:gridCol w:w="850"/>
        <w:gridCol w:w="1277"/>
        <w:gridCol w:w="924"/>
      </w:tblGrid>
      <w:tr>
        <w:trPr>
          <w:trHeight w:val="402"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82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2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1538" w:type="dxa"/>
            <w:vMerge w:val="restart"/>
            <w:tcBorders>
              <w:top w:val="nil" w:sz="6" w:space="0" w:color="auto"/>
              <w:left w:val="single" w:sz="4" w:space="0" w:color="000000"/>
              <w:right w:val="single" w:sz="4" w:space="0" w:color="000000"/>
            </w:tcBorders>
            <w:shd w:val="clear" w:color="auto" w:fill="D2D2D2"/>
          </w:tcPr>
          <w:p>
            <w:pPr/>
          </w:p>
        </w:tc>
        <w:tc>
          <w:tcPr>
            <w:tcW w:w="11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70" w:right="77"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92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38" w:type="dxa"/>
            <w:vMerge/>
            <w:tcBorders>
              <w:left w:val="single" w:sz="4" w:space="0" w:color="000000"/>
              <w:bottom w:val="nil" w:sz="6" w:space="0" w:color="auto"/>
              <w:right w:val="single" w:sz="4" w:space="0" w:color="000000"/>
            </w:tcBorders>
            <w:shd w:val="clear" w:color="auto" w:fill="D2D2D2"/>
          </w:tcPr>
          <w:p>
            <w:pPr/>
          </w:p>
        </w:tc>
        <w:tc>
          <w:tcPr>
            <w:tcW w:w="11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538" w:type="dxa"/>
            <w:vMerge w:val="restart"/>
            <w:tcBorders>
              <w:top w:val="nil" w:sz="6" w:space="0" w:color="auto"/>
              <w:left w:val="single" w:sz="4" w:space="0" w:color="000000"/>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538" w:type="dxa"/>
            <w:vMerge/>
            <w:tcBorders>
              <w:left w:val="single" w:sz="4" w:space="0" w:color="000000"/>
              <w:bottom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一、有限售条件股 份</w:t>
            </w:r>
          </w:p>
        </w:tc>
        <w:tc>
          <w:tcPr>
            <w:tcW w:w="11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582,332,710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582,325,710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54.58%</w:t>
            </w: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、其他内资持股</w:t>
            </w:r>
          </w:p>
        </w:tc>
        <w:tc>
          <w:tcPr>
            <w:tcW w:w="11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182" w:right="0"/>
              <w:jc w:val="center"/>
              <w:rPr>
                <w:rFonts w:ascii="Times New Roman" w:hAnsi="Times New Roman" w:cs="Times New Roman" w:eastAsia="Times New Roman" w:hint="default"/>
                <w:sz w:val="18"/>
                <w:szCs w:val="18"/>
              </w:rPr>
            </w:pPr>
            <w:r>
              <w:rPr>
                <w:rFonts w:ascii="Times New Roman"/>
                <w:sz w:val="18"/>
              </w:rPr>
              <w:t>582,332,710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582,325,710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54.58%</w:t>
            </w:r>
          </w:p>
        </w:tc>
      </w:tr>
      <w:tr>
        <w:trPr>
          <w:trHeight w:val="71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其中：境内法人持 股</w:t>
            </w:r>
          </w:p>
        </w:tc>
        <w:tc>
          <w:tcPr>
            <w:tcW w:w="11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139,428,753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139,428,753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13.07%</w:t>
            </w:r>
          </w:p>
        </w:tc>
      </w:tr>
      <w:tr>
        <w:trPr>
          <w:trHeight w:val="715"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境内自然人</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1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442,903,957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442,896,957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41.51%</w:t>
            </w:r>
          </w:p>
        </w:tc>
      </w:tr>
      <w:tr>
        <w:trPr>
          <w:trHeight w:val="71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二、无限售条件股 份</w:t>
            </w:r>
          </w:p>
        </w:tc>
        <w:tc>
          <w:tcPr>
            <w:tcW w:w="11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484,456,043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114,600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484,577,643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45.42%</w:t>
            </w: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182" w:right="0"/>
              <w:jc w:val="center"/>
              <w:rPr>
                <w:rFonts w:ascii="Times New Roman" w:hAnsi="Times New Roman" w:cs="Times New Roman" w:eastAsia="Times New Roman" w:hint="default"/>
                <w:sz w:val="18"/>
                <w:szCs w:val="18"/>
              </w:rPr>
            </w:pPr>
            <w:r>
              <w:rPr>
                <w:rFonts w:ascii="Times New Roman"/>
                <w:sz w:val="18"/>
              </w:rPr>
              <w:t>484,456,043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114,600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484,577,643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45.42%</w:t>
            </w:r>
          </w:p>
        </w:tc>
      </w:tr>
      <w:tr>
        <w:trPr>
          <w:trHeight w:val="40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1,066,788,753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114,600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114,600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1,066,903,353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61" w:lineRule="auto" w:before="83"/>
        <w:ind w:right="1133"/>
        <w:jc w:val="left"/>
      </w:pPr>
      <w:r>
        <w:rPr>
          <w:rFonts w:ascii="Times New Roman" w:hAnsi="Times New Roman" w:cs="Times New Roman" w:eastAsia="Times New Roman" w:hint="default"/>
        </w:rPr>
        <w:t>1</w:t>
      </w:r>
      <w:r>
        <w:rPr/>
        <w:t>、离任独立董事股份解锁</w:t>
      </w:r>
      <w:r>
        <w:rPr>
          <w:w w:val="100"/>
        </w:rPr>
        <w:t> </w:t>
      </w:r>
      <w:r>
        <w:rPr>
          <w:spacing w:val="-2"/>
        </w:rPr>
        <w:t>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日，因公司前任独立董事刘剑锋及阎丽明受董事离职股票锁定的相关限制（《深交所中</w:t>
      </w:r>
      <w:r>
        <w:rPr>
          <w:spacing w:val="-36"/>
        </w:rPr>
        <w:t> </w:t>
      </w:r>
      <w:r>
        <w:rPr>
          <w:spacing w:val="-36"/>
        </w:rPr>
      </w:r>
      <w:r>
        <w:rPr>
          <w:spacing w:val="-2"/>
        </w:rPr>
        <w:t>小板上市公司规范运作指引》规定上市公司董事、监事和高级管理人员自其申报离任日起六个月内将其持</w:t>
      </w:r>
      <w:r>
        <w:rPr>
          <w:spacing w:val="-43"/>
        </w:rPr>
        <w:t> </w:t>
      </w:r>
      <w:r>
        <w:rPr>
          <w:spacing w:val="-43"/>
        </w:rPr>
      </w:r>
      <w:r>
        <w:rPr>
          <w:spacing w:val="-2"/>
        </w:rPr>
        <w:t>有及新增的本公司股份予以全部锁定，同时上述人员在申报离任六个月后的十二个月内通过证券交易所挂</w:t>
      </w:r>
      <w:r>
        <w:rPr>
          <w:spacing w:val="-43"/>
        </w:rPr>
        <w:t> </w:t>
      </w:r>
      <w:r>
        <w:rPr>
          <w:spacing w:val="-43"/>
        </w:rPr>
      </w:r>
      <w:r>
        <w:rPr>
          <w:spacing w:val="-4"/>
        </w:rPr>
        <w:t>牌交易出售本公司股票数量占其所持有本公司股票总数的比例不得超过</w:t>
      </w:r>
      <w:r>
        <w:rPr>
          <w:rFonts w:ascii="Times New Roman" w:hAnsi="Times New Roman" w:cs="Times New Roman" w:eastAsia="Times New Roman" w:hint="default"/>
          <w:spacing w:val="-4"/>
        </w:rPr>
        <w:t>50%</w:t>
      </w:r>
      <w:r>
        <w:rPr>
          <w:spacing w:val="-4"/>
        </w:rPr>
        <w:t>），阎丽明锁定股份</w:t>
      </w:r>
      <w:r>
        <w:rPr>
          <w:rFonts w:ascii="Times New Roman" w:hAnsi="Times New Roman" w:cs="Times New Roman" w:eastAsia="Times New Roman" w:hint="default"/>
          <w:spacing w:val="-4"/>
        </w:rPr>
        <w:t>350</w:t>
      </w:r>
      <w:r>
        <w:rPr>
          <w:spacing w:val="-4"/>
        </w:rPr>
        <w:t>股，刘</w:t>
      </w:r>
      <w:r>
        <w:rPr>
          <w:spacing w:val="-11"/>
        </w:rPr>
        <w:t> </w:t>
      </w:r>
      <w:r>
        <w:rPr>
          <w:spacing w:val="-11"/>
        </w:rPr>
      </w:r>
      <w:r>
        <w:rPr/>
        <w:t>剑锋锁定股份</w:t>
      </w:r>
      <w:r>
        <w:rPr>
          <w:rFonts w:ascii="Times New Roman" w:hAnsi="Times New Roman" w:cs="Times New Roman" w:eastAsia="Times New Roman" w:hint="default"/>
        </w:rPr>
        <w:t>6650</w:t>
      </w:r>
      <w:r>
        <w:rPr/>
        <w:t>股，合计锁定</w:t>
      </w:r>
      <w:r>
        <w:rPr>
          <w:rFonts w:ascii="Times New Roman" w:hAnsi="Times New Roman" w:cs="Times New Roman" w:eastAsia="Times New Roman" w:hint="default"/>
        </w:rPr>
        <w:t>7000</w:t>
      </w:r>
      <w:r>
        <w:rPr/>
        <w:t>股。</w:t>
      </w:r>
      <w:r>
        <w:rPr>
          <w:w w:val="100"/>
        </w:rPr>
        <w:t> </w:t>
      </w:r>
      <w:r>
        <w:rPr/>
        <w:t>截止本报告期末，上述被锁定的</w:t>
      </w:r>
      <w:r>
        <w:rPr>
          <w:rFonts w:ascii="Times New Roman" w:hAnsi="Times New Roman" w:cs="Times New Roman" w:eastAsia="Times New Roman" w:hint="default"/>
        </w:rPr>
        <w:t>7000</w:t>
      </w:r>
      <w:r>
        <w:rPr/>
        <w:t>股已经全部解锁，无限售股份增加</w:t>
      </w:r>
      <w:r>
        <w:rPr>
          <w:rFonts w:ascii="Times New Roman" w:hAnsi="Times New Roman" w:cs="Times New Roman" w:eastAsia="Times New Roman" w:hint="default"/>
        </w:rPr>
        <w:t>7000</w:t>
      </w:r>
      <w:r>
        <w:rPr/>
        <w:t>股。</w:t>
      </w:r>
    </w:p>
    <w:p>
      <w:pPr>
        <w:spacing w:line="240" w:lineRule="auto" w:before="11"/>
        <w:rPr>
          <w:rFonts w:ascii="宋体" w:hAnsi="宋体" w:cs="宋体" w:eastAsia="宋体" w:hint="default"/>
          <w:sz w:val="23"/>
          <w:szCs w:val="23"/>
        </w:rPr>
      </w:pPr>
    </w:p>
    <w:p>
      <w:pPr>
        <w:pStyle w:val="BodyText"/>
        <w:spacing w:line="240" w:lineRule="auto"/>
        <w:ind w:right="1133"/>
        <w:jc w:val="left"/>
      </w:pPr>
      <w:r>
        <w:rPr>
          <w:rFonts w:ascii="Times New Roman" w:hAnsi="Times New Roman" w:cs="Times New Roman" w:eastAsia="Times New Roman" w:hint="default"/>
        </w:rPr>
        <w:t>2</w:t>
      </w:r>
      <w:r>
        <w:rPr/>
        <w:t>、股权激励自主行权导致股份增加</w:t>
      </w:r>
    </w:p>
    <w:p>
      <w:pPr>
        <w:pStyle w:val="BodyText"/>
        <w:spacing w:line="256" w:lineRule="auto" w:before="22"/>
        <w:ind w:right="1129"/>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日，公司《</w:t>
      </w:r>
      <w:r>
        <w:rPr>
          <w:rFonts w:ascii="Times New Roman" w:hAnsi="Times New Roman" w:cs="Times New Roman" w:eastAsia="Times New Roman" w:hint="default"/>
          <w:spacing w:val="-2"/>
        </w:rPr>
        <w:t>2016</w:t>
      </w:r>
      <w:r>
        <w:rPr>
          <w:spacing w:val="-2"/>
        </w:rPr>
        <w:t>年股票期权激励计划》首次授予的股票期权第一个行权期开始自主行权，截</w:t>
      </w:r>
      <w:r>
        <w:rPr>
          <w:spacing w:val="-37"/>
        </w:rPr>
        <w:t> </w:t>
      </w:r>
      <w:r>
        <w:rPr>
          <w:spacing w:val="-37"/>
        </w:rPr>
      </w:r>
      <w:r>
        <w:rPr>
          <w:spacing w:val="5"/>
        </w:rPr>
        <w:t>止本报告期末，因股权激励对象行权导致公司增加注册资本合计</w:t>
      </w:r>
      <w:r>
        <w:rPr>
          <w:rFonts w:ascii="Times New Roman" w:hAnsi="Times New Roman" w:cs="Times New Roman" w:eastAsia="Times New Roman" w:hint="default"/>
          <w:spacing w:val="5"/>
        </w:rPr>
        <w:t>114,600</w:t>
      </w:r>
      <w:r>
        <w:rPr>
          <w:spacing w:val="5"/>
        </w:rPr>
        <w:t>股，故公司无限售流通股增加</w:t>
      </w:r>
      <w:r>
        <w:rPr>
          <w:spacing w:val="-6"/>
        </w:rPr>
        <w:t> </w:t>
      </w:r>
      <w:r>
        <w:rPr>
          <w:spacing w:val="-6"/>
        </w:rPr>
      </w:r>
      <w:r>
        <w:rPr>
          <w:rFonts w:ascii="Times New Roman" w:hAnsi="Times New Roman" w:cs="Times New Roman" w:eastAsia="Times New Roman" w:hint="default"/>
        </w:rPr>
        <w:t>114,600</w:t>
      </w:r>
      <w:r>
        <w:rPr/>
        <w:t>股。</w:t>
      </w:r>
    </w:p>
    <w:p>
      <w:pPr>
        <w:spacing w:before="66"/>
        <w:ind w:left="152" w:right="1133"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3"/>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日，公司召开第六届董事会</w:t>
      </w:r>
      <w:r>
        <w:rPr>
          <w:rFonts w:ascii="Times New Roman" w:hAnsi="Times New Roman" w:cs="Times New Roman" w:eastAsia="Times New Roman" w:hint="default"/>
        </w:rPr>
        <w:t>2018</w:t>
      </w:r>
      <w:r>
        <w:rPr/>
        <w:t>年第六次临时会议，审议通过《关于公司</w:t>
      </w:r>
      <w:r>
        <w:rPr>
          <w:rFonts w:ascii="Times New Roman" w:hAnsi="Times New Roman" w:cs="Times New Roman" w:eastAsia="Times New Roman" w:hint="default"/>
        </w:rPr>
        <w:t>2016</w:t>
      </w:r>
      <w:r>
        <w:rPr/>
        <w:t>年股票期权激</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56" w:lineRule="auto" w:before="36"/>
        <w:ind w:left="212" w:right="1126"/>
        <w:jc w:val="both"/>
      </w:pPr>
      <w:r>
        <w:rPr>
          <w:spacing w:val="-2"/>
        </w:rPr>
        <w:t>励计划首次授予股票期权第一个行权期可行权的议案》与《关于公司</w:t>
      </w:r>
      <w:r>
        <w:rPr>
          <w:rFonts w:ascii="Times New Roman" w:hAnsi="Times New Roman" w:cs="Times New Roman" w:eastAsia="Times New Roman" w:hint="default"/>
          <w:spacing w:val="-2"/>
        </w:rPr>
        <w:t>2016</w:t>
      </w:r>
      <w:r>
        <w:rPr>
          <w:spacing w:val="-2"/>
        </w:rPr>
        <w:t>年股票期权激励计划首次授予股</w:t>
      </w:r>
      <w:r>
        <w:rPr>
          <w:spacing w:val="-40"/>
        </w:rPr>
        <w:t> </w:t>
      </w:r>
      <w:r>
        <w:rPr>
          <w:spacing w:val="-40"/>
        </w:rPr>
      </w:r>
      <w:r>
        <w:rPr>
          <w:spacing w:val="-2"/>
        </w:rPr>
        <w:t>票期权采用自主行权模式的议案》，公司</w:t>
      </w:r>
      <w:r>
        <w:rPr>
          <w:rFonts w:ascii="Times New Roman" w:hAnsi="Times New Roman" w:cs="Times New Roman" w:eastAsia="Times New Roman" w:hint="default"/>
          <w:spacing w:val="-2"/>
        </w:rPr>
        <w:t>2016</w:t>
      </w:r>
      <w:r>
        <w:rPr>
          <w:spacing w:val="-2"/>
        </w:rPr>
        <w:t>年股票期权激励计划首次授予股票期权第一个行权期以自主</w:t>
      </w:r>
      <w:r>
        <w:rPr>
          <w:spacing w:val="-41"/>
        </w:rPr>
        <w:t> </w:t>
      </w:r>
      <w:r>
        <w:rPr>
          <w:spacing w:val="-41"/>
        </w:rPr>
      </w:r>
      <w:r>
        <w:rPr/>
        <w:t>行权模式开始行权。截止本报告期末，上述激励对象共行权</w:t>
      </w:r>
      <w:r>
        <w:rPr>
          <w:rFonts w:ascii="Times New Roman" w:hAnsi="Times New Roman" w:cs="Times New Roman" w:eastAsia="Times New Roman" w:hint="default"/>
        </w:rPr>
        <w:t>114,600</w:t>
      </w:r>
      <w:r>
        <w:rPr/>
        <w:t>股。</w:t>
      </w:r>
    </w:p>
    <w:p>
      <w:pPr>
        <w:spacing w:before="66"/>
        <w:ind w:left="212" w:right="0" w:firstLine="0"/>
        <w:jc w:val="both"/>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5"/>
        <w:ind w:left="2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6" w:lineRule="auto" w:before="83"/>
        <w:ind w:left="212" w:right="181"/>
        <w:jc w:val="left"/>
      </w:pPr>
      <w:r>
        <w:rPr>
          <w:spacing w:val="-3"/>
        </w:rPr>
        <w:t>截止本报告期末，公司激励对象行权</w:t>
      </w:r>
      <w:r>
        <w:rPr>
          <w:rFonts w:ascii="Times New Roman" w:hAnsi="Times New Roman" w:cs="Times New Roman" w:eastAsia="Times New Roman" w:hint="default"/>
          <w:spacing w:val="-3"/>
        </w:rPr>
        <w:t>114,600</w:t>
      </w:r>
      <w:r>
        <w:rPr>
          <w:spacing w:val="-3"/>
        </w:rPr>
        <w:t>股股份已全部通过中国证券登记结算有限责任公司深圳分公司</w:t>
      </w:r>
      <w:r>
        <w:rPr>
          <w:spacing w:val="-42"/>
        </w:rPr>
        <w:t> </w:t>
      </w:r>
      <w:r>
        <w:rPr>
          <w:spacing w:val="-42"/>
        </w:rPr>
      </w:r>
      <w:r>
        <w:rPr/>
        <w:t>登记生效。</w:t>
      </w:r>
    </w:p>
    <w:p>
      <w:pPr>
        <w:spacing w:before="84"/>
        <w:ind w:left="212" w:right="0" w:firstLine="0"/>
        <w:jc w:val="both"/>
        <w:rPr>
          <w:rFonts w:ascii="宋体" w:hAnsi="宋体" w:cs="宋体" w:eastAsia="宋体" w:hint="default"/>
          <w:sz w:val="18"/>
          <w:szCs w:val="18"/>
        </w:rPr>
      </w:pPr>
      <w:r>
        <w:rPr>
          <w:rFonts w:ascii="宋体" w:hAnsi="宋体" w:cs="宋体" w:eastAsia="宋体" w:hint="default"/>
          <w:sz w:val="18"/>
          <w:szCs w:val="18"/>
        </w:rPr>
        <w:t>股份回购的实施进展情况</w:t>
      </w:r>
    </w:p>
    <w:p>
      <w:pPr>
        <w:spacing w:line="340" w:lineRule="auto" w:before="115"/>
        <w:ind w:left="21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采用集中竞价方式减持回购股份的实施进展情况</w:t>
      </w:r>
    </w:p>
    <w:p>
      <w:pPr>
        <w:spacing w:line="338" w:lineRule="auto" w:before="41"/>
        <w:ind w:left="21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44"/>
        <w:ind w:left="2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3937"/>
        <w:gridCol w:w="1702"/>
        <w:gridCol w:w="1558"/>
        <w:gridCol w:w="1844"/>
      </w:tblGrid>
      <w:tr>
        <w:trPr>
          <w:trHeight w:val="401" w:hRule="exact"/>
        </w:trPr>
        <w:tc>
          <w:tcPr>
            <w:tcW w:w="39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股份变动后</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股份变动前</w:t>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变动比率</w:t>
            </w:r>
          </w:p>
        </w:tc>
      </w:tr>
      <w:tr>
        <w:trPr>
          <w:trHeight w:val="40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0.4344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0.4345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-0.01%</w:t>
            </w:r>
          </w:p>
        </w:tc>
      </w:tr>
      <w:tr>
        <w:trPr>
          <w:trHeight w:val="40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0.4344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0.4345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-0.01%</w:t>
            </w:r>
          </w:p>
        </w:tc>
      </w:tr>
      <w:tr>
        <w:trPr>
          <w:trHeight w:val="46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归属于公司普通股股东的每股净资产（元）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7.7882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7.7890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-0.01%</w:t>
            </w:r>
          </w:p>
        </w:tc>
      </w:tr>
    </w:tbl>
    <w:p>
      <w:pPr>
        <w:spacing w:before="49"/>
        <w:ind w:left="212" w:right="181"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212" w:right="18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40" w:lineRule="auto"/>
        <w:ind w:left="212" w:right="181"/>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212" w:right="18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567"/>
        <w:gridCol w:w="710"/>
        <w:gridCol w:w="991"/>
        <w:gridCol w:w="853"/>
        <w:gridCol w:w="708"/>
        <w:gridCol w:w="4820"/>
        <w:gridCol w:w="924"/>
      </w:tblGrid>
      <w:tr>
        <w:trPr>
          <w:trHeight w:val="713"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股东 名称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9"/>
              <w:jc w:val="left"/>
              <w:rPr>
                <w:rFonts w:ascii="宋体" w:hAnsi="宋体" w:cs="宋体" w:eastAsia="宋体" w:hint="default"/>
                <w:sz w:val="18"/>
                <w:szCs w:val="18"/>
              </w:rPr>
            </w:pPr>
            <w:r>
              <w:rPr>
                <w:rFonts w:ascii="宋体" w:hAnsi="宋体" w:cs="宋体" w:eastAsia="宋体" w:hint="default"/>
                <w:sz w:val="18"/>
                <w:szCs w:val="18"/>
              </w:rPr>
              <w:t>期初限 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0" w:right="3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62"/>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期末限 售股数</w:t>
            </w:r>
          </w:p>
        </w:tc>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8" w:right="95" w:hanging="180"/>
              <w:jc w:val="left"/>
              <w:rPr>
                <w:rFonts w:ascii="宋体" w:hAnsi="宋体" w:cs="宋体" w:eastAsia="宋体" w:hint="default"/>
                <w:sz w:val="18"/>
                <w:szCs w:val="18"/>
              </w:rPr>
            </w:pPr>
            <w:r>
              <w:rPr>
                <w:rFonts w:ascii="宋体" w:hAnsi="宋体" w:cs="宋体" w:eastAsia="宋体" w:hint="default"/>
                <w:sz w:val="18"/>
                <w:szCs w:val="18"/>
              </w:rPr>
              <w:t>解除限售 日期</w:t>
            </w:r>
          </w:p>
        </w:tc>
      </w:tr>
      <w:tr>
        <w:trPr>
          <w:trHeight w:val="227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71"/>
              <w:jc w:val="left"/>
              <w:rPr>
                <w:rFonts w:ascii="宋体" w:hAnsi="宋体" w:cs="宋体" w:eastAsia="宋体" w:hint="default"/>
                <w:sz w:val="18"/>
                <w:szCs w:val="18"/>
              </w:rPr>
            </w:pPr>
            <w:r>
              <w:rPr>
                <w:rFonts w:ascii="宋体" w:hAnsi="宋体" w:cs="宋体" w:eastAsia="宋体" w:hint="default"/>
                <w:sz w:val="18"/>
                <w:szCs w:val="18"/>
              </w:rPr>
              <w:t>阎丽 明</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0"/>
              <w:jc w:val="both"/>
              <w:rPr>
                <w:rFonts w:ascii="宋体" w:hAnsi="宋体" w:cs="宋体" w:eastAsia="宋体" w:hint="default"/>
                <w:sz w:val="18"/>
                <w:szCs w:val="18"/>
              </w:rPr>
            </w:pPr>
            <w:r>
              <w:rPr>
                <w:rFonts w:ascii="宋体" w:hAnsi="宋体" w:cs="宋体" w:eastAsia="宋体" w:hint="default"/>
                <w:sz w:val="18"/>
                <w:szCs w:val="18"/>
              </w:rPr>
              <w:t>根据《深交所中小板上市公司规范运作指引》相关规定，上 市公司董事、监事和高级管理人员自其申报离任日起六个月 内将其持有及新增的本公司股份予以全部锁定，同时上述人 员在申报离任六个月后的十二个月内通过证券交易所挂牌交 易出售本公司股票数量占其所持有本公司股票总数的比例不 得超过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。公司前任独立董事阎丽明受上述董事离职股票 锁定的相关限制，本报告期末上述股份已解除限售。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27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4" w:right="171"/>
              <w:jc w:val="left"/>
              <w:rPr>
                <w:rFonts w:ascii="宋体" w:hAnsi="宋体" w:cs="宋体" w:eastAsia="宋体" w:hint="default"/>
                <w:sz w:val="18"/>
                <w:szCs w:val="18"/>
              </w:rPr>
            </w:pPr>
            <w:r>
              <w:rPr>
                <w:rFonts w:ascii="宋体" w:hAnsi="宋体" w:cs="宋体" w:eastAsia="宋体" w:hint="default"/>
                <w:sz w:val="18"/>
                <w:szCs w:val="18"/>
              </w:rPr>
              <w:t>刘剑 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6,650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0"/>
              <w:jc w:val="both"/>
              <w:rPr>
                <w:rFonts w:ascii="宋体" w:hAnsi="宋体" w:cs="宋体" w:eastAsia="宋体" w:hint="default"/>
                <w:sz w:val="18"/>
                <w:szCs w:val="18"/>
              </w:rPr>
            </w:pPr>
            <w:r>
              <w:rPr>
                <w:rFonts w:ascii="宋体" w:hAnsi="宋体" w:cs="宋体" w:eastAsia="宋体" w:hint="default"/>
                <w:sz w:val="18"/>
                <w:szCs w:val="18"/>
              </w:rPr>
              <w:t>根据《深交所中小板上市公司规范运作指引》相关规定，上 市公司董事、监事和高级管理人员自其申报离任日起六个月 内将其持有及新增的本公司股份予以全部锁定，同时上述人 员在申报离任六个月后的十二个月内通过证券交易所挂牌交 易出售本公司股票数量占其所持有本公司股票总数的比例不 得超过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。公司前任独立董事刘剑锋受上述董事离职股票 锁定的相关限制，本报告期末上述股份已解除限售。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80" w:top="1100" w:bottom="1160" w:left="92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55"/>
        <w:gridCol w:w="721"/>
        <w:gridCol w:w="991"/>
        <w:gridCol w:w="853"/>
        <w:gridCol w:w="709"/>
        <w:gridCol w:w="4819"/>
        <w:gridCol w:w="924"/>
      </w:tblGrid>
      <w:tr>
        <w:trPr>
          <w:trHeight w:val="403" w:hRule="exact"/>
        </w:trPr>
        <w:tc>
          <w:tcPr>
            <w:tcW w:w="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4" w:right="0"/>
              <w:jc w:val="left"/>
              <w:rPr>
                <w:rFonts w:ascii="Times New Roman" w:hAnsi="Times New Roman" w:cs="Times New Roman" w:eastAsia="Times New Roman" w:hint="default"/>
                <w:sz w:val="18"/>
                <w:szCs w:val="18"/>
              </w:rPr>
            </w:pPr>
            <w:r>
              <w:rPr>
                <w:rFonts w:ascii="Times New Roman"/>
                <w:sz w:val="18"/>
              </w:rPr>
              <w:t>7,000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7,000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2"/>
        <w:gridCol w:w="1294"/>
        <w:gridCol w:w="1297"/>
        <w:gridCol w:w="1102"/>
        <w:gridCol w:w="1488"/>
        <w:gridCol w:w="1296"/>
        <w:gridCol w:w="1683"/>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69"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63"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1028"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股票期权</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25.24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114,600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激励对象行权后</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114,600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r>
        <w:trPr>
          <w:trHeight w:val="40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line="240" w:lineRule="auto" w:before="0"/>
        <w:rPr>
          <w:rFonts w:ascii="宋体" w:hAnsi="宋体" w:cs="宋体" w:eastAsia="宋体" w:hint="default"/>
          <w:sz w:val="18"/>
          <w:szCs w:val="18"/>
        </w:rPr>
      </w:pPr>
    </w:p>
    <w:p>
      <w:pPr>
        <w:pStyle w:val="Heading7"/>
        <w:spacing w:line="240" w:lineRule="auto" w:before="118"/>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61" w:lineRule="auto" w:before="83"/>
        <w:ind w:right="1133"/>
        <w:jc w:val="left"/>
      </w:pPr>
      <w:r>
        <w:rPr/>
        <w:t>公司实施股权激励计划导致公司股份总数变动</w:t>
      </w:r>
      <w:r>
        <w:rPr>
          <w:w w:val="100"/>
        </w:rPr>
        <w:t>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日，公司召开第六届董事会</w:t>
      </w:r>
      <w:r>
        <w:rPr>
          <w:rFonts w:ascii="Times New Roman" w:hAnsi="Times New Roman" w:cs="Times New Roman" w:eastAsia="Times New Roman" w:hint="default"/>
          <w:spacing w:val="-2"/>
        </w:rPr>
        <w:t>2018</w:t>
      </w:r>
      <w:r>
        <w:rPr>
          <w:spacing w:val="-2"/>
        </w:rPr>
        <w:t>年第六次临时会议，审议通过《关于公司</w:t>
      </w:r>
      <w:r>
        <w:rPr>
          <w:rFonts w:ascii="Times New Roman" w:hAnsi="Times New Roman" w:cs="Times New Roman" w:eastAsia="Times New Roman" w:hint="default"/>
          <w:spacing w:val="-2"/>
        </w:rPr>
        <w:t>2016</w:t>
      </w:r>
      <w:r>
        <w:rPr>
          <w:spacing w:val="-2"/>
        </w:rPr>
        <w:t>年股票期权激</w:t>
      </w:r>
      <w:r>
        <w:rPr>
          <w:spacing w:val="-29"/>
        </w:rPr>
        <w:t> </w:t>
      </w:r>
      <w:r>
        <w:rPr>
          <w:spacing w:val="-29"/>
        </w:rPr>
      </w:r>
      <w:r>
        <w:rPr>
          <w:spacing w:val="-2"/>
        </w:rPr>
        <w:t>励计划首次授予股票期权第一个行权期可行权的议案》与《关于公司</w:t>
      </w:r>
      <w:r>
        <w:rPr>
          <w:rFonts w:ascii="Times New Roman" w:hAnsi="Times New Roman" w:cs="Times New Roman" w:eastAsia="Times New Roman" w:hint="default"/>
          <w:spacing w:val="-2"/>
        </w:rPr>
        <w:t>2016</w:t>
      </w:r>
      <w:r>
        <w:rPr>
          <w:spacing w:val="-2"/>
        </w:rPr>
        <w:t>年股票期权激励计划首次授予股</w:t>
      </w:r>
      <w:r>
        <w:rPr>
          <w:spacing w:val="-40"/>
        </w:rPr>
        <w:t> </w:t>
      </w:r>
      <w:r>
        <w:rPr>
          <w:spacing w:val="-40"/>
        </w:rPr>
      </w:r>
      <w:r>
        <w:rPr>
          <w:spacing w:val="-2"/>
        </w:rPr>
        <w:t>票期权采用自主行权模式的议案》，公司</w:t>
      </w:r>
      <w:r>
        <w:rPr>
          <w:rFonts w:ascii="Times New Roman" w:hAnsi="Times New Roman" w:cs="Times New Roman" w:eastAsia="Times New Roman" w:hint="default"/>
          <w:spacing w:val="-2"/>
        </w:rPr>
        <w:t>2016</w:t>
      </w:r>
      <w:r>
        <w:rPr>
          <w:spacing w:val="-2"/>
        </w:rPr>
        <w:t>年股票期权激励计划首次授予股票期权第一个行权期以自主</w:t>
      </w:r>
      <w:r>
        <w:rPr>
          <w:spacing w:val="-40"/>
        </w:rPr>
        <w:t> </w:t>
      </w:r>
      <w:r>
        <w:rPr>
          <w:spacing w:val="-40"/>
        </w:rPr>
      </w:r>
      <w:r>
        <w:rPr/>
        <w:t>行权模式开始行权，报告期内公司因股权激励对象行权增发股份共计</w:t>
      </w:r>
      <w:r>
        <w:rPr>
          <w:rFonts w:ascii="Times New Roman" w:hAnsi="Times New Roman" w:cs="Times New Roman" w:eastAsia="Times New Roman" w:hint="default"/>
        </w:rPr>
        <w:t>114,600</w:t>
      </w:r>
      <w:r>
        <w:rPr/>
        <w:t>股，公司总股本相应增加至</w:t>
      </w:r>
      <w:r>
        <w:rPr>
          <w:w w:val="100"/>
        </w:rPr>
        <w:t> </w:t>
      </w:r>
      <w:r>
        <w:rPr>
          <w:rFonts w:ascii="Times New Roman" w:hAnsi="Times New Roman" w:cs="Times New Roman" w:eastAsia="Times New Roman" w:hint="default"/>
        </w:rPr>
        <w:t>1,066,903,353</w:t>
      </w:r>
      <w:r>
        <w:rPr/>
        <w:t>。</w:t>
      </w:r>
    </w:p>
    <w:p>
      <w:pPr>
        <w:spacing w:line="240" w:lineRule="auto" w:before="12"/>
        <w:rPr>
          <w:rFonts w:ascii="宋体" w:hAnsi="宋体" w:cs="宋体" w:eastAsia="宋体" w:hint="default"/>
          <w:sz w:val="22"/>
          <w:szCs w:val="22"/>
        </w:rPr>
      </w:pPr>
    </w:p>
    <w:p>
      <w:pPr>
        <w:pStyle w:val="Heading7"/>
        <w:spacing w:line="240" w:lineRule="auto"/>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648"/>
        <w:gridCol w:w="1985"/>
        <w:gridCol w:w="709"/>
        <w:gridCol w:w="1984"/>
        <w:gridCol w:w="568"/>
        <w:gridCol w:w="1973"/>
        <w:gridCol w:w="510"/>
      </w:tblGrid>
      <w:tr>
        <w:trPr>
          <w:trHeight w:val="1027"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23,937</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49"/>
              <w:jc w:val="left"/>
              <w:rPr>
                <w:rFonts w:ascii="宋体" w:hAnsi="宋体" w:cs="宋体" w:eastAsia="宋体" w:hint="default"/>
                <w:sz w:val="18"/>
                <w:szCs w:val="18"/>
              </w:rPr>
            </w:pPr>
            <w:r>
              <w:rPr>
                <w:rFonts w:ascii="宋体" w:hAnsi="宋体" w:cs="宋体" w:eastAsia="宋体" w:hint="default"/>
                <w:sz w:val="18"/>
                <w:szCs w:val="18"/>
              </w:rPr>
              <w:t>年度报告披露日前上一 月末普通股股东总数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21,512</w:t>
            </w:r>
          </w:p>
        </w:tc>
        <w:tc>
          <w:tcPr>
            <w:tcW w:w="19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报告期末表决权恢复的 优先股股东总数（如有）</w:t>
            </w:r>
          </w:p>
        </w:tc>
        <w:tc>
          <w:tcPr>
            <w:tcW w:w="56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both"/>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股股东总数（如有）</w:t>
            </w:r>
          </w:p>
        </w:tc>
        <w:tc>
          <w:tcPr>
            <w:tcW w:w="5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4pt;height:678.95pt;mso-position-horizontal-relative:page;mso-position-vertical-relative:page;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226"/>
                    <w:gridCol w:w="850"/>
                    <w:gridCol w:w="991"/>
                    <w:gridCol w:w="1136"/>
                    <w:gridCol w:w="568"/>
                    <w:gridCol w:w="707"/>
                    <w:gridCol w:w="1277"/>
                    <w:gridCol w:w="850"/>
                    <w:gridCol w:w="499"/>
                  </w:tblGrid>
                  <w:tr>
                    <w:trPr>
                      <w:trHeight w:val="402" w:hRule="exact"/>
                    </w:trPr>
                    <w:tc>
                      <w:tcPr>
                        <w:tcW w:w="9573" w:type="dxa"/>
                        <w:gridSpan w:val="10"/>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2" w:hRule="exact"/>
                    </w:trPr>
                    <w:tc>
                      <w:tcPr>
                        <w:tcW w:w="14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2" w:right="11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2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93" w:right="89"/>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93" w:right="91"/>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01"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226"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274" w:type="dxa"/>
                        <w:gridSpan w:val="2"/>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9"/>
                          <w:jc w:val="right"/>
                          <w:rPr>
                            <w:rFonts w:ascii="宋体" w:hAnsi="宋体" w:cs="宋体" w:eastAsia="宋体" w:hint="default"/>
                            <w:sz w:val="18"/>
                            <w:szCs w:val="18"/>
                          </w:rPr>
                        </w:pPr>
                        <w:r>
                          <w:rPr>
                            <w:rFonts w:ascii="宋体" w:hAnsi="宋体" w:cs="宋体" w:eastAsia="宋体" w:hint="default"/>
                            <w:sz w:val="18"/>
                            <w:szCs w:val="18"/>
                          </w:rPr>
                          <w:t>股份状态</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584,236,800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3" w:right="0"/>
                          <w:jc w:val="left"/>
                          <w:rPr>
                            <w:rFonts w:ascii="Times New Roman" w:hAnsi="Times New Roman" w:cs="Times New Roman" w:eastAsia="Times New Roman" w:hint="default"/>
                            <w:sz w:val="18"/>
                            <w:szCs w:val="18"/>
                          </w:rPr>
                        </w:pPr>
                        <w:r>
                          <w:rPr>
                            <w:rFonts w:ascii="Times New Roman"/>
                            <w:sz w:val="18"/>
                          </w:rPr>
                          <w:t>438,177,600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146,059,200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淘宝（中国）软件</w:t>
                        </w:r>
                        <w:r>
                          <w:rPr>
                            <w:rFonts w:ascii="宋体" w:hAnsi="宋体" w:cs="宋体" w:eastAsia="宋体" w:hint="default"/>
                            <w:sz w:val="18"/>
                            <w:szCs w:val="18"/>
                          </w:rPr>
                          <w:t> 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0"/>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139,428,753</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139,428,753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焦梅荣</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38,700,720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38,700,720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北京业勤投资有 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0"/>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18,010,800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18,010,800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陈国强</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9,375,625</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9,375,625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165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中国工商银行股 份有限公司－东 方红沪港深灵活 配置混合型证券 投资基金</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7,645,413</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7,645,413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全国社保基金一 一二组合</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7,595,878</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7,595,878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34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交通银行股份有 限公司－富国天 益价值混合型证 券投资基金</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-3370000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李殿坤</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6,263,496</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4,697,622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1,565,874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19" w:hRule="exact"/>
                    </w:trPr>
                    <w:tc>
                      <w:tcPr>
                        <w:tcW w:w="2696" w:type="dxa"/>
                        <w:gridSpan w:val="2"/>
                        <w:tcBorders>
                          <w:top w:val="single" w:sz="4" w:space="0" w:color="000000"/>
                          <w:left w:val="single" w:sz="4" w:space="0" w:color="000000"/>
                          <w:bottom w:val="nil" w:sz="6" w:space="0" w:color="auto"/>
                          <w:right w:val="single" w:sz="10" w:space="0" w:color="FFFFFF"/>
                        </w:tcBorders>
                        <w:shd w:val="clear" w:color="auto" w:fill="D2D2D2"/>
                      </w:tcPr>
                      <w:p>
                        <w:pPr/>
                      </w:p>
                    </w:tc>
                    <w:tc>
                      <w:tcPr>
                        <w:tcW w:w="6878" w:type="dxa"/>
                        <w:gridSpan w:val="8"/>
                        <w:vMerge w:val="restart"/>
                        <w:tcBorders>
                          <w:top w:val="single" w:sz="4" w:space="0" w:color="000000"/>
                          <w:left w:val="single" w:sz="10" w:space="0" w:color="FFFFFF"/>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淘宝（中国）软件有限公司为公司战略投资者，在公司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年度进行的非公开发行股</w:t>
                        </w:r>
                      </w:p>
                      <w:p>
                        <w:pPr>
                          <w:pStyle w:val="TableParagraph"/>
                          <w:spacing w:line="309" w:lineRule="auto" w:before="60"/>
                          <w:ind w:left="16" w:right="17"/>
                          <w:jc w:val="left"/>
                          <w:rPr>
                            <w:rFonts w:ascii="宋体" w:hAnsi="宋体" w:cs="宋体" w:eastAsia="宋体" w:hint="default"/>
                            <w:sz w:val="18"/>
                            <w:szCs w:val="18"/>
                          </w:rPr>
                        </w:pPr>
                        <w:r>
                          <w:rPr>
                            <w:rFonts w:ascii="宋体" w:hAnsi="宋体" w:cs="宋体" w:eastAsia="宋体" w:hint="default"/>
                            <w:sz w:val="18"/>
                            <w:szCs w:val="18"/>
                          </w:rPr>
                          <w:t>份中认购股份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46,476,251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股，该股份于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日上市发行，认购完成后，淘 </w:t>
                        </w:r>
                        <w:r>
                          <w:rPr>
                            <w:rFonts w:ascii="宋体" w:hAnsi="宋体" w:cs="宋体" w:eastAsia="宋体" w:hint="default"/>
                            <w:spacing w:val="-1"/>
                            <w:sz w:val="18"/>
                            <w:szCs w:val="18"/>
                          </w:rPr>
                          <w:t>宝（中国）成为公司第二大股东，但该股份均为有限售条件的流通股，淘宝（中国）软</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件有限公司认购的该股份自上市首日起六十个月内不转让，可上市流通时间为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5"/>
                          <w:ind w:left="16"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日（非交易日顺延</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1015" w:hRule="exact"/>
                    </w:trPr>
                    <w:tc>
                      <w:tcPr>
                        <w:tcW w:w="2696" w:type="dxa"/>
                        <w:gridSpan w:val="2"/>
                        <w:tcBorders>
                          <w:top w:val="nil" w:sz="6" w:space="0" w:color="auto"/>
                          <w:left w:val="single" w:sz="4" w:space="0" w:color="000000"/>
                          <w:bottom w:val="nil" w:sz="6" w:space="0" w:color="auto"/>
                          <w:right w:val="single" w:sz="10" w:space="0" w:color="FFFFFF"/>
                        </w:tcBorders>
                        <w:shd w:val="clear" w:color="auto" w:fill="D2D2D2"/>
                      </w:tcPr>
                      <w:p>
                        <w:pPr>
                          <w:pStyle w:val="TableParagraph"/>
                          <w:spacing w:line="314"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名股东的情况（如有）</w:t>
                        </w:r>
                        <w:r>
                          <w:rPr>
                            <w:rFonts w:ascii="宋体" w:hAnsi="宋体" w:cs="宋体" w:eastAsia="宋体" w:hint="default"/>
                            <w:sz w:val="18"/>
                            <w:szCs w:val="18"/>
                          </w:rPr>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78" w:type="dxa"/>
                        <w:gridSpan w:val="8"/>
                        <w:vMerge/>
                        <w:tcBorders>
                          <w:left w:val="single" w:sz="10" w:space="0" w:color="FFFFFF"/>
                          <w:right w:val="single" w:sz="4" w:space="0" w:color="000000"/>
                        </w:tcBorders>
                      </w:tcPr>
                      <w:p>
                        <w:pPr/>
                      </w:p>
                    </w:tc>
                  </w:tr>
                  <w:tr>
                    <w:trPr>
                      <w:trHeight w:val="317" w:hRule="exact"/>
                    </w:trPr>
                    <w:tc>
                      <w:tcPr>
                        <w:tcW w:w="2696" w:type="dxa"/>
                        <w:gridSpan w:val="2"/>
                        <w:tcBorders>
                          <w:top w:val="nil" w:sz="6" w:space="0" w:color="auto"/>
                          <w:left w:val="single" w:sz="4" w:space="0" w:color="000000"/>
                          <w:bottom w:val="single" w:sz="4" w:space="0" w:color="000000"/>
                          <w:right w:val="single" w:sz="10" w:space="0" w:color="FFFFFF"/>
                        </w:tcBorders>
                        <w:shd w:val="clear" w:color="auto" w:fill="D2D2D2"/>
                      </w:tcPr>
                      <w:p>
                        <w:pPr/>
                      </w:p>
                    </w:tc>
                    <w:tc>
                      <w:tcPr>
                        <w:tcW w:w="6878" w:type="dxa"/>
                        <w:gridSpan w:val="8"/>
                        <w:vMerge/>
                        <w:tcBorders>
                          <w:left w:val="single" w:sz="10" w:space="0" w:color="FFFFFF"/>
                          <w:bottom w:val="nil" w:sz="6" w:space="0" w:color="auto"/>
                          <w:right w:val="single" w:sz="4" w:space="0" w:color="000000"/>
                        </w:tcBorders>
                      </w:tcPr>
                      <w:p>
                        <w:pPr/>
                      </w:p>
                    </w:tc>
                  </w:tr>
                  <w:tr>
                    <w:trPr>
                      <w:trHeight w:val="473" w:hRule="exact"/>
                    </w:trPr>
                    <w:tc>
                      <w:tcPr>
                        <w:tcW w:w="269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78" w:type="dxa"/>
                        <w:gridSpan w:val="8"/>
                        <w:vMerge w:val="restart"/>
                        <w:tcBorders>
                          <w:top w:val="single" w:sz="4" w:space="0" w:color="000000"/>
                          <w:left w:val="single" w:sz="10" w:space="0" w:color="D2D2D2"/>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本公司股</w:t>
                        </w:r>
                      </w:p>
                      <w:p>
                        <w:pPr>
                          <w:pStyle w:val="TableParagraph"/>
                          <w:spacing w:line="309" w:lineRule="auto" w:before="49"/>
                          <w:ind w:left="16" w:right="20" w:firstLine="720"/>
                          <w:jc w:val="left"/>
                          <w:rPr>
                            <w:rFonts w:ascii="宋体" w:hAnsi="宋体" w:cs="宋体" w:eastAsia="宋体" w:hint="default"/>
                            <w:sz w:val="18"/>
                            <w:szCs w:val="18"/>
                          </w:rPr>
                        </w:pPr>
                        <w:r>
                          <w:rPr>
                            <w:rFonts w:ascii="宋体" w:hAnsi="宋体" w:cs="宋体" w:eastAsia="宋体" w:hint="default"/>
                            <w:sz w:val="18"/>
                            <w:szCs w:val="18"/>
                          </w:rPr>
                          <w:t>东焦梅荣为本公司控股股东李仲初之岳母，李仲初持有本公司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54.76%</w:t>
                        </w:r>
                        <w:r>
                          <w:rPr>
                            <w:rFonts w:ascii="宋体" w:hAnsi="宋体" w:cs="宋体" w:eastAsia="宋体" w:hint="default"/>
                            <w:sz w:val="18"/>
                            <w:szCs w:val="18"/>
                          </w:rPr>
                          <w:t>的股份 焦梅荣持有本公司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3.63%</w:t>
                        </w:r>
                        <w:r>
                          <w:rPr>
                            <w:rFonts w:ascii="宋体" w:hAnsi="宋体" w:cs="宋体" w:eastAsia="宋体" w:hint="default"/>
                            <w:sz w:val="18"/>
                            <w:szCs w:val="18"/>
                          </w:rPr>
                          <w:t>的股份。与有限售条件的其他股东之间不存在关联关系，也不 </w:t>
                        </w:r>
                        <w:r>
                          <w:rPr>
                            <w:rFonts w:ascii="宋体" w:hAnsi="宋体" w:cs="宋体" w:eastAsia="宋体" w:hint="default"/>
                            <w:spacing w:val="-1"/>
                            <w:sz w:val="18"/>
                            <w:szCs w:val="18"/>
                          </w:rPr>
                          <w:t>属于一致行动人。上述股东中，李殿坤先生为北京业勤投资有限公司的控股股东，所以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股东北京业勤投资有限公司与股东李殿坤先生具有关联关系。未知其他股东相互之间是</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否存在关联关系，也未知是否属于《上市公司信息披露管理办法》中规定的一致行动人</w:t>
                        </w:r>
                      </w:p>
                    </w:tc>
                  </w:tr>
                  <w:tr>
                    <w:trPr>
                      <w:trHeight w:val="703" w:hRule="exact"/>
                    </w:trPr>
                    <w:tc>
                      <w:tcPr>
                        <w:tcW w:w="269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78" w:type="dxa"/>
                        <w:gridSpan w:val="8"/>
                        <w:vMerge/>
                        <w:tcBorders>
                          <w:left w:val="single" w:sz="10" w:space="0" w:color="D2D2D2"/>
                          <w:right w:val="single" w:sz="4" w:space="0" w:color="000000"/>
                        </w:tcBorders>
                      </w:tcPr>
                      <w:p>
                        <w:pPr/>
                      </w:p>
                    </w:tc>
                  </w:tr>
                  <w:tr>
                    <w:trPr>
                      <w:trHeight w:val="475" w:hRule="exact"/>
                    </w:trPr>
                    <w:tc>
                      <w:tcPr>
                        <w:tcW w:w="269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78" w:type="dxa"/>
                        <w:gridSpan w:val="8"/>
                        <w:vMerge/>
                        <w:tcBorders>
                          <w:left w:val="single" w:sz="10" w:space="0" w:color="D2D2D2"/>
                          <w:bottom w:val="single" w:sz="4" w:space="0" w:color="000000"/>
                          <w:right w:val="single" w:sz="4" w:space="0" w:color="000000"/>
                        </w:tcBorders>
                      </w:tcPr>
                      <w:p>
                        <w:pPr/>
                      </w:p>
                    </w:tc>
                  </w:tr>
                  <w:tr>
                    <w:trPr>
                      <w:trHeight w:val="397"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11" w:hRule="exact"/>
                    </w:trPr>
                    <w:tc>
                      <w:tcPr>
                        <w:tcW w:w="3546"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26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252" w:right="81" w:hanging="1172"/>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 量</w:t>
                        </w:r>
                      </w:p>
                    </w:tc>
                    <w:tc>
                      <w:tcPr>
                        <w:tcW w:w="333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3546"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694" w:type="dxa"/>
                        <w:gridSpan w:val="3"/>
                        <w:vMerge/>
                        <w:tcBorders>
                          <w:left w:val="single" w:sz="4" w:space="0" w:color="000000"/>
                          <w:right w:val="single" w:sz="4" w:space="0" w:color="000000"/>
                        </w:tcBorders>
                        <w:shd w:val="clear" w:color="auto" w:fill="D2D2D2"/>
                      </w:tcPr>
                      <w:p>
                        <w:pPr/>
                      </w:p>
                    </w:tc>
                    <w:tc>
                      <w:tcPr>
                        <w:tcW w:w="3333" w:type="dxa"/>
                        <w:gridSpan w:val="4"/>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3546" w:type="dxa"/>
                        <w:gridSpan w:val="3"/>
                        <w:vMerge/>
                        <w:tcBorders>
                          <w:left w:val="single" w:sz="4" w:space="0" w:color="000000"/>
                          <w:bottom w:val="nil" w:sz="6" w:space="0" w:color="auto"/>
                          <w:right w:val="single" w:sz="4" w:space="0" w:color="000000"/>
                        </w:tcBorders>
                        <w:shd w:val="clear" w:color="auto" w:fill="D2D2D2"/>
                      </w:tcPr>
                      <w:p>
                        <w:pPr/>
                      </w:p>
                    </w:tc>
                    <w:tc>
                      <w:tcPr>
                        <w:tcW w:w="2694" w:type="dxa"/>
                        <w:gridSpan w:val="3"/>
                        <w:vMerge/>
                        <w:tcBorders>
                          <w:left w:val="single" w:sz="4" w:space="0" w:color="000000"/>
                          <w:right w:val="single" w:sz="4" w:space="0" w:color="000000"/>
                        </w:tcBorders>
                        <w:shd w:val="clear" w:color="auto" w:fill="D2D2D2"/>
                      </w:tcPr>
                      <w:p>
                        <w:pPr/>
                      </w:p>
                    </w:tc>
                    <w:tc>
                      <w:tcPr>
                        <w:tcW w:w="19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2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84" w:hRule="exact"/>
                    </w:trPr>
                    <w:tc>
                      <w:tcPr>
                        <w:tcW w:w="3546"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2694" w:type="dxa"/>
                        <w:gridSpan w:val="3"/>
                        <w:vMerge/>
                        <w:tcBorders>
                          <w:left w:val="single" w:sz="4" w:space="0" w:color="000000"/>
                          <w:bottom w:val="single" w:sz="4" w:space="0" w:color="000000"/>
                          <w:right w:val="single" w:sz="4" w:space="0" w:color="000000"/>
                        </w:tcBorders>
                        <w:shd w:val="clear" w:color="auto" w:fill="D2D2D2"/>
                      </w:tcPr>
                      <w:p>
                        <w:pPr/>
                      </w:p>
                    </w:tc>
                    <w:tc>
                      <w:tcPr>
                        <w:tcW w:w="1984"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426" w:hRule="exact"/>
                    </w:trPr>
                    <w:tc>
                      <w:tcPr>
                        <w:tcW w:w="35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2694" w:type="dxa"/>
                        <w:gridSpan w:val="3"/>
                        <w:tcBorders>
                          <w:top w:val="single" w:sz="22" w:space="0" w:color="D2D2D2"/>
                          <w:left w:val="single" w:sz="4" w:space="0" w:color="000000"/>
                          <w:bottom w:val="single" w:sz="4" w:space="0" w:color="000000"/>
                          <w:right w:val="single" w:sz="4" w:space="0" w:color="000000"/>
                        </w:tcBorders>
                      </w:tcPr>
                      <w:p>
                        <w:pPr>
                          <w:pStyle w:val="TableParagraph"/>
                          <w:spacing w:line="240" w:lineRule="auto" w:before="91"/>
                          <w:ind w:left="1761" w:right="0"/>
                          <w:jc w:val="left"/>
                          <w:rPr>
                            <w:rFonts w:ascii="Times New Roman" w:hAnsi="Times New Roman" w:cs="Times New Roman" w:eastAsia="Times New Roman" w:hint="default"/>
                            <w:sz w:val="18"/>
                            <w:szCs w:val="18"/>
                          </w:rPr>
                        </w:pPr>
                        <w:r>
                          <w:rPr>
                            <w:rFonts w:ascii="Times New Roman"/>
                            <w:sz w:val="18"/>
                          </w:rPr>
                          <w:t>146,059,200</w:t>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15" w:right="0"/>
                          <w:jc w:val="left"/>
                          <w:rPr>
                            <w:rFonts w:ascii="Times New Roman" w:hAnsi="Times New Roman" w:cs="Times New Roman" w:eastAsia="Times New Roman" w:hint="default"/>
                            <w:sz w:val="18"/>
                            <w:szCs w:val="18"/>
                          </w:rPr>
                        </w:pPr>
                        <w:r>
                          <w:rPr>
                            <w:rFonts w:ascii="Times New Roman"/>
                            <w:sz w:val="18"/>
                          </w:rPr>
                          <w:t>146,059,200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line="312" w:lineRule="exact"/>
        <w:ind w:left="2877"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341pt;height:15.6pt;mso-position-horizontal-relative:char;mso-position-vertical-relative:line" coordorigin="0,0" coordsize="6820,312">
            <v:group style="position:absolute;left:0;top:0;width:6820;height:312" coordorigin="0,0" coordsize="6820,312">
              <v:shape style="position:absolute;left:0;top:0;width:6820;height:312" coordorigin="0,0" coordsize="6820,312" path="m0,312l6820,312,6820,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152" w:right="114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before="44"/>
        <w:ind w:left="152" w:right="113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546"/>
        <w:gridCol w:w="2693"/>
        <w:gridCol w:w="1985"/>
        <w:gridCol w:w="1349"/>
      </w:tblGrid>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焦梅荣</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38,700,720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38,700,720</w:t>
            </w:r>
          </w:p>
        </w:tc>
      </w:tr>
      <w:tr>
        <w:trPr>
          <w:trHeight w:val="404"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北京业勤投资有限公司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36,600,000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36,600,000</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18,010,800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18,010,800</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陈国强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9,375,625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9,375,625</w:t>
            </w:r>
          </w:p>
        </w:tc>
      </w:tr>
      <w:tr>
        <w:trPr>
          <w:trHeight w:val="71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0"/>
              <w:jc w:val="left"/>
              <w:rPr>
                <w:rFonts w:ascii="宋体" w:hAnsi="宋体" w:cs="宋体" w:eastAsia="宋体" w:hint="default"/>
                <w:sz w:val="18"/>
                <w:szCs w:val="18"/>
              </w:rPr>
            </w:pPr>
            <w:r>
              <w:rPr>
                <w:rFonts w:ascii="宋体" w:hAnsi="宋体" w:cs="宋体" w:eastAsia="宋体" w:hint="default"/>
                <w:sz w:val="18"/>
                <w:szCs w:val="18"/>
              </w:rPr>
              <w:t>中国工商银行股份有限公司－东方红沪港深 灵活配置混合型证券投资基金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7,645,413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7,645,413</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全国社保基金一一二组合</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7,595,878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7,595,878</w:t>
            </w:r>
          </w:p>
        </w:tc>
      </w:tr>
      <w:tr>
        <w:trPr>
          <w:trHeight w:val="71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0"/>
              <w:jc w:val="left"/>
              <w:rPr>
                <w:rFonts w:ascii="宋体" w:hAnsi="宋体" w:cs="宋体" w:eastAsia="宋体" w:hint="default"/>
                <w:sz w:val="18"/>
                <w:szCs w:val="18"/>
              </w:rPr>
            </w:pPr>
            <w:r>
              <w:rPr>
                <w:rFonts w:ascii="宋体" w:hAnsi="宋体" w:cs="宋体" w:eastAsia="宋体" w:hint="default"/>
                <w:sz w:val="18"/>
                <w:szCs w:val="18"/>
              </w:rPr>
              <w:t>交通银行股份有限公司－富国天益价值混合 型证券投资基金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7,200,000</w:t>
            </w:r>
          </w:p>
        </w:tc>
      </w:tr>
      <w:tr>
        <w:trPr>
          <w:trHeight w:val="715"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0"/>
              <w:jc w:val="left"/>
              <w:rPr>
                <w:rFonts w:ascii="Times New Roman" w:hAnsi="Times New Roman" w:cs="Times New Roman" w:eastAsia="Times New Roman" w:hint="default"/>
                <w:sz w:val="18"/>
                <w:szCs w:val="18"/>
              </w:rPr>
            </w:pPr>
            <w:r>
              <w:rPr>
                <w:rFonts w:ascii="宋体" w:hAnsi="宋体" w:cs="宋体" w:eastAsia="宋体" w:hint="default"/>
                <w:sz w:val="18"/>
                <w:szCs w:val="18"/>
              </w:rPr>
              <w:t>招商银行股份有限公司－东方红睿丰灵活配 置混合型证券投资基金</w:t>
            </w:r>
            <w:r>
              <w:rPr>
                <w:rFonts w:ascii="Times New Roman" w:hAnsi="Times New Roman" w:cs="Times New Roman" w:eastAsia="Times New Roman" w:hint="default"/>
                <w:sz w:val="18"/>
                <w:szCs w:val="18"/>
              </w:rPr>
              <w:t>(LOF)</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6,053,251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6,053,251</w:t>
            </w:r>
          </w:p>
        </w:tc>
      </w:tr>
      <w:tr>
        <w:trPr>
          <w:trHeight w:val="71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0"/>
              <w:jc w:val="left"/>
              <w:rPr>
                <w:rFonts w:ascii="宋体" w:hAnsi="宋体" w:cs="宋体" w:eastAsia="宋体" w:hint="default"/>
                <w:sz w:val="18"/>
                <w:szCs w:val="18"/>
              </w:rPr>
            </w:pPr>
            <w:r>
              <w:rPr>
                <w:rFonts w:ascii="宋体" w:hAnsi="宋体" w:cs="宋体" w:eastAsia="宋体" w:hint="default"/>
                <w:sz w:val="18"/>
                <w:szCs w:val="18"/>
              </w:rPr>
              <w:t>中国工商银行股份有限公司－东方红产业升 级灵活配置混合型证券投资基金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5,694,160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5,694,160</w:t>
            </w:r>
          </w:p>
        </w:tc>
      </w:tr>
      <w:tr>
        <w:trPr>
          <w:trHeight w:val="196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300" w:lineRule="auto" w:before="60"/>
              <w:ind w:left="24" w:right="22"/>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名股东之间关联 关系或一致行动的说明</w:t>
            </w:r>
          </w:p>
        </w:tc>
        <w:tc>
          <w:tcPr>
            <w:tcW w:w="602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本公司股东焦梅荣为本公司控股股东李仲初之岳母，李仲初持有本公司 </w:t>
            </w:r>
            <w:r>
              <w:rPr>
                <w:rFonts w:ascii="Times New Roman" w:hAnsi="Times New Roman" w:cs="Times New Roman" w:eastAsia="Times New Roman" w:hint="default"/>
                <w:sz w:val="18"/>
                <w:szCs w:val="18"/>
              </w:rPr>
              <w:t>54.76%</w:t>
            </w:r>
            <w:r>
              <w:rPr>
                <w:rFonts w:ascii="宋体" w:hAnsi="宋体" w:cs="宋体" w:eastAsia="宋体" w:hint="default"/>
                <w:sz w:val="18"/>
                <w:szCs w:val="18"/>
              </w:rPr>
              <w:t>的股份，焦梅荣持有本公司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3.63%</w:t>
            </w:r>
            <w:r>
              <w:rPr>
                <w:rFonts w:ascii="宋体" w:hAnsi="宋体" w:cs="宋体" w:eastAsia="宋体" w:hint="default"/>
                <w:sz w:val="18"/>
                <w:szCs w:val="18"/>
              </w:rPr>
              <w:t>的股份。与有限售条件的其他股东 之间不存在关联关系，也不属于一致行动人。上述股东中，李殿坤先生为北 京业勤投资有限公司的控股股东，故股东北京业勤投资有限公司与股东李殿 坤先生具有关联关系。未知其他股东相互之间是否存在关联关系，也未知是 否属于《上市公司信息披露管理办法》中规定的一致行动人。</w:t>
            </w:r>
          </w:p>
        </w:tc>
      </w:tr>
      <w:tr>
        <w:trPr>
          <w:trHeight w:val="715"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名普通股股东参与融资融券业务情况说 明（如有）</w:t>
            </w:r>
          </w:p>
        </w:tc>
        <w:tc>
          <w:tcPr>
            <w:tcW w:w="60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7"/>
        <w:spacing w:line="240" w:lineRule="auto"/>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859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4537"/>
        <w:gridCol w:w="2268"/>
        <w:gridCol w:w="2765"/>
      </w:tblGrid>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503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本公司董事长兼总裁。</w:t>
            </w:r>
          </w:p>
        </w:tc>
      </w:tr>
      <w:tr>
        <w:trPr>
          <w:trHeight w:val="404"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报告期内控股和参股的其他境内外上市公司的股权情况</w:t>
            </w:r>
          </w:p>
        </w:tc>
        <w:tc>
          <w:tcPr>
            <w:tcW w:w="503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2" w:right="1133"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after="0" w:line="3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263"/>
        <w:gridCol w:w="2126"/>
        <w:gridCol w:w="1416"/>
        <w:gridCol w:w="2765"/>
      </w:tblGrid>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6"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3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本公司董事长兼总裁。</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3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70"/>
        <w:ind w:left="152" w:right="1133"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0"/>
        <w:rPr>
          <w:rFonts w:ascii="宋体" w:hAnsi="宋体" w:cs="宋体" w:eastAsia="宋体" w:hint="default"/>
          <w:sz w:val="19"/>
          <w:szCs w:val="19"/>
        </w:rPr>
      </w:pPr>
    </w:p>
    <w:p>
      <w:pPr>
        <w:spacing w:line="1410" w:lineRule="exact"/>
        <w:ind w:left="1355" w:right="0" w:firstLine="0"/>
        <w:rPr>
          <w:rFonts w:ascii="宋体" w:hAnsi="宋体" w:cs="宋体" w:eastAsia="宋体" w:hint="default"/>
          <w:sz w:val="20"/>
          <w:szCs w:val="20"/>
        </w:rPr>
      </w:pPr>
      <w:r>
        <w:rPr>
          <w:rFonts w:ascii="宋体" w:hAnsi="宋体" w:cs="宋体" w:eastAsia="宋体" w:hint="default"/>
          <w:position w:val="-27"/>
          <w:sz w:val="20"/>
          <w:szCs w:val="20"/>
        </w:rPr>
        <w:drawing>
          <wp:inline distT="0" distB="0" distL="0" distR="0">
            <wp:extent cx="4590334" cy="8953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35" cstate="print"/>
                    <a:stretch>
                      <a:fillRect/>
                    </a:stretch>
                  </pic:blipFill>
                  <pic:spPr>
                    <a:xfrm>
                      <a:off x="0" y="0"/>
                      <a:ext cx="4590334" cy="895350"/>
                    </a:xfrm>
                    <a:prstGeom prst="rect">
                      <a:avLst/>
                    </a:prstGeom>
                  </pic:spPr>
                </pic:pic>
              </a:graphicData>
            </a:graphic>
          </wp:inline>
        </w:drawing>
      </w:r>
      <w:r>
        <w:rPr>
          <w:rFonts w:ascii="宋体" w:hAnsi="宋体" w:cs="宋体" w:eastAsia="宋体" w:hint="default"/>
          <w:position w:val="-27"/>
          <w:sz w:val="20"/>
          <w:szCs w:val="20"/>
        </w:rPr>
      </w:r>
    </w:p>
    <w:p>
      <w:pPr>
        <w:spacing w:line="240" w:lineRule="auto" w:before="2"/>
        <w:rPr>
          <w:rFonts w:ascii="宋体" w:hAnsi="宋体" w:cs="宋体" w:eastAsia="宋体" w:hint="default"/>
          <w:sz w:val="18"/>
          <w:szCs w:val="18"/>
        </w:rPr>
      </w:pPr>
    </w:p>
    <w:p>
      <w:pPr>
        <w:pStyle w:val="Heading4"/>
        <w:spacing w:line="240" w:lineRule="auto"/>
        <w:ind w:right="1133"/>
        <w:jc w:val="left"/>
        <w:rPr>
          <w:rFonts w:ascii="宋体" w:hAnsi="宋体" w:cs="宋体" w:eastAsia="宋体" w:hint="default"/>
        </w:rPr>
      </w:pPr>
      <w:r>
        <w:rPr>
          <w:rFonts w:ascii="宋体" w:hAnsi="宋体" w:cs="宋体" w:eastAsia="宋体" w:hint="default"/>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9"/>
        <w:gridCol w:w="1133"/>
        <w:gridCol w:w="853"/>
        <w:gridCol w:w="1133"/>
        <w:gridCol w:w="5034"/>
      </w:tblGrid>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2" w:right="84"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5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22"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33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9"/>
              <w:jc w:val="left"/>
              <w:rPr>
                <w:rFonts w:ascii="宋体" w:hAnsi="宋体" w:cs="宋体" w:eastAsia="宋体" w:hint="default"/>
                <w:sz w:val="18"/>
                <w:szCs w:val="18"/>
              </w:rPr>
            </w:pPr>
            <w:r>
              <w:rPr>
                <w:rFonts w:ascii="宋体" w:hAnsi="宋体" w:cs="宋体" w:eastAsia="宋体" w:hint="default"/>
                <w:spacing w:val="-10"/>
                <w:sz w:val="18"/>
                <w:szCs w:val="18"/>
              </w:rPr>
              <w:t>淘宝（中国）软件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37500 </w:t>
            </w:r>
            <w:r>
              <w:rPr>
                <w:rFonts w:ascii="宋体" w:hAnsi="宋体" w:cs="宋体" w:eastAsia="宋体" w:hint="default"/>
                <w:sz w:val="18"/>
                <w:szCs w:val="18"/>
              </w:rPr>
              <w:t>万美元</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pacing w:val="-3"/>
                <w:sz w:val="18"/>
                <w:szCs w:val="18"/>
              </w:rPr>
              <w:t>研究、开发计算机软、硬件，网络技术产品，多媒体产品；系统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集成的设计、调试及维护；销售自身开发的产品；并提供计算机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技术咨询、服务，电子商务平台支持；经济信息咨询（含商品中</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介）（国家禁止和限制的除外，凡涉及许可证制度的凭证经营）</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285" w:right="1133"/>
        <w:jc w:val="left"/>
        <w:rPr>
          <w:b w:val="0"/>
          <w:bCs w:val="0"/>
        </w:rPr>
      </w:pPr>
      <w:bookmarkStart w:name="_bookmark5" w:id="6"/>
      <w:bookmarkEnd w:id="6"/>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679" w:right="1133"/>
        <w:jc w:val="left"/>
        <w:rPr>
          <w:b w:val="0"/>
          <w:bCs w:val="0"/>
        </w:rPr>
      </w:pPr>
      <w:bookmarkStart w:name="_bookmark6" w:id="7"/>
      <w:bookmarkEnd w:id="7"/>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3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902"/>
        <w:gridCol w:w="566"/>
        <w:gridCol w:w="427"/>
        <w:gridCol w:w="425"/>
        <w:gridCol w:w="850"/>
        <w:gridCol w:w="994"/>
        <w:gridCol w:w="992"/>
        <w:gridCol w:w="850"/>
        <w:gridCol w:w="852"/>
        <w:gridCol w:w="709"/>
        <w:gridCol w:w="120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5"/>
              <w:jc w:val="right"/>
              <w:rPr>
                <w:rFonts w:ascii="宋体" w:hAnsi="宋体" w:cs="宋体" w:eastAsia="宋体" w:hint="default"/>
                <w:sz w:val="18"/>
                <w:szCs w:val="18"/>
              </w:rPr>
            </w:pPr>
            <w:r>
              <w:rPr>
                <w:rFonts w:ascii="宋体" w:hAnsi="宋体" w:cs="宋体" w:eastAsia="宋体" w:hint="default"/>
                <w:sz w:val="18"/>
                <w:szCs w:val="18"/>
              </w:rPr>
              <w:t>姓名</w:t>
            </w: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00"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60"/>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李仲初</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46"/>
              <w:jc w:val="left"/>
              <w:rPr>
                <w:rFonts w:ascii="宋体" w:hAnsi="宋体" w:cs="宋体" w:eastAsia="宋体" w:hint="default"/>
                <w:sz w:val="18"/>
                <w:szCs w:val="18"/>
              </w:rPr>
            </w:pPr>
            <w:r>
              <w:rPr>
                <w:rFonts w:ascii="宋体" w:hAnsi="宋体" w:cs="宋体" w:eastAsia="宋体" w:hint="default"/>
                <w:sz w:val="18"/>
                <w:szCs w:val="18"/>
              </w:rPr>
              <w:t>董事长兼 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584,236,800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584,236,800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24"/>
              <w:jc w:val="right"/>
              <w:rPr>
                <w:rFonts w:ascii="宋体" w:hAnsi="宋体" w:cs="宋体" w:eastAsia="宋体" w:hint="default"/>
                <w:sz w:val="18"/>
                <w:szCs w:val="18"/>
              </w:rPr>
            </w:pPr>
            <w:r>
              <w:rPr>
                <w:rFonts w:ascii="宋体" w:hAnsi="宋体" w:cs="宋体" w:eastAsia="宋体" w:hint="default"/>
                <w:sz w:val="18"/>
                <w:szCs w:val="18"/>
              </w:rPr>
              <w:t>赖德源</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both"/>
              <w:rPr>
                <w:rFonts w:ascii="宋体" w:hAnsi="宋体" w:cs="宋体" w:eastAsia="宋体" w:hint="default"/>
                <w:sz w:val="18"/>
                <w:szCs w:val="18"/>
              </w:rPr>
            </w:pPr>
            <w:r>
              <w:rPr>
                <w:rFonts w:ascii="宋体" w:hAnsi="宋体" w:cs="宋体" w:eastAsia="宋体" w:hint="default"/>
                <w:spacing w:val="-11"/>
                <w:sz w:val="18"/>
                <w:szCs w:val="18"/>
              </w:rPr>
              <w:t>董事、副总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裁、财务总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李少华</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李殿坤</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6,263,496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6,263,496</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邹小杰</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刘丹萍</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叶金福</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52"/>
              <w:jc w:val="left"/>
              <w:rPr>
                <w:rFonts w:ascii="Times New Roman" w:hAnsi="Times New Roman" w:cs="Times New Roman" w:eastAsia="Times New Roman" w:hint="default"/>
                <w:sz w:val="18"/>
                <w:szCs w:val="18"/>
              </w:rPr>
            </w:pPr>
            <w:r>
              <w:rPr>
                <w:rFonts w:ascii="Times New Roman"/>
                <w:sz w:val="18"/>
              </w:rPr>
              <w:t>Kevin Patrick King</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46"/>
              <w:jc w:val="left"/>
              <w:rPr>
                <w:rFonts w:ascii="宋体" w:hAnsi="宋体" w:cs="宋体" w:eastAsia="宋体" w:hint="default"/>
                <w:sz w:val="18"/>
                <w:szCs w:val="18"/>
              </w:rPr>
            </w:pPr>
            <w:r>
              <w:rPr>
                <w:rFonts w:ascii="宋体" w:hAnsi="宋体" w:cs="宋体" w:eastAsia="宋体" w:hint="default"/>
                <w:sz w:val="18"/>
                <w:szCs w:val="18"/>
              </w:rPr>
              <w:t>首席运营 官</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关东玉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王敏敏</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28,980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1"/>
              <w:jc w:val="right"/>
              <w:rPr>
                <w:rFonts w:ascii="宋体" w:hAnsi="宋体" w:cs="宋体" w:eastAsia="宋体" w:hint="default"/>
                <w:sz w:val="18"/>
                <w:szCs w:val="18"/>
              </w:rPr>
            </w:pPr>
            <w:r>
              <w:rPr>
                <w:rFonts w:ascii="宋体" w:hAnsi="宋体" w:cs="宋体" w:eastAsia="宋体" w:hint="default"/>
                <w:sz w:val="18"/>
                <w:szCs w:val="18"/>
              </w:rPr>
              <w:t>罗 </w:t>
            </w:r>
            <w:r>
              <w:rPr>
                <w:rFonts w:ascii="宋体" w:hAnsi="宋体" w:cs="宋体" w:eastAsia="宋体" w:hint="default"/>
                <w:spacing w:val="2"/>
                <w:sz w:val="18"/>
                <w:szCs w:val="18"/>
              </w:rPr>
              <w:t> </w:t>
            </w:r>
            <w:r>
              <w:rPr>
                <w:rFonts w:ascii="宋体" w:hAnsi="宋体" w:cs="宋体" w:eastAsia="宋体" w:hint="default"/>
                <w:sz w:val="18"/>
                <w:szCs w:val="18"/>
              </w:rPr>
              <w:t>芳</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6"/>
              <w:jc w:val="both"/>
              <w:rPr>
                <w:rFonts w:ascii="宋体" w:hAnsi="宋体" w:cs="宋体" w:eastAsia="宋体" w:hint="default"/>
                <w:sz w:val="18"/>
                <w:szCs w:val="18"/>
              </w:rPr>
            </w:pPr>
            <w:r>
              <w:rPr>
                <w:rFonts w:ascii="宋体" w:hAnsi="宋体" w:cs="宋体" w:eastAsia="宋体" w:hint="default"/>
                <w:sz w:val="18"/>
                <w:szCs w:val="18"/>
              </w:rPr>
              <w:t>副总裁兼 董事会秘 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郭 </w:t>
            </w:r>
            <w:r>
              <w:rPr>
                <w:rFonts w:ascii="宋体" w:hAnsi="宋体" w:cs="宋体" w:eastAsia="宋体" w:hint="default"/>
                <w:spacing w:val="2"/>
                <w:sz w:val="18"/>
                <w:szCs w:val="18"/>
              </w:rPr>
              <w:t> </w:t>
            </w:r>
            <w:r>
              <w:rPr>
                <w:rFonts w:ascii="宋体" w:hAnsi="宋体" w:cs="宋体" w:eastAsia="宋体" w:hint="default"/>
                <w:sz w:val="18"/>
                <w:szCs w:val="18"/>
              </w:rPr>
              <w:t>明</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6"/>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张广杰</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4"/>
              <w:jc w:val="right"/>
              <w:rPr>
                <w:rFonts w:ascii="宋体" w:hAnsi="宋体" w:cs="宋体" w:eastAsia="宋体" w:hint="default"/>
                <w:sz w:val="18"/>
                <w:szCs w:val="18"/>
              </w:rPr>
            </w:pPr>
            <w:r>
              <w:rPr>
                <w:rFonts w:ascii="宋体" w:hAnsi="宋体" w:cs="宋体" w:eastAsia="宋体" w:hint="default"/>
                <w:sz w:val="18"/>
                <w:szCs w:val="18"/>
              </w:rPr>
              <w:t>王淑杰</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800"/>
        <w:gridCol w:w="902"/>
        <w:gridCol w:w="566"/>
        <w:gridCol w:w="427"/>
        <w:gridCol w:w="425"/>
        <w:gridCol w:w="850"/>
        <w:gridCol w:w="994"/>
        <w:gridCol w:w="992"/>
        <w:gridCol w:w="850"/>
        <w:gridCol w:w="852"/>
        <w:gridCol w:w="709"/>
        <w:gridCol w:w="1207"/>
      </w:tblGrid>
      <w:tr>
        <w:trPr>
          <w:trHeight w:val="362"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590,529,276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6" w:right="0"/>
              <w:jc w:val="left"/>
              <w:rPr>
                <w:rFonts w:ascii="Times New Roman" w:hAnsi="Times New Roman" w:cs="Times New Roman" w:eastAsia="Times New Roman" w:hint="default"/>
                <w:sz w:val="18"/>
                <w:szCs w:val="18"/>
              </w:rPr>
            </w:pPr>
            <w:r>
              <w:rPr>
                <w:rFonts w:ascii="Times New Roman"/>
                <w:sz w:val="18"/>
              </w:rPr>
              <w:t>590,529,276</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both"/>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480" w:lineRule="atLeast" w:before="6"/>
        <w:ind w:left="573" w:right="1133"/>
        <w:jc w:val="left"/>
      </w:pPr>
      <w:r>
        <w:rPr>
          <w:rFonts w:ascii="宋体" w:hAnsi="宋体" w:cs="宋体" w:eastAsia="宋体" w:hint="default"/>
          <w:b/>
          <w:bCs/>
        </w:rPr>
        <w:t>（一）董事</w:t>
      </w:r>
      <w:r>
        <w:rPr>
          <w:rFonts w:ascii="宋体" w:hAnsi="宋体" w:cs="宋体" w:eastAsia="宋体" w:hint="default"/>
          <w:b/>
          <w:bCs/>
          <w:w w:val="100"/>
        </w:rPr>
        <w:t> </w:t>
      </w:r>
      <w:r>
        <w:rPr>
          <w:rFonts w:ascii="宋体" w:hAnsi="宋体" w:cs="宋体" w:eastAsia="宋体" w:hint="default"/>
          <w:b/>
          <w:bCs/>
          <w:spacing w:val="-2"/>
        </w:rPr>
        <w:t>李仲初</w:t>
      </w:r>
      <w:r>
        <w:rPr>
          <w:spacing w:val="-2"/>
        </w:rPr>
        <w:t>：男，出生于</w:t>
      </w:r>
      <w:r>
        <w:rPr>
          <w:rFonts w:ascii="Times New Roman" w:hAnsi="Times New Roman" w:cs="Times New Roman" w:eastAsia="Times New Roman" w:hint="default"/>
          <w:spacing w:val="-2"/>
        </w:rPr>
        <w:t>1963</w:t>
      </w:r>
      <w:r>
        <w:rPr>
          <w:spacing w:val="-2"/>
        </w:rPr>
        <w:t>年，中国公民，工学硕士，工程师，本公司创始人及控股股东，</w:t>
      </w:r>
      <w:r>
        <w:rPr>
          <w:rFonts w:ascii="Times New Roman" w:hAnsi="Times New Roman" w:cs="Times New Roman" w:eastAsia="Times New Roman" w:hint="default"/>
          <w:spacing w:val="-2"/>
        </w:rPr>
        <w:t>1984</w:t>
      </w:r>
      <w:r>
        <w:rPr>
          <w:spacing w:val="-2"/>
        </w:rPr>
        <w:t>年毕业</w:t>
      </w:r>
    </w:p>
    <w:p>
      <w:pPr>
        <w:pStyle w:val="BodyText"/>
        <w:spacing w:line="264" w:lineRule="auto" w:before="22"/>
        <w:ind w:right="1126"/>
        <w:jc w:val="both"/>
      </w:pPr>
      <w:r>
        <w:rPr>
          <w:spacing w:val="-2"/>
        </w:rPr>
        <w:t>于武汉大学空间物理系，获得理学学士学位，</w:t>
      </w:r>
      <w:r>
        <w:rPr>
          <w:rFonts w:ascii="Times New Roman" w:hAnsi="Times New Roman" w:cs="Times New Roman" w:eastAsia="Times New Roman" w:hint="default"/>
          <w:spacing w:val="-2"/>
        </w:rPr>
        <w:t>1987</w:t>
      </w:r>
      <w:r>
        <w:rPr>
          <w:spacing w:val="-2"/>
        </w:rPr>
        <w:t>年获得原国家航天部第二研究院光电技术专业工学硕士</w:t>
      </w:r>
      <w:r>
        <w:rPr>
          <w:spacing w:val="-38"/>
        </w:rPr>
        <w:t> </w:t>
      </w:r>
      <w:r>
        <w:rPr>
          <w:spacing w:val="-38"/>
        </w:rPr>
      </w:r>
      <w:r>
        <w:rPr>
          <w:spacing w:val="-2"/>
        </w:rPr>
        <w:t>学位。曾先后任职于国家航天部某研究所、国家某重点实验室。现任本公司第六届董事会董事、董事长兼</w:t>
      </w:r>
      <w:r>
        <w:rPr>
          <w:spacing w:val="-50"/>
        </w:rPr>
        <w:t> </w:t>
      </w:r>
      <w:r>
        <w:rPr>
          <w:spacing w:val="-50"/>
        </w:rPr>
      </w:r>
      <w:r>
        <w:rPr/>
        <w:t>总裁。</w:t>
      </w:r>
    </w:p>
    <w:p>
      <w:pPr>
        <w:pStyle w:val="BodyText"/>
        <w:spacing w:line="256" w:lineRule="auto" w:before="172"/>
        <w:ind w:right="1126" w:firstLine="420"/>
        <w:jc w:val="both"/>
      </w:pPr>
      <w:r>
        <w:rPr>
          <w:rFonts w:ascii="宋体" w:hAnsi="宋体" w:cs="宋体" w:eastAsia="宋体" w:hint="default"/>
          <w:b/>
          <w:bCs/>
          <w:spacing w:val="-2"/>
        </w:rPr>
        <w:t>赖德源</w:t>
      </w:r>
      <w:r>
        <w:rPr>
          <w:spacing w:val="-2"/>
        </w:rPr>
        <w:t>：男，出生于</w:t>
      </w:r>
      <w:r>
        <w:rPr>
          <w:rFonts w:ascii="Times New Roman" w:hAnsi="Times New Roman" w:cs="Times New Roman" w:eastAsia="Times New Roman" w:hint="default"/>
          <w:spacing w:val="-2"/>
        </w:rPr>
        <w:t>1963</w:t>
      </w:r>
      <w:r>
        <w:rPr>
          <w:spacing w:val="-2"/>
        </w:rPr>
        <w:t>年，中华人民共和国香港特别行政区居民，本科学历，毕业于香港理工学院</w:t>
      </w:r>
      <w:r>
        <w:rPr>
          <w:w w:val="100"/>
        </w:rPr>
        <w:t> </w:t>
      </w:r>
      <w:r>
        <w:rPr/>
        <w:t>电子工程系。先后就职于香港地下铁路有限公司、香港国辉电脑有限公司，</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月先后</w:t>
      </w:r>
      <w:r>
        <w:rPr>
          <w:spacing w:val="-26"/>
        </w:rPr>
        <w:t> </w:t>
      </w:r>
      <w:r>
        <w:rPr>
          <w:spacing w:val="-26"/>
        </w:rPr>
      </w:r>
      <w:r>
        <w:rPr>
          <w:spacing w:val="-2"/>
        </w:rPr>
        <w:t>担任富达自动化管理系统（上海）有限公司（该公司为</w:t>
      </w:r>
      <w:r>
        <w:rPr>
          <w:rFonts w:ascii="Times New Roman" w:hAnsi="Times New Roman" w:cs="Times New Roman" w:eastAsia="Times New Roman" w:hint="default"/>
          <w:spacing w:val="-2"/>
        </w:rPr>
        <w:t>MICROS</w:t>
      </w:r>
      <w:r>
        <w:rPr>
          <w:spacing w:val="-2"/>
        </w:rPr>
        <w:t>在中国设立的全资子公司）董事总经理、</w:t>
      </w:r>
      <w:r>
        <w:rPr>
          <w:spacing w:val="-4"/>
        </w:rPr>
        <w:t> </w:t>
      </w:r>
      <w:r>
        <w:rPr>
          <w:spacing w:val="-4"/>
        </w:rPr>
      </w:r>
      <w:r>
        <w:rPr/>
        <w:t>香港</w:t>
      </w:r>
      <w:r>
        <w:rPr>
          <w:rFonts w:ascii="Times New Roman" w:hAnsi="Times New Roman" w:cs="Times New Roman" w:eastAsia="Times New Roman" w:hint="default"/>
        </w:rPr>
        <w:t>MOVIELINK</w:t>
      </w:r>
      <w:r>
        <w:rPr/>
        <w:t>公司总经理。现任本公司第六届董事会董事、副总裁、财务总监。</w:t>
      </w:r>
    </w:p>
    <w:p>
      <w:pPr>
        <w:pStyle w:val="BodyText"/>
        <w:spacing w:line="264" w:lineRule="auto" w:before="161"/>
        <w:ind w:right="1102" w:firstLine="420"/>
        <w:jc w:val="both"/>
      </w:pPr>
      <w:r>
        <w:rPr>
          <w:rFonts w:ascii="宋体" w:hAnsi="宋体" w:cs="宋体" w:eastAsia="宋体" w:hint="default"/>
          <w:b/>
          <w:bCs/>
          <w:spacing w:val="-2"/>
        </w:rPr>
        <w:t>李殿坤</w:t>
      </w:r>
      <w:r>
        <w:rPr>
          <w:spacing w:val="-2"/>
        </w:rPr>
        <w:t>：男，出生于</w:t>
      </w:r>
      <w:r>
        <w:rPr>
          <w:rFonts w:ascii="Times New Roman" w:hAnsi="Times New Roman" w:cs="Times New Roman" w:eastAsia="Times New Roman" w:hint="default"/>
          <w:spacing w:val="-2"/>
        </w:rPr>
        <w:t>1969</w:t>
      </w:r>
      <w:r>
        <w:rPr>
          <w:spacing w:val="-2"/>
        </w:rPr>
        <w:t>年，中国公民，研究生学历。</w:t>
      </w:r>
      <w:r>
        <w:rPr>
          <w:rFonts w:ascii="Times New Roman" w:hAnsi="Times New Roman" w:cs="Times New Roman" w:eastAsia="Times New Roman" w:hint="default"/>
          <w:spacing w:val="-2"/>
        </w:rPr>
        <w:t>1991</w:t>
      </w:r>
      <w:r>
        <w:rPr>
          <w:spacing w:val="-2"/>
        </w:rPr>
        <w:t>年毕业于浙江大学材料科学与工程学院，</w:t>
      </w:r>
      <w:r>
        <w:rPr>
          <w:w w:val="100"/>
        </w:rPr>
        <w:t> </w:t>
      </w:r>
      <w:r>
        <w:rPr>
          <w:spacing w:val="-2"/>
        </w:rPr>
        <w:t>获得工学学士学位；</w:t>
      </w:r>
      <w:r>
        <w:rPr>
          <w:rFonts w:ascii="Times New Roman" w:hAnsi="Times New Roman" w:cs="Times New Roman" w:eastAsia="Times New Roman" w:hint="default"/>
          <w:spacing w:val="-2"/>
        </w:rPr>
        <w:t>1994</w:t>
      </w:r>
      <w:r>
        <w:rPr>
          <w:spacing w:val="-2"/>
        </w:rPr>
        <w:t>年毕业于北京大学光华管理学院，获得经济学硕士学位。曾任职于上海万国证券</w:t>
      </w:r>
      <w:r>
        <w:rPr>
          <w:spacing w:val="-39"/>
        </w:rPr>
        <w:t> </w:t>
      </w:r>
      <w:r>
        <w:rPr>
          <w:spacing w:val="-39"/>
        </w:rPr>
      </w:r>
      <w:r>
        <w:rPr>
          <w:spacing w:val="-2"/>
        </w:rPr>
        <w:t>公司投资银行总部项目经理、高级经理，国信证券有限责任公司投资银行总部部门总经理、内核办主任，</w:t>
      </w:r>
      <w:r>
        <w:rPr>
          <w:spacing w:val="-21"/>
        </w:rPr>
        <w:t> </w:t>
      </w:r>
      <w:r>
        <w:rPr>
          <w:spacing w:val="-21"/>
        </w:rPr>
      </w:r>
      <w:r>
        <w:rPr>
          <w:spacing w:val="-2"/>
        </w:rPr>
        <w:t>东莞证券有限责任公司总裁助理。现任北京业勤教育科技有限公司董事长及本公司第六届董事会董事及副</w:t>
      </w:r>
      <w:r>
        <w:rPr>
          <w:spacing w:val="-43"/>
        </w:rPr>
        <w:t> </w:t>
      </w:r>
      <w:r>
        <w:rPr>
          <w:spacing w:val="-43"/>
        </w:rPr>
      </w:r>
      <w:r>
        <w:rPr/>
        <w:t>董事长。</w:t>
      </w:r>
    </w:p>
    <w:p>
      <w:pPr>
        <w:pStyle w:val="BodyText"/>
        <w:spacing w:line="261" w:lineRule="auto" w:before="172"/>
        <w:ind w:right="1126" w:firstLine="420"/>
        <w:jc w:val="both"/>
      </w:pPr>
      <w:r>
        <w:rPr>
          <w:rFonts w:ascii="宋体" w:hAnsi="宋体" w:cs="宋体" w:eastAsia="宋体" w:hint="default"/>
          <w:b/>
          <w:bCs/>
          <w:spacing w:val="-4"/>
        </w:rPr>
        <w:t>李少华：</w:t>
      </w:r>
      <w:r>
        <w:rPr>
          <w:spacing w:val="-4"/>
        </w:rPr>
        <w:t>男，出生于</w:t>
      </w:r>
      <w:r>
        <w:rPr>
          <w:rFonts w:ascii="Times New Roman" w:hAnsi="Times New Roman" w:cs="Times New Roman" w:eastAsia="Times New Roman" w:hint="default"/>
          <w:spacing w:val="-4"/>
        </w:rPr>
        <w:t>1973</w:t>
      </w:r>
      <w:r>
        <w:rPr>
          <w:spacing w:val="-4"/>
        </w:rPr>
        <w:t>年，中国公民，</w:t>
      </w:r>
      <w:r>
        <w:rPr>
          <w:rFonts w:ascii="Times New Roman" w:hAnsi="Times New Roman" w:cs="Times New Roman" w:eastAsia="Times New Roman" w:hint="default"/>
          <w:spacing w:val="-4"/>
        </w:rPr>
        <w:t>MBA</w:t>
      </w:r>
      <w:r>
        <w:rPr>
          <w:spacing w:val="-4"/>
        </w:rPr>
        <w:t>硕士，研究生学历，毕业于中山大学。曾就职于中国南</w:t>
      </w:r>
      <w:r>
        <w:rPr>
          <w:w w:val="100"/>
        </w:rPr>
        <w:t> </w:t>
      </w:r>
      <w:r>
        <w:rPr>
          <w:spacing w:val="-2"/>
        </w:rPr>
        <w:t>方航空公司。</w:t>
      </w:r>
      <w:r>
        <w:rPr>
          <w:rFonts w:ascii="Times New Roman" w:hAnsi="Times New Roman" w:cs="Times New Roman" w:eastAsia="Times New Roman" w:hint="default"/>
          <w:spacing w:val="-2"/>
        </w:rPr>
        <w:t>2011</w:t>
      </w:r>
      <w:r>
        <w:rPr>
          <w:spacing w:val="-2"/>
        </w:rPr>
        <w:t>年加入阿里巴巴集团起，李少华先生先后担任支付宝航旅事业部总经理、阿里巴巴集团</w:t>
      </w:r>
      <w:r>
        <w:rPr>
          <w:spacing w:val="-41"/>
        </w:rPr>
        <w:t> </w:t>
      </w:r>
      <w:r>
        <w:rPr>
          <w:spacing w:val="-41"/>
        </w:rPr>
      </w:r>
      <w:r>
        <w:rPr>
          <w:spacing w:val="-2"/>
        </w:rPr>
        <w:t>航旅事业部总经理、阿里巴巴集团航旅事业群（阿里旅行）总裁，现任阿里巴巴集团副总裁、乡村事业部</w:t>
      </w:r>
      <w:r>
        <w:rPr>
          <w:spacing w:val="-43"/>
        </w:rPr>
        <w:t> </w:t>
      </w:r>
      <w:r>
        <w:rPr>
          <w:spacing w:val="-43"/>
        </w:rPr>
      </w:r>
      <w:r>
        <w:rPr/>
        <w:t>总经理。现任本公司第六届董事会董事。</w:t>
      </w:r>
    </w:p>
    <w:p>
      <w:pPr>
        <w:pStyle w:val="BodyText"/>
        <w:spacing w:line="264" w:lineRule="auto" w:before="174"/>
        <w:ind w:right="0" w:firstLine="420"/>
        <w:jc w:val="left"/>
      </w:pPr>
      <w:r>
        <w:rPr>
          <w:rFonts w:ascii="宋体" w:hAnsi="宋体" w:cs="宋体" w:eastAsia="宋体" w:hint="default"/>
          <w:b/>
          <w:bCs/>
          <w:spacing w:val="-5"/>
        </w:rPr>
        <w:t>邹小杰</w:t>
      </w:r>
      <w:r>
        <w:rPr>
          <w:spacing w:val="-5"/>
        </w:rPr>
        <w:t>：男，出生于</w:t>
      </w:r>
      <w:r>
        <w:rPr>
          <w:rFonts w:ascii="Times New Roman" w:hAnsi="Times New Roman" w:cs="Times New Roman" w:eastAsia="Times New Roman" w:hint="default"/>
          <w:spacing w:val="-5"/>
        </w:rPr>
        <w:t>1964</w:t>
      </w:r>
      <w:r>
        <w:rPr>
          <w:spacing w:val="-5"/>
        </w:rPr>
        <w:t>年，中国公民，毕业于北京经济学院（现为首都经济贸易大学）贸易经济系，</w:t>
      </w:r>
      <w:r>
        <w:rPr>
          <w:w w:val="100"/>
        </w:rPr>
        <w:t> </w:t>
      </w:r>
      <w:r>
        <w:rPr>
          <w:spacing w:val="-2"/>
        </w:rPr>
        <w:t>经济学硕士。先后就职于广播电视部无线局、电子工业部第三研究所和中国科学器材进出口总公司从事科</w:t>
      </w:r>
      <w:r>
        <w:rPr>
          <w:spacing w:val="-43"/>
        </w:rPr>
        <w:t> </w:t>
      </w:r>
      <w:r>
        <w:rPr>
          <w:spacing w:val="-43"/>
        </w:rPr>
      </w:r>
      <w:r>
        <w:rPr/>
        <w:t>研、技术贸易和经营管理工作，现任北京广学文化教育开发中心主任，本公司第六届董事会独立董事。</w:t>
      </w:r>
    </w:p>
    <w:p>
      <w:pPr>
        <w:pStyle w:val="BodyText"/>
        <w:spacing w:line="268" w:lineRule="auto" w:before="172"/>
        <w:ind w:right="1100" w:firstLine="420"/>
        <w:jc w:val="both"/>
      </w:pPr>
      <w:r>
        <w:rPr>
          <w:rFonts w:ascii="宋体" w:hAnsi="宋体" w:cs="宋体" w:eastAsia="宋体" w:hint="default"/>
          <w:b/>
          <w:bCs/>
          <w:spacing w:val="-2"/>
        </w:rPr>
        <w:t>刘丹萍：</w:t>
      </w:r>
      <w:r>
        <w:rPr>
          <w:spacing w:val="-2"/>
        </w:rPr>
        <w:t>女，出生于</w:t>
      </w:r>
      <w:r>
        <w:rPr>
          <w:rFonts w:ascii="Times New Roman" w:hAnsi="Times New Roman" w:cs="Times New Roman" w:eastAsia="Times New Roman" w:hint="default"/>
          <w:spacing w:val="-2"/>
        </w:rPr>
        <w:t>1957</w:t>
      </w:r>
      <w:r>
        <w:rPr>
          <w:spacing w:val="-2"/>
        </w:rPr>
        <w:t>年，中国公民，毕业于北京经济学院经济系政治经济学专业，获学士学位。</w:t>
      </w:r>
      <w:r>
        <w:rPr>
          <w:w w:val="100"/>
        </w:rPr>
        <w:t> </w:t>
      </w:r>
      <w:r>
        <w:rPr>
          <w:spacing w:val="-2"/>
        </w:rPr>
        <w:t>曾任首都经济贸易大学马克思主义学院经济学教授及硕士生导师（退休），中国人民大学气候变化与低碳</w:t>
      </w:r>
      <w:r>
        <w:rPr>
          <w:spacing w:val="-42"/>
        </w:rPr>
        <w:t> </w:t>
      </w:r>
      <w:r>
        <w:rPr>
          <w:spacing w:val="-42"/>
        </w:rPr>
      </w:r>
      <w:r>
        <w:rPr>
          <w:spacing w:val="-2"/>
        </w:rPr>
        <w:t>经济研究所客座研究员，长期从事经济及金融等专业的研究和教学工作，曾任多家上市公司独立董事。现</w:t>
      </w:r>
      <w:r>
        <w:rPr>
          <w:spacing w:val="-43"/>
        </w:rPr>
        <w:t> </w:t>
      </w:r>
      <w:r>
        <w:rPr>
          <w:spacing w:val="-43"/>
        </w:rPr>
      </w:r>
      <w:r>
        <w:rPr>
          <w:spacing w:val="-2"/>
        </w:rPr>
        <w:t>任江苏扬子地板股份有限公司（未上市）独立董事，江苏国盛股份有限公司（未上市）独立董事，本公司</w:t>
      </w:r>
      <w:r>
        <w:rPr>
          <w:spacing w:val="-42"/>
        </w:rPr>
        <w:t> </w:t>
      </w:r>
      <w:r>
        <w:rPr>
          <w:spacing w:val="-42"/>
        </w:rPr>
      </w:r>
      <w:r>
        <w:rPr/>
        <w:t>第六届董事会独立董事。</w:t>
      </w:r>
    </w:p>
    <w:p>
      <w:pPr>
        <w:pStyle w:val="BodyText"/>
        <w:spacing w:line="261" w:lineRule="auto" w:before="168"/>
        <w:ind w:right="1126" w:firstLine="420"/>
        <w:jc w:val="both"/>
      </w:pPr>
      <w:r>
        <w:rPr>
          <w:rFonts w:ascii="宋体" w:hAnsi="宋体" w:cs="宋体" w:eastAsia="宋体" w:hint="default"/>
          <w:b/>
          <w:bCs/>
          <w:spacing w:val="-2"/>
        </w:rPr>
        <w:t>叶金福：</w:t>
      </w:r>
      <w:r>
        <w:rPr>
          <w:spacing w:val="-2"/>
        </w:rPr>
        <w:t>男，出生于</w:t>
      </w:r>
      <w:r>
        <w:rPr>
          <w:rFonts w:ascii="Times New Roman" w:hAnsi="Times New Roman" w:cs="Times New Roman" w:eastAsia="Times New Roman" w:hint="default"/>
          <w:spacing w:val="-2"/>
        </w:rPr>
        <w:t>1975</w:t>
      </w:r>
      <w:r>
        <w:rPr>
          <w:spacing w:val="-2"/>
        </w:rPr>
        <w:t>年，中国公民，毕业于厦门大学，后毕业于中央财经大学，会计硕士，中国</w:t>
      </w:r>
      <w:r>
        <w:rPr>
          <w:w w:val="100"/>
        </w:rPr>
        <w:t> </w:t>
      </w:r>
      <w:r>
        <w:rPr>
          <w:spacing w:val="-2"/>
        </w:rPr>
        <w:t>注册会计师、中国注册资产评估师。曾先后就职于聊城大学、天健光华会计师事务所、天健正信会计师事</w:t>
      </w:r>
      <w:r>
        <w:rPr>
          <w:spacing w:val="-50"/>
        </w:rPr>
        <w:t> </w:t>
      </w:r>
      <w:r>
        <w:rPr>
          <w:spacing w:val="-50"/>
        </w:rPr>
      </w:r>
      <w:r>
        <w:rPr/>
        <w:t>务所，</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月至今，在大华会计师事务所任职，合伙人。同时任北京数字政通科技股份有限公司独立</w:t>
      </w:r>
      <w:r>
        <w:rPr>
          <w:spacing w:val="-28"/>
        </w:rPr>
        <w:t> </w:t>
      </w:r>
      <w:r>
        <w:rPr>
          <w:spacing w:val="-28"/>
        </w:rPr>
      </w:r>
      <w:r>
        <w:rPr>
          <w:spacing w:val="-2"/>
        </w:rPr>
        <w:t>董事、利亚德光电股份有限公司独立董事、首创证券有限责任公司（未上市）独立董事、本公司第六届董</w:t>
      </w:r>
    </w:p>
    <w:p>
      <w:pPr>
        <w:spacing w:after="0" w:line="261"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40" w:lineRule="auto" w:before="36"/>
        <w:ind w:right="1133"/>
        <w:jc w:val="left"/>
      </w:pPr>
      <w:r>
        <w:rPr/>
        <w:t>事会独立董事。</w:t>
      </w:r>
    </w:p>
    <w:p>
      <w:pPr>
        <w:spacing w:line="240" w:lineRule="auto" w:before="10"/>
        <w:rPr>
          <w:rFonts w:ascii="宋体" w:hAnsi="宋体" w:cs="宋体" w:eastAsia="宋体" w:hint="default"/>
          <w:sz w:val="14"/>
          <w:szCs w:val="14"/>
        </w:rPr>
      </w:pPr>
    </w:p>
    <w:p>
      <w:pPr>
        <w:pStyle w:val="Heading7"/>
        <w:spacing w:line="240" w:lineRule="auto"/>
        <w:ind w:left="573" w:right="1133"/>
        <w:jc w:val="left"/>
        <w:rPr>
          <w:b w:val="0"/>
          <w:bCs w:val="0"/>
        </w:rPr>
      </w:pPr>
      <w:r>
        <w:rPr/>
        <w:t>（二）监事</w:t>
      </w:r>
      <w:r>
        <w:rPr>
          <w:b w:val="0"/>
          <w:bCs w:val="0"/>
        </w:rPr>
      </w:r>
    </w:p>
    <w:p>
      <w:pPr>
        <w:spacing w:line="240" w:lineRule="auto" w:before="10"/>
        <w:rPr>
          <w:rFonts w:ascii="宋体" w:hAnsi="宋体" w:cs="宋体" w:eastAsia="宋体" w:hint="default"/>
          <w:b/>
          <w:bCs/>
          <w:sz w:val="14"/>
          <w:szCs w:val="14"/>
        </w:rPr>
      </w:pPr>
    </w:p>
    <w:p>
      <w:pPr>
        <w:pStyle w:val="BodyText"/>
        <w:spacing w:line="256" w:lineRule="auto"/>
        <w:ind w:right="1126" w:firstLine="420"/>
        <w:jc w:val="both"/>
      </w:pPr>
      <w:r>
        <w:rPr>
          <w:rFonts w:ascii="宋体" w:hAnsi="宋体" w:cs="宋体" w:eastAsia="宋体" w:hint="default"/>
          <w:b/>
          <w:bCs/>
        </w:rPr>
        <w:t>郭</w:t>
      </w:r>
      <w:r>
        <w:rPr>
          <w:rFonts w:ascii="宋体" w:hAnsi="宋体" w:cs="宋体" w:eastAsia="宋体" w:hint="default"/>
          <w:b/>
          <w:bCs/>
          <w:spacing w:val="70"/>
        </w:rPr>
        <w:t> </w:t>
      </w:r>
      <w:r>
        <w:rPr>
          <w:rFonts w:ascii="宋体" w:hAnsi="宋体" w:cs="宋体" w:eastAsia="宋体" w:hint="default"/>
          <w:b/>
          <w:bCs/>
        </w:rPr>
        <w:t>明</w:t>
      </w:r>
      <w:r>
        <w:rPr/>
        <w:t>：男，出生于</w:t>
      </w:r>
      <w:r>
        <w:rPr>
          <w:rFonts w:ascii="Times New Roman" w:hAnsi="Times New Roman" w:cs="Times New Roman" w:eastAsia="Times New Roman" w:hint="default"/>
        </w:rPr>
        <w:t>1956</w:t>
      </w:r>
      <w:r>
        <w:rPr/>
        <w:t>年，经济师，大专学历，毕业于长春职工大学。</w:t>
      </w:r>
      <w:r>
        <w:rPr>
          <w:rFonts w:ascii="Times New Roman" w:hAnsi="Times New Roman" w:cs="Times New Roman" w:eastAsia="Times New Roman" w:hint="default"/>
        </w:rPr>
        <w:t>1977</w:t>
      </w:r>
      <w:r>
        <w:rPr/>
        <w:t>年起先后任职于长春市</w:t>
      </w:r>
      <w:r>
        <w:rPr>
          <w:w w:val="100"/>
        </w:rPr>
        <w:t> </w:t>
      </w:r>
      <w:r>
        <w:rPr>
          <w:spacing w:val="-2"/>
        </w:rPr>
        <w:t>电车公司、长春市公共交通总公司、长春市煤气公司东郊煤气厂。自</w:t>
      </w:r>
      <w:r>
        <w:rPr>
          <w:rFonts w:ascii="Times New Roman" w:hAnsi="Times New Roman" w:cs="Times New Roman" w:eastAsia="Times New Roman" w:hint="default"/>
          <w:spacing w:val="-2"/>
        </w:rPr>
        <w:t>1993</w:t>
      </w:r>
      <w:r>
        <w:rPr>
          <w:spacing w:val="-2"/>
        </w:rPr>
        <w:t>年起先后参与长春振兴实业股份</w:t>
      </w:r>
      <w:r>
        <w:rPr>
          <w:spacing w:val="-42"/>
        </w:rPr>
        <w:t> </w:t>
      </w:r>
      <w:r>
        <w:rPr>
          <w:spacing w:val="-42"/>
        </w:rPr>
      </w:r>
      <w:r>
        <w:rPr>
          <w:spacing w:val="-2"/>
        </w:rPr>
        <w:t>有限公司、长春康达医疗器械股份有限公司的股份制改造及上市工作，曾任董事会秘书、总经济师；</w:t>
      </w:r>
      <w:r>
        <w:rPr>
          <w:rFonts w:ascii="Times New Roman" w:hAnsi="Times New Roman" w:cs="Times New Roman" w:eastAsia="Times New Roman" w:hint="default"/>
          <w:spacing w:val="-2"/>
        </w:rPr>
        <w:t>1999</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年起任长春燃气股份有限公司董事、证券投资部经理，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月历任本公司董事、副总经</w:t>
      </w:r>
      <w:r>
        <w:rPr>
          <w:spacing w:val="-29"/>
        </w:rPr>
        <w:t> </w:t>
      </w:r>
      <w:r>
        <w:rPr>
          <w:spacing w:val="-29"/>
        </w:rPr>
      </w:r>
      <w:r>
        <w:rPr/>
        <w:t>理、董事会秘书，现任本公司第六届监事会主席。</w:t>
      </w:r>
    </w:p>
    <w:p>
      <w:pPr>
        <w:pStyle w:val="BodyText"/>
        <w:spacing w:line="256" w:lineRule="auto" w:before="63"/>
        <w:ind w:right="1126" w:firstLine="420"/>
        <w:jc w:val="both"/>
      </w:pPr>
      <w:r>
        <w:rPr>
          <w:rFonts w:ascii="宋体" w:hAnsi="宋体" w:cs="宋体" w:eastAsia="宋体" w:hint="default"/>
          <w:b/>
          <w:bCs/>
          <w:spacing w:val="-2"/>
        </w:rPr>
        <w:t>张广杰</w:t>
      </w:r>
      <w:r>
        <w:rPr>
          <w:spacing w:val="-2"/>
        </w:rPr>
        <w:t>：男，出生于</w:t>
      </w:r>
      <w:r>
        <w:rPr>
          <w:rFonts w:ascii="Times New Roman" w:hAnsi="Times New Roman" w:cs="Times New Roman" w:eastAsia="Times New Roman" w:hint="default"/>
          <w:spacing w:val="-2"/>
        </w:rPr>
        <w:t>1960</w:t>
      </w:r>
      <w:r>
        <w:rPr>
          <w:spacing w:val="-2"/>
        </w:rPr>
        <w:t>年，毕业于首都师范大学数学系，先后就职于航天工业部第二研究院二零七</w:t>
      </w:r>
      <w:r>
        <w:rPr>
          <w:w w:val="100"/>
        </w:rPr>
        <w:t> </w:t>
      </w:r>
      <w:r>
        <w:rPr>
          <w:spacing w:val="-2"/>
        </w:rPr>
        <w:t>所、北京香格里拉大饭店，任助理工程师、电脑部经理。自</w:t>
      </w:r>
      <w:r>
        <w:rPr>
          <w:rFonts w:ascii="Times New Roman" w:hAnsi="Times New Roman" w:cs="Times New Roman" w:eastAsia="Times New Roman" w:hint="default"/>
          <w:spacing w:val="-2"/>
        </w:rPr>
        <w:t>2001</w:t>
      </w:r>
      <w:r>
        <w:rPr>
          <w:spacing w:val="-2"/>
        </w:rPr>
        <w:t>年起在北京中长石基信息技术股份有限公</w:t>
      </w:r>
      <w:r>
        <w:rPr>
          <w:spacing w:val="-42"/>
        </w:rPr>
        <w:t> </w:t>
      </w:r>
      <w:r>
        <w:rPr>
          <w:spacing w:val="-42"/>
        </w:rPr>
      </w:r>
      <w:r>
        <w:rPr/>
        <w:t>司就职，现任本公司第六届监事会监事。</w:t>
      </w:r>
    </w:p>
    <w:p>
      <w:pPr>
        <w:pStyle w:val="BodyText"/>
        <w:spacing w:line="256" w:lineRule="auto" w:before="61"/>
        <w:ind w:right="0" w:firstLine="420"/>
        <w:jc w:val="left"/>
      </w:pPr>
      <w:r>
        <w:rPr>
          <w:rFonts w:ascii="宋体" w:hAnsi="宋体" w:cs="宋体" w:eastAsia="宋体" w:hint="default"/>
          <w:b/>
          <w:bCs/>
          <w:spacing w:val="-4"/>
        </w:rPr>
        <w:t>王淑杰</w:t>
      </w:r>
      <w:r>
        <w:rPr>
          <w:spacing w:val="-4"/>
        </w:rPr>
        <w:t>：女，出生于</w:t>
      </w:r>
      <w:r>
        <w:rPr>
          <w:rFonts w:ascii="Times New Roman" w:hAnsi="Times New Roman" w:cs="Times New Roman" w:eastAsia="Times New Roman" w:hint="default"/>
          <w:spacing w:val="-4"/>
        </w:rPr>
        <w:t>1968</w:t>
      </w:r>
      <w:r>
        <w:rPr>
          <w:spacing w:val="-4"/>
        </w:rPr>
        <w:t>年，硕士学位，</w:t>
      </w:r>
      <w:r>
        <w:rPr>
          <w:rFonts w:ascii="Times New Roman" w:hAnsi="Times New Roman" w:cs="Times New Roman" w:eastAsia="Times New Roman" w:hint="default"/>
          <w:spacing w:val="-4"/>
        </w:rPr>
        <w:t>1991</w:t>
      </w:r>
      <w:r>
        <w:rPr>
          <w:spacing w:val="-4"/>
        </w:rPr>
        <w:t>年毕业于北京航空航天大学机械制造专业，获学士学位。</w:t>
      </w:r>
      <w:r>
        <w:rPr>
          <w:w w:val="100"/>
        </w:rPr>
        <w:t> </w:t>
      </w:r>
      <w:r>
        <w:rPr>
          <w:rFonts w:ascii="Times New Roman" w:hAnsi="Times New Roman" w:cs="Times New Roman" w:eastAsia="Times New Roman" w:hint="default"/>
          <w:spacing w:val="-2"/>
        </w:rPr>
        <w:t>1991</w:t>
      </w:r>
      <w:r>
        <w:rPr>
          <w:spacing w:val="-2"/>
        </w:rPr>
        <w:t>年至</w:t>
      </w:r>
      <w:r>
        <w:rPr>
          <w:rFonts w:ascii="Times New Roman" w:hAnsi="Times New Roman" w:cs="Times New Roman" w:eastAsia="Times New Roman" w:hint="default"/>
          <w:spacing w:val="-2"/>
        </w:rPr>
        <w:t>1994</w:t>
      </w:r>
      <w:r>
        <w:rPr>
          <w:spacing w:val="-2"/>
        </w:rPr>
        <w:t>年在中国航天工业总公司第二研究院从事机械设计工作，</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1997</w:t>
      </w:r>
      <w:r>
        <w:rPr>
          <w:spacing w:val="-2"/>
        </w:rPr>
        <w:t>年工作于北京商品交</w:t>
      </w:r>
      <w:r>
        <w:rPr>
          <w:spacing w:val="-29"/>
        </w:rPr>
        <w:t> </w:t>
      </w:r>
      <w:r>
        <w:rPr>
          <w:spacing w:val="-29"/>
        </w:rPr>
      </w:r>
      <w:r>
        <w:rPr>
          <w:spacing w:val="-2"/>
        </w:rPr>
        <w:t>易所，</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2000</w:t>
      </w:r>
      <w:r>
        <w:rPr>
          <w:spacing w:val="-2"/>
        </w:rPr>
        <w:t>年在首都经济贸易大学经济系研究生班学习并毕业，自</w:t>
      </w:r>
      <w:r>
        <w:rPr>
          <w:rFonts w:ascii="Times New Roman" w:hAnsi="Times New Roman" w:cs="Times New Roman" w:eastAsia="Times New Roman" w:hint="default"/>
          <w:spacing w:val="-2"/>
        </w:rPr>
        <w:t>1998</w:t>
      </w:r>
      <w:r>
        <w:rPr>
          <w:spacing w:val="-2"/>
        </w:rPr>
        <w:t>年起就职于本公司，从事</w:t>
      </w:r>
      <w:r>
        <w:rPr>
          <w:spacing w:val="-36"/>
        </w:rPr>
        <w:t> </w:t>
      </w:r>
      <w:r>
        <w:rPr>
          <w:spacing w:val="-36"/>
        </w:rPr>
      </w:r>
      <w:r>
        <w:rPr>
          <w:spacing w:val="-5"/>
        </w:rPr>
        <w:t>客户服务工作，历任本公司第三届、第四届、第五届监事会职工监事，现任本公司第六届监事会职工监事。</w:t>
      </w:r>
    </w:p>
    <w:p>
      <w:pPr>
        <w:spacing w:line="240" w:lineRule="auto" w:before="11"/>
        <w:rPr>
          <w:rFonts w:ascii="宋体" w:hAnsi="宋体" w:cs="宋体" w:eastAsia="宋体" w:hint="default"/>
          <w:sz w:val="13"/>
          <w:szCs w:val="13"/>
        </w:rPr>
      </w:pPr>
    </w:p>
    <w:p>
      <w:pPr>
        <w:pStyle w:val="Heading7"/>
        <w:spacing w:line="240" w:lineRule="auto"/>
        <w:ind w:left="573" w:right="1133"/>
        <w:jc w:val="left"/>
        <w:rPr>
          <w:b w:val="0"/>
          <w:bCs w:val="0"/>
        </w:rPr>
      </w:pPr>
      <w:r>
        <w:rPr/>
        <w:t>（三）高级管理人员</w:t>
      </w:r>
      <w:r>
        <w:rPr>
          <w:b w:val="0"/>
          <w:bCs w:val="0"/>
        </w:rPr>
      </w:r>
    </w:p>
    <w:p>
      <w:pPr>
        <w:spacing w:line="240" w:lineRule="auto" w:before="8"/>
        <w:rPr>
          <w:rFonts w:ascii="宋体" w:hAnsi="宋体" w:cs="宋体" w:eastAsia="宋体" w:hint="default"/>
          <w:b/>
          <w:bCs/>
          <w:sz w:val="14"/>
          <w:szCs w:val="14"/>
        </w:rPr>
      </w:pPr>
    </w:p>
    <w:p>
      <w:pPr>
        <w:pStyle w:val="BodyText"/>
        <w:spacing w:line="256" w:lineRule="auto"/>
        <w:ind w:right="1128" w:firstLine="420"/>
        <w:jc w:val="both"/>
      </w:pPr>
      <w:r>
        <w:rPr>
          <w:rFonts w:ascii="Times New Roman" w:hAnsi="Times New Roman" w:cs="Times New Roman" w:eastAsia="Times New Roman" w:hint="default"/>
          <w:b/>
          <w:bCs/>
        </w:rPr>
        <w:t>Kevin Patrick King:</w:t>
      </w:r>
      <w:r>
        <w:rPr>
          <w:rFonts w:ascii="Times New Roman" w:hAnsi="Times New Roman" w:cs="Times New Roman" w:eastAsia="Times New Roman" w:hint="default"/>
          <w:b/>
          <w:bCs/>
          <w:spacing w:val="17"/>
        </w:rPr>
        <w:t> </w:t>
      </w:r>
      <w:r>
        <w:rPr/>
        <w:t>中文名：金凯文，男，出生于</w:t>
      </w:r>
      <w:r>
        <w:rPr>
          <w:rFonts w:ascii="Times New Roman" w:hAnsi="Times New Roman" w:cs="Times New Roman" w:eastAsia="Times New Roman" w:hint="default"/>
        </w:rPr>
        <w:t>1962</w:t>
      </w:r>
      <w:r>
        <w:rPr/>
        <w:t>年，国籍：澳大利亚，曾任职于</w:t>
      </w:r>
      <w:r>
        <w:rPr>
          <w:rFonts w:ascii="Times New Roman" w:hAnsi="Times New Roman" w:cs="Times New Roman" w:eastAsia="Times New Roman" w:hint="default"/>
        </w:rPr>
        <w:t>MICROS</w:t>
      </w:r>
      <w:r>
        <w:rPr/>
        <w:t>公司</w:t>
      </w:r>
      <w:r>
        <w:rPr>
          <w:w w:val="100"/>
        </w:rPr>
        <w:t> </w:t>
      </w:r>
      <w:r>
        <w:rPr/>
        <w:t>亚太区副总裁以及日本公司董事总经理并担任其中国公司和日本公司的法定代表人，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日至今</w:t>
      </w:r>
      <w:r>
        <w:rPr>
          <w:spacing w:val="-25"/>
        </w:rPr>
        <w:t> </w:t>
      </w:r>
      <w:r>
        <w:rPr/>
        <w:t>担任公司首席运营官。</w:t>
      </w:r>
    </w:p>
    <w:p>
      <w:pPr>
        <w:pStyle w:val="BodyText"/>
        <w:spacing w:line="256" w:lineRule="auto" w:before="63"/>
        <w:ind w:right="1107" w:firstLine="420"/>
        <w:jc w:val="both"/>
      </w:pPr>
      <w:r>
        <w:rPr>
          <w:rFonts w:ascii="宋体" w:hAnsi="宋体" w:cs="宋体" w:eastAsia="宋体" w:hint="default"/>
          <w:b/>
          <w:bCs/>
        </w:rPr>
        <w:t>关东玉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0"/>
        </w:rPr>
        <w:t> </w:t>
      </w:r>
      <w:r>
        <w:rPr>
          <w:spacing w:val="-3"/>
        </w:rPr>
        <w:t>男，出生于</w:t>
      </w:r>
      <w:r>
        <w:rPr>
          <w:rFonts w:ascii="Times New Roman" w:hAnsi="Times New Roman" w:cs="Times New Roman" w:eastAsia="Times New Roman" w:hint="default"/>
          <w:spacing w:val="-3"/>
        </w:rPr>
        <w:t>1963</w:t>
      </w:r>
      <w:r>
        <w:rPr>
          <w:spacing w:val="-3"/>
        </w:rPr>
        <w:t>年，中国公民，学士学位，毕业于国防科技大学电子技术系。</w:t>
      </w:r>
      <w:r>
        <w:rPr>
          <w:rFonts w:ascii="Times New Roman" w:hAnsi="Times New Roman" w:cs="Times New Roman" w:eastAsia="Times New Roman" w:hint="default"/>
          <w:spacing w:val="-3"/>
        </w:rPr>
        <w:t>1984</w:t>
      </w:r>
      <w:r>
        <w:rPr>
          <w:spacing w:val="-3"/>
        </w:rPr>
        <w:t>年</w:t>
      </w:r>
      <w:r>
        <w:rPr>
          <w:rFonts w:ascii="Times New Roman" w:hAnsi="Times New Roman" w:cs="Times New Roman" w:eastAsia="Times New Roman" w:hint="default"/>
          <w:spacing w:val="-3"/>
        </w:rPr>
        <w:t>-1988</w:t>
      </w:r>
      <w:r>
        <w:rPr>
          <w:spacing w:val="-3"/>
        </w:rPr>
        <w:t>年</w:t>
      </w:r>
      <w:r>
        <w:rPr>
          <w:w w:val="100"/>
        </w:rPr>
        <w:t> </w:t>
      </w:r>
      <w:r>
        <w:rPr>
          <w:spacing w:val="-2"/>
        </w:rPr>
        <w:t>任职于空军科研部某研究所，</w:t>
      </w:r>
      <w:r>
        <w:rPr>
          <w:rFonts w:ascii="Times New Roman" w:hAnsi="Times New Roman" w:cs="Times New Roman" w:eastAsia="Times New Roman" w:hint="default"/>
          <w:spacing w:val="-2"/>
        </w:rPr>
        <w:t>1988</w:t>
      </w:r>
      <w:r>
        <w:rPr>
          <w:spacing w:val="-2"/>
        </w:rPr>
        <w:t>年至</w:t>
      </w:r>
      <w:r>
        <w:rPr>
          <w:rFonts w:ascii="Times New Roman" w:hAnsi="Times New Roman" w:cs="Times New Roman" w:eastAsia="Times New Roman" w:hint="default"/>
          <w:spacing w:val="-2"/>
        </w:rPr>
        <w:t>1997</w:t>
      </w:r>
      <w:r>
        <w:rPr>
          <w:spacing w:val="-2"/>
        </w:rPr>
        <w:t>年期间先后任北京丽都假日酒店电脑部工程师、香港锦标公司</w:t>
      </w:r>
      <w:r>
        <w:rPr>
          <w:spacing w:val="-35"/>
        </w:rPr>
        <w:t> </w:t>
      </w:r>
      <w:r>
        <w:rPr>
          <w:spacing w:val="-35"/>
        </w:rPr>
      </w:r>
      <w:r>
        <w:rPr>
          <w:spacing w:val="-2"/>
        </w:rPr>
        <w:t>工程师及中国区经理、香港鑫宇公司中国区经理。</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2008</w:t>
      </w:r>
      <w:r>
        <w:rPr>
          <w:spacing w:val="-2"/>
        </w:rPr>
        <w:t>年任香港现化电脑系统有限公司中国区副</w:t>
      </w:r>
      <w:r>
        <w:rPr>
          <w:spacing w:val="-39"/>
        </w:rPr>
        <w:t> </w:t>
      </w:r>
      <w:r>
        <w:rPr>
          <w:spacing w:val="-39"/>
        </w:rPr>
      </w:r>
      <w:r>
        <w:rPr>
          <w:spacing w:val="-2"/>
        </w:rPr>
        <w:t>总经理、香港现化电脑系统有限公司北京代表处首席代表，</w:t>
      </w:r>
      <w:r>
        <w:rPr>
          <w:rFonts w:ascii="Times New Roman" w:hAnsi="Times New Roman" w:cs="Times New Roman" w:eastAsia="Times New Roman" w:hint="default"/>
          <w:spacing w:val="-2"/>
        </w:rPr>
        <w:t>2008</w:t>
      </w:r>
      <w:r>
        <w:rPr>
          <w:spacing w:val="-2"/>
        </w:rPr>
        <w:t>年至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11</w:t>
      </w:r>
      <w:r>
        <w:rPr>
          <w:spacing w:val="-2"/>
        </w:rPr>
        <w:t>月任现化电脑系统（北京）</w:t>
      </w:r>
      <w:r>
        <w:rPr>
          <w:spacing w:val="-15"/>
        </w:rPr>
        <w:t> </w:t>
      </w:r>
      <w:r>
        <w:rPr>
          <w:spacing w:val="-15"/>
        </w:rPr>
      </w:r>
      <w:r>
        <w:rPr/>
        <w:t>有限公司副总裁，</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月至今担任公司副总裁。</w:t>
      </w:r>
    </w:p>
    <w:p>
      <w:pPr>
        <w:pStyle w:val="BodyText"/>
        <w:spacing w:line="256" w:lineRule="auto" w:before="46"/>
        <w:ind w:right="1126" w:firstLine="420"/>
        <w:jc w:val="both"/>
      </w:pPr>
      <w:r>
        <w:rPr>
          <w:rFonts w:ascii="宋体" w:hAnsi="宋体" w:cs="宋体" w:eastAsia="宋体" w:hint="default"/>
          <w:b/>
          <w:bCs/>
        </w:rPr>
        <w:t>王敏敏</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0"/>
        </w:rPr>
        <w:t> </w:t>
      </w:r>
      <w:r>
        <w:rPr>
          <w:spacing w:val="-10"/>
        </w:rPr>
        <w:t>女，出生于</w:t>
      </w:r>
      <w:r>
        <w:rPr>
          <w:rFonts w:ascii="Times New Roman" w:hAnsi="Times New Roman" w:cs="Times New Roman" w:eastAsia="Times New Roman" w:hint="default"/>
          <w:spacing w:val="-10"/>
        </w:rPr>
        <w:t>1962</w:t>
      </w:r>
      <w:r>
        <w:rPr>
          <w:spacing w:val="-10"/>
        </w:rPr>
        <w:t>年，中国公民，学士学位，</w:t>
      </w:r>
      <w:r>
        <w:rPr>
          <w:rFonts w:ascii="Times New Roman" w:hAnsi="Times New Roman" w:cs="Times New Roman" w:eastAsia="Times New Roman" w:hint="default"/>
          <w:spacing w:val="-10"/>
        </w:rPr>
        <w:t>1983</w:t>
      </w:r>
      <w:r>
        <w:rPr>
          <w:spacing w:val="-10"/>
        </w:rPr>
        <w:t>年毕业于东北大学计算机科学系。</w:t>
      </w:r>
      <w:r>
        <w:rPr>
          <w:rFonts w:ascii="Times New Roman" w:hAnsi="Times New Roman" w:cs="Times New Roman" w:eastAsia="Times New Roman" w:hint="default"/>
          <w:spacing w:val="-10"/>
        </w:rPr>
        <w:t>1983</w:t>
      </w:r>
      <w:r>
        <w:rPr>
          <w:spacing w:val="-10"/>
        </w:rPr>
        <w:t>年</w:t>
      </w:r>
      <w:r>
        <w:rPr>
          <w:rFonts w:ascii="Times New Roman" w:hAnsi="Times New Roman" w:cs="Times New Roman" w:eastAsia="Times New Roman" w:hint="default"/>
          <w:spacing w:val="-10"/>
        </w:rPr>
        <w:t>—</w:t>
      </w:r>
      <w:r>
        <w:rPr>
          <w:rFonts w:ascii="Times New Roman" w:hAnsi="Times New Roman" w:cs="Times New Roman" w:eastAsia="Times New Roman" w:hint="default"/>
          <w:spacing w:val="-10"/>
        </w:rPr>
        <w:t>1997</w:t>
      </w:r>
      <w:r>
        <w:rPr>
          <w:rFonts w:ascii="Times New Roman" w:hAnsi="Times New Roman" w:cs="Times New Roman" w:eastAsia="Times New Roman" w:hint="default"/>
          <w:w w:val="100"/>
        </w:rPr>
        <w:t> </w:t>
      </w:r>
      <w:r>
        <w:rPr>
          <w:spacing w:val="-2"/>
        </w:rPr>
        <w:t>年任职于浙江省计算技术研究所，</w:t>
      </w:r>
      <w:r>
        <w:rPr>
          <w:rFonts w:ascii="Times New Roman" w:hAnsi="Times New Roman" w:cs="Times New Roman" w:eastAsia="Times New Roman" w:hint="default"/>
          <w:spacing w:val="-2"/>
        </w:rPr>
        <w:t>1998</w:t>
      </w:r>
      <w:r>
        <w:rPr>
          <w:spacing w:val="-2"/>
        </w:rPr>
        <w:t>年至今先后任杭州西软科技有限公司常务副总经理、总经理。</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年</w:t>
      </w:r>
      <w:r>
        <w:rPr>
          <w:rFonts w:ascii="Times New Roman" w:hAnsi="Times New Roman" w:cs="Times New Roman" w:eastAsia="Times New Roman" w:hint="default"/>
        </w:rPr>
        <w:t>1</w:t>
      </w:r>
      <w:r>
        <w:rPr/>
        <w:t>月至今担任本公司副总裁。</w:t>
      </w:r>
    </w:p>
    <w:p>
      <w:pPr>
        <w:pStyle w:val="BodyText"/>
        <w:spacing w:line="256" w:lineRule="auto" w:before="43"/>
        <w:ind w:right="1129" w:firstLine="420"/>
        <w:jc w:val="both"/>
      </w:pPr>
      <w:r>
        <w:rPr>
          <w:rFonts w:ascii="宋体" w:hAnsi="宋体" w:cs="宋体" w:eastAsia="宋体" w:hint="default"/>
          <w:b/>
          <w:bCs/>
        </w:rPr>
        <w:t>罗 芳</w:t>
      </w:r>
      <w:r>
        <w:rPr>
          <w:rFonts w:ascii="Times New Roman" w:hAnsi="Times New Roman" w:cs="Times New Roman" w:eastAsia="Times New Roman" w:hint="default"/>
          <w:b/>
          <w:bCs/>
        </w:rPr>
        <w:t>: </w:t>
      </w:r>
      <w:r>
        <w:rPr/>
        <w:t>女，出生于 </w:t>
      </w:r>
      <w:r>
        <w:rPr>
          <w:rFonts w:ascii="Times New Roman" w:hAnsi="Times New Roman" w:cs="Times New Roman" w:eastAsia="Times New Roman" w:hint="default"/>
        </w:rPr>
        <w:t>1978</w:t>
      </w:r>
      <w:r>
        <w:rPr>
          <w:rFonts w:ascii="Times New Roman" w:hAnsi="Times New Roman" w:cs="Times New Roman" w:eastAsia="Times New Roman" w:hint="default"/>
          <w:spacing w:val="52"/>
        </w:rPr>
        <w:t> </w:t>
      </w:r>
      <w:r>
        <w:rPr/>
        <w:t>年，中国公民，理学、经济学双学士，副研究员。毕业于北京大学技术物</w:t>
      </w:r>
      <w:r>
        <w:rPr>
          <w:w w:val="100"/>
        </w:rPr>
        <w:t> </w:t>
      </w:r>
      <w:r>
        <w:rPr>
          <w:spacing w:val="-2"/>
        </w:rPr>
        <w:t>理系应用化学专业、北京大学中国经济研究中心经济学专业。</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月就职于中国核科技信</w:t>
      </w:r>
      <w:r>
        <w:rPr>
          <w:spacing w:val="-36"/>
        </w:rPr>
        <w:t> </w:t>
      </w:r>
      <w:r>
        <w:rPr>
          <w:spacing w:val="-36"/>
        </w:rPr>
      </w:r>
      <w:r>
        <w:rPr/>
        <w:t>息与经济研究院，从事核科技情报研究工作。具有深圳证券交易所颁发的董事会秘书资格证书。</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29"/>
        </w:rPr>
        <w:t> </w:t>
      </w:r>
      <w:r>
        <w:rPr/>
        <w:t>月至今担任本公司副总裁、董事会秘书。</w:t>
      </w:r>
    </w:p>
    <w:p>
      <w:pPr>
        <w:spacing w:line="240" w:lineRule="auto" w:before="0"/>
        <w:rPr>
          <w:rFonts w:ascii="宋体" w:hAnsi="宋体" w:cs="宋体" w:eastAsia="宋体" w:hint="default"/>
          <w:sz w:val="20"/>
          <w:szCs w:val="20"/>
        </w:rPr>
      </w:pPr>
    </w:p>
    <w:p>
      <w:pPr>
        <w:spacing w:before="175"/>
        <w:ind w:left="152" w:right="1133"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2"/>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2878"/>
        <w:gridCol w:w="1133"/>
        <w:gridCol w:w="1587"/>
        <w:gridCol w:w="1361"/>
        <w:gridCol w:w="1376"/>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9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08"/>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4"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李少华</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汇通达网络股份有限公司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李少华</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浙江蔚游网络技术有限公司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李殿坤</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北京业勤教育科技有限公司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34"/>
        <w:gridCol w:w="2878"/>
        <w:gridCol w:w="1133"/>
        <w:gridCol w:w="1587"/>
        <w:gridCol w:w="1361"/>
        <w:gridCol w:w="1376"/>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邹小杰</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北京广学文化教育开发中心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江苏扬子地板股份有限公司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江苏国盛股份有限公司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利亚德光电股份有限公司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首创证券有限责任公司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266" w:lineRule="auto" w:before="94"/>
        <w:ind w:right="1133" w:firstLine="420"/>
        <w:jc w:val="left"/>
      </w:pPr>
      <w:r>
        <w:rPr>
          <w:rFonts w:ascii="Times New Roman" w:hAnsi="Times New Roman" w:cs="Times New Roman" w:eastAsia="Times New Roman" w:hint="default"/>
        </w:rPr>
        <w:t>1</w:t>
      </w:r>
      <w:r>
        <w:rPr/>
        <w:t>、董事、监事、高级管理人员报酬的决策程序：公司设立董事会薪酬委员会，负责公司董事、监事</w:t>
      </w:r>
      <w:r>
        <w:rPr>
          <w:w w:val="100"/>
        </w:rPr>
        <w:t> </w:t>
      </w:r>
      <w:r>
        <w:rPr>
          <w:spacing w:val="-2"/>
        </w:rPr>
        <w:t>和高级管理人员的薪酬考核工作。根据公司《董事会薪酬委员会工作细则》的规定，薪酬委员会提出公司</w:t>
      </w:r>
      <w:r>
        <w:rPr>
          <w:spacing w:val="-47"/>
        </w:rPr>
        <w:t> </w:t>
      </w:r>
      <w:r>
        <w:rPr>
          <w:spacing w:val="-47"/>
        </w:rPr>
      </w:r>
      <w:r>
        <w:rPr>
          <w:spacing w:val="-2"/>
        </w:rPr>
        <w:t>董事的薪酬政策、计划和方案报经董事会同意后，提交股东大会审议通过后方可实施；公司经理人员的薪</w:t>
      </w:r>
      <w:r>
        <w:rPr>
          <w:spacing w:val="-44"/>
        </w:rPr>
        <w:t> </w:t>
      </w:r>
      <w:r>
        <w:rPr>
          <w:spacing w:val="-44"/>
        </w:rPr>
      </w:r>
      <w:r>
        <w:rPr/>
        <w:t>酬分配方案报经董事会批准。</w:t>
      </w:r>
    </w:p>
    <w:p>
      <w:pPr>
        <w:pStyle w:val="BodyText"/>
        <w:spacing w:line="256" w:lineRule="auto" w:before="55"/>
        <w:ind w:right="1133" w:firstLine="420"/>
        <w:jc w:val="left"/>
      </w:pPr>
      <w:r>
        <w:rPr>
          <w:rFonts w:ascii="Times New Roman" w:hAnsi="Times New Roman" w:cs="Times New Roman" w:eastAsia="Times New Roman" w:hint="default"/>
          <w:spacing w:val="-2"/>
        </w:rPr>
        <w:t>2</w:t>
      </w:r>
      <w:r>
        <w:rPr>
          <w:spacing w:val="-2"/>
        </w:rPr>
        <w:t>、高级管理人员报酬确定依据：公司高级管理人员的报酬根据公司《高级管人员薪酬考核制度》的</w:t>
      </w:r>
      <w:r>
        <w:rPr>
          <w:w w:val="100"/>
        </w:rPr>
        <w:t> </w:t>
      </w:r>
      <w:r>
        <w:rPr/>
        <w:t>规定执行。</w:t>
      </w:r>
    </w:p>
    <w:p>
      <w:pPr>
        <w:pStyle w:val="BodyText"/>
        <w:spacing w:line="256" w:lineRule="auto" w:before="63"/>
        <w:ind w:right="1133" w:firstLine="420"/>
        <w:jc w:val="left"/>
      </w:pPr>
      <w:r>
        <w:rPr>
          <w:rFonts w:ascii="Times New Roman" w:hAnsi="Times New Roman" w:cs="Times New Roman" w:eastAsia="Times New Roman" w:hint="default"/>
          <w:spacing w:val="-2"/>
        </w:rPr>
        <w:t>3</w:t>
      </w:r>
      <w:r>
        <w:rPr>
          <w:spacing w:val="-2"/>
        </w:rPr>
        <w:t>、董事、监事、高级管理人员报酬实际支付情况：</w:t>
      </w:r>
      <w:r>
        <w:rPr>
          <w:rFonts w:ascii="Times New Roman" w:hAnsi="Times New Roman" w:cs="Times New Roman" w:eastAsia="Times New Roman" w:hint="default"/>
          <w:spacing w:val="-2"/>
        </w:rPr>
        <w:t>2018</w:t>
      </w:r>
      <w:r>
        <w:rPr>
          <w:spacing w:val="-2"/>
        </w:rPr>
        <w:t>年度公司实际支付董事、监事、高级管理人</w:t>
      </w:r>
      <w:r>
        <w:rPr>
          <w:w w:val="100"/>
        </w:rPr>
        <w:t> </w:t>
      </w:r>
      <w:r>
        <w:rPr/>
        <w:t>员的薪酬合计为</w:t>
      </w:r>
      <w:r>
        <w:rPr>
          <w:rFonts w:ascii="Times New Roman" w:hAnsi="Times New Roman" w:cs="Times New Roman" w:eastAsia="Times New Roman" w:hint="default"/>
        </w:rPr>
        <w:t>822.17</w:t>
      </w:r>
      <w:r>
        <w:rPr/>
        <w:t>万元。</w:t>
      </w:r>
    </w:p>
    <w:p>
      <w:pPr>
        <w:spacing w:line="240" w:lineRule="auto" w:before="6"/>
        <w:rPr>
          <w:rFonts w:ascii="宋体" w:hAnsi="宋体" w:cs="宋体" w:eastAsia="宋体" w:hint="default"/>
          <w:sz w:val="28"/>
          <w:szCs w:val="28"/>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668"/>
        <w:gridCol w:w="991"/>
        <w:gridCol w:w="994"/>
        <w:gridCol w:w="1844"/>
        <w:gridCol w:w="2341"/>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8" w:right="105" w:hanging="541"/>
              <w:jc w:val="left"/>
              <w:rPr>
                <w:rFonts w:ascii="宋体" w:hAnsi="宋体" w:cs="宋体" w:eastAsia="宋体" w:hint="default"/>
                <w:sz w:val="18"/>
                <w:szCs w:val="18"/>
              </w:rPr>
            </w:pPr>
            <w:r>
              <w:rPr>
                <w:rFonts w:ascii="宋体" w:hAnsi="宋体" w:cs="宋体" w:eastAsia="宋体" w:hint="default"/>
                <w:sz w:val="18"/>
                <w:szCs w:val="18"/>
              </w:rPr>
              <w:t>从公司获得的税前报 酬总额</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2"/>
              <w:jc w:val="right"/>
              <w:rPr>
                <w:rFonts w:ascii="宋体" w:hAnsi="宋体" w:cs="宋体" w:eastAsia="宋体" w:hint="default"/>
                <w:sz w:val="18"/>
                <w:szCs w:val="18"/>
              </w:rPr>
            </w:pPr>
            <w:r>
              <w:rPr>
                <w:rFonts w:ascii="宋体" w:hAnsi="宋体" w:cs="宋体" w:eastAsia="宋体" w:hint="default"/>
                <w:sz w:val="18"/>
                <w:szCs w:val="18"/>
              </w:rPr>
              <w:t>是否在公司关联方获取报酬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董事长兼总裁</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9.97</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赖德源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董事、副总裁、 财务总监</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119.71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李少华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邹小杰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36"/>
              <w:jc w:val="left"/>
              <w:rPr>
                <w:rFonts w:ascii="Times New Roman" w:hAnsi="Times New Roman" w:cs="Times New Roman" w:eastAsia="Times New Roman" w:hint="default"/>
                <w:sz w:val="18"/>
                <w:szCs w:val="18"/>
              </w:rPr>
            </w:pPr>
            <w:r>
              <w:rPr>
                <w:rFonts w:ascii="Times New Roman"/>
                <w:sz w:val="18"/>
              </w:rPr>
              <w:t>Kevin</w:t>
            </w:r>
            <w:r>
              <w:rPr>
                <w:rFonts w:ascii="Times New Roman"/>
                <w:spacing w:val="-2"/>
                <w:sz w:val="18"/>
              </w:rPr>
              <w:t> </w:t>
            </w:r>
            <w:r>
              <w:rPr>
                <w:rFonts w:ascii="Times New Roman"/>
                <w:sz w:val="18"/>
              </w:rPr>
              <w:t>Patrick</w:t>
            </w:r>
            <w:r>
              <w:rPr>
                <w:rFonts w:ascii="Times New Roman"/>
                <w:sz w:val="18"/>
              </w:rPr>
              <w:t> King</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首席运营官</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351.36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关东玉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王敏敏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 </w:t>
            </w:r>
            <w:r>
              <w:rPr>
                <w:rFonts w:ascii="宋体" w:hAnsi="宋体" w:cs="宋体" w:eastAsia="宋体" w:hint="default"/>
                <w:spacing w:val="2"/>
                <w:sz w:val="18"/>
                <w:szCs w:val="18"/>
              </w:rPr>
              <w:t> </w:t>
            </w:r>
            <w:r>
              <w:rPr>
                <w:rFonts w:ascii="宋体" w:hAnsi="宋体" w:cs="宋体" w:eastAsia="宋体" w:hint="default"/>
                <w:sz w:val="18"/>
                <w:szCs w:val="18"/>
              </w:rPr>
              <w:t>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副总裁兼董事会</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73.94</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668"/>
        <w:gridCol w:w="991"/>
        <w:gridCol w:w="994"/>
        <w:gridCol w:w="1844"/>
        <w:gridCol w:w="2341"/>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秘书</w:t>
            </w:r>
          </w:p>
        </w:tc>
        <w:tc>
          <w:tcPr>
            <w:tcW w:w="6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 </w:t>
            </w:r>
            <w:r>
              <w:rPr>
                <w:rFonts w:ascii="宋体" w:hAnsi="宋体" w:cs="宋体" w:eastAsia="宋体" w:hint="default"/>
                <w:spacing w:val="2"/>
                <w:sz w:val="18"/>
                <w:szCs w:val="18"/>
              </w:rPr>
              <w:t> </w:t>
            </w:r>
            <w:r>
              <w:rPr>
                <w:rFonts w:ascii="宋体" w:hAnsi="宋体" w:cs="宋体" w:eastAsia="宋体" w:hint="default"/>
                <w:sz w:val="18"/>
                <w:szCs w:val="18"/>
              </w:rPr>
              <w:t>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15.4</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张广杰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王淑杰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29.33</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822.17</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3" w:space="426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2"/>
        <w:gridCol w:w="868"/>
        <w:gridCol w:w="872"/>
        <w:gridCol w:w="869"/>
        <w:gridCol w:w="869"/>
        <w:gridCol w:w="872"/>
        <w:gridCol w:w="869"/>
        <w:gridCol w:w="871"/>
        <w:gridCol w:w="869"/>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2"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7"/>
              <w:jc w:val="right"/>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0"/>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5" w:right="41" w:hanging="2"/>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before="1"/>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0"/>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3"/>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16"/>
              <w:jc w:val="left"/>
              <w:rPr>
                <w:rFonts w:ascii="Times New Roman" w:hAnsi="Times New Roman" w:cs="Times New Roman" w:eastAsia="Times New Roman" w:hint="default"/>
                <w:sz w:val="18"/>
                <w:szCs w:val="18"/>
              </w:rPr>
            </w:pPr>
            <w:r>
              <w:rPr>
                <w:rFonts w:ascii="Times New Roman"/>
                <w:sz w:val="18"/>
              </w:rPr>
              <w:t>Kevin Patrick King</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113"/>
              <w:jc w:val="left"/>
              <w:rPr>
                <w:rFonts w:ascii="宋体" w:hAnsi="宋体" w:cs="宋体" w:eastAsia="宋体" w:hint="default"/>
                <w:sz w:val="18"/>
                <w:szCs w:val="18"/>
              </w:rPr>
            </w:pPr>
            <w:r>
              <w:rPr>
                <w:rFonts w:ascii="宋体" w:hAnsi="宋体" w:cs="宋体" w:eastAsia="宋体" w:hint="default"/>
                <w:sz w:val="18"/>
                <w:szCs w:val="18"/>
              </w:rPr>
              <w:t>首席运营 官</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25.96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赖德源</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97" w:lineRule="auto" w:before="49"/>
              <w:ind w:left="26" w:right="62"/>
              <w:jc w:val="left"/>
              <w:rPr>
                <w:rFonts w:ascii="宋体" w:hAnsi="宋体" w:cs="宋体" w:eastAsia="宋体" w:hint="default"/>
                <w:sz w:val="18"/>
                <w:szCs w:val="18"/>
              </w:rPr>
            </w:pPr>
            <w:r>
              <w:rPr>
                <w:rFonts w:ascii="宋体" w:hAnsi="宋体" w:cs="宋体" w:eastAsia="宋体" w:hint="default"/>
                <w:sz w:val="18"/>
                <w:szCs w:val="18"/>
              </w:rPr>
              <w:t>副总裁</w:t>
            </w:r>
            <w:r>
              <w:rPr>
                <w:rFonts w:ascii="Times New Roman" w:hAnsi="Times New Roman" w:cs="Times New Roman" w:eastAsia="Times New Roman" w:hint="default"/>
                <w:sz w:val="18"/>
                <w:szCs w:val="18"/>
              </w:rPr>
              <w:t>/</w:t>
            </w:r>
            <w:r>
              <w:rPr>
                <w:rFonts w:ascii="宋体" w:hAnsi="宋体" w:cs="宋体" w:eastAsia="宋体" w:hint="default"/>
                <w:sz w:val="18"/>
                <w:szCs w:val="18"/>
              </w:rPr>
              <w:t>财 务总监</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25.96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关东玉</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right="293"/>
              <w:jc w:val="right"/>
              <w:rPr>
                <w:rFonts w:ascii="宋体" w:hAnsi="宋体" w:cs="宋体" w:eastAsia="宋体" w:hint="default"/>
                <w:sz w:val="18"/>
                <w:szCs w:val="18"/>
              </w:rPr>
            </w:pPr>
            <w:r>
              <w:rPr>
                <w:rFonts w:ascii="宋体" w:hAnsi="宋体" w:cs="宋体" w:eastAsia="宋体" w:hint="default"/>
                <w:sz w:val="18"/>
                <w:szCs w:val="18"/>
              </w:rPr>
              <w:t>副总裁</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25.96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王敏敏</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right="293"/>
              <w:jc w:val="right"/>
              <w:rPr>
                <w:rFonts w:ascii="宋体" w:hAnsi="宋体" w:cs="宋体" w:eastAsia="宋体" w:hint="default"/>
                <w:sz w:val="18"/>
                <w:szCs w:val="18"/>
              </w:rPr>
            </w:pPr>
            <w:r>
              <w:rPr>
                <w:rFonts w:ascii="宋体" w:hAnsi="宋体" w:cs="宋体" w:eastAsia="宋体" w:hint="default"/>
                <w:sz w:val="18"/>
                <w:szCs w:val="18"/>
              </w:rPr>
              <w:t>副总裁</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25.96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罗芳</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300" w:lineRule="auto" w:before="49"/>
              <w:ind w:left="26" w:right="62"/>
              <w:jc w:val="left"/>
              <w:rPr>
                <w:rFonts w:ascii="宋体" w:hAnsi="宋体" w:cs="宋体" w:eastAsia="宋体" w:hint="default"/>
                <w:sz w:val="18"/>
                <w:szCs w:val="18"/>
              </w:rPr>
            </w:pPr>
            <w:r>
              <w:rPr>
                <w:rFonts w:ascii="宋体" w:hAnsi="宋体" w:cs="宋体" w:eastAsia="宋体" w:hint="default"/>
                <w:sz w:val="18"/>
                <w:szCs w:val="18"/>
              </w:rPr>
              <w:t>副总裁</w:t>
            </w:r>
            <w:r>
              <w:rPr>
                <w:rFonts w:ascii="Times New Roman" w:hAnsi="Times New Roman" w:cs="Times New Roman" w:eastAsia="Times New Roman" w:hint="default"/>
                <w:sz w:val="18"/>
                <w:szCs w:val="18"/>
              </w:rPr>
              <w:t>/</w:t>
            </w:r>
            <w:r>
              <w:rPr>
                <w:rFonts w:ascii="宋体" w:hAnsi="宋体" w:cs="宋体" w:eastAsia="宋体" w:hint="default"/>
                <w:sz w:val="18"/>
                <w:szCs w:val="18"/>
              </w:rPr>
              <w:t>董 秘</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25.96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2"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1963" w:hRule="exact"/>
        </w:trPr>
        <w:tc>
          <w:tcPr>
            <w:tcW w:w="1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日，公司第六届董事会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年第六次临时会议审议通过《关于公司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年股票期</w:t>
            </w:r>
          </w:p>
          <w:p>
            <w:pPr>
              <w:pStyle w:val="TableParagraph"/>
              <w:spacing w:line="240" w:lineRule="auto" w:before="63"/>
              <w:ind w:left="1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权激励计划授予股票期权采用自主行权模式的议案</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第一</w:t>
            </w:r>
            <w:r>
              <w:rPr>
                <w:rFonts w:ascii="宋体" w:hAnsi="宋体" w:cs="宋体" w:eastAsia="宋体" w:hint="default"/>
                <w:spacing w:val="2"/>
                <w:sz w:val="18"/>
                <w:szCs w:val="18"/>
              </w:rPr>
              <w:t>个</w:t>
            </w:r>
            <w:r>
              <w:rPr>
                <w:rFonts w:ascii="宋体" w:hAnsi="宋体" w:cs="宋体" w:eastAsia="宋体" w:hint="default"/>
                <w:sz w:val="18"/>
                <w:szCs w:val="18"/>
              </w:rPr>
              <w:t>行权期自</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起</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p>
          <w:p>
            <w:pPr>
              <w:pStyle w:val="TableParagraph"/>
              <w:spacing w:line="240" w:lineRule="auto" w:before="63"/>
              <w:ind w:left="15"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7"/>
                <w:sz w:val="18"/>
                <w:szCs w:val="18"/>
              </w:rPr>
              <w:t>止</w:t>
            </w:r>
            <w:r>
              <w:rPr>
                <w:rFonts w:ascii="宋体" w:hAnsi="宋体" w:cs="宋体" w:eastAsia="宋体" w:hint="default"/>
                <w:sz w:val="18"/>
                <w:szCs w:val="18"/>
              </w:rPr>
              <w:t>（法定禁止</w:t>
            </w:r>
            <w:r>
              <w:rPr>
                <w:rFonts w:ascii="宋体" w:hAnsi="宋体" w:cs="宋体" w:eastAsia="宋体" w:hint="default"/>
                <w:spacing w:val="-3"/>
                <w:sz w:val="18"/>
                <w:szCs w:val="18"/>
              </w:rPr>
              <w:t>行</w:t>
            </w:r>
            <w:r>
              <w:rPr>
                <w:rFonts w:ascii="宋体" w:hAnsi="宋体" w:cs="宋体" w:eastAsia="宋体" w:hint="default"/>
                <w:sz w:val="18"/>
                <w:szCs w:val="18"/>
              </w:rPr>
              <w:t>权期除外</w:t>
            </w:r>
            <w:r>
              <w:rPr>
                <w:rFonts w:ascii="宋体" w:hAnsi="宋体" w:cs="宋体" w:eastAsia="宋体" w:hint="default"/>
                <w:spacing w:val="-92"/>
                <w:sz w:val="18"/>
                <w:szCs w:val="18"/>
              </w:rPr>
              <w:t>）</w:t>
            </w:r>
            <w:r>
              <w:rPr>
                <w:rFonts w:ascii="宋体" w:hAnsi="宋体" w:cs="宋体" w:eastAsia="宋体" w:hint="default"/>
                <w:spacing w:val="-27"/>
                <w:sz w:val="18"/>
                <w:szCs w:val="18"/>
              </w:rPr>
              <w:t>。</w:t>
            </w:r>
            <w:r>
              <w:rPr>
                <w:rFonts w:ascii="宋体" w:hAnsi="宋体" w:cs="宋体" w:eastAsia="宋体" w:hint="default"/>
                <w:sz w:val="18"/>
                <w:szCs w:val="18"/>
              </w:rPr>
              <w:t>根据公司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w:t>
            </w:r>
            <w:r>
              <w:rPr>
                <w:rFonts w:ascii="宋体" w:hAnsi="宋体" w:cs="宋体" w:eastAsia="宋体" w:hint="default"/>
                <w:spacing w:val="-3"/>
                <w:sz w:val="18"/>
                <w:szCs w:val="18"/>
              </w:rPr>
              <w:t>次</w:t>
            </w:r>
            <w:r>
              <w:rPr>
                <w:rFonts w:ascii="宋体" w:hAnsi="宋体" w:cs="宋体" w:eastAsia="宋体" w:hint="default"/>
                <w:sz w:val="18"/>
                <w:szCs w:val="18"/>
              </w:rPr>
              <w:t>临时股东</w:t>
            </w:r>
          </w:p>
          <w:p>
            <w:pPr>
              <w:pStyle w:val="TableParagraph"/>
              <w:spacing w:line="300" w:lineRule="auto" w:before="63"/>
              <w:ind w:left="15" w:right="32"/>
              <w:jc w:val="both"/>
              <w:rPr>
                <w:rFonts w:ascii="宋体" w:hAnsi="宋体" w:cs="宋体" w:eastAsia="宋体" w:hint="default"/>
                <w:sz w:val="18"/>
                <w:szCs w:val="18"/>
              </w:rPr>
            </w:pPr>
            <w:r>
              <w:rPr>
                <w:rFonts w:ascii="宋体" w:hAnsi="宋体" w:cs="宋体" w:eastAsia="宋体" w:hint="default"/>
                <w:sz w:val="18"/>
                <w:szCs w:val="18"/>
              </w:rPr>
              <w:t>大会审议通过的《关于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北京中长石基信息技术股份有限公司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年股票期权激励计划（草案修订 </w:t>
            </w:r>
            <w:r>
              <w:rPr>
                <w:rFonts w:ascii="宋体" w:hAnsi="宋体" w:cs="宋体" w:eastAsia="宋体" w:hint="default"/>
                <w:spacing w:val="-4"/>
                <w:sz w:val="18"/>
                <w:szCs w:val="18"/>
              </w:rPr>
              <w:t>稿）</w:t>
            </w:r>
            <w:r>
              <w:rPr>
                <w:rFonts w:ascii="Times New Roman" w:hAnsi="Times New Roman" w:cs="Times New Roman" w:eastAsia="Times New Roman" w:hint="default"/>
                <w:spacing w:val="-4"/>
                <w:sz w:val="18"/>
                <w:szCs w:val="18"/>
              </w:rPr>
              <w:t>&gt;</w:t>
            </w:r>
            <w:r>
              <w:rPr>
                <w:rFonts w:ascii="宋体" w:hAnsi="宋体" w:cs="宋体" w:eastAsia="宋体" w:hint="default"/>
                <w:spacing w:val="-4"/>
                <w:sz w:val="18"/>
                <w:szCs w:val="18"/>
              </w:rPr>
              <w:t>及其摘要的议案》，公司第一个行权期可行权比例为</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，以上表格所列高级管理人员报告期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内可行权股数为各高级管理人员被授予股票期权总数的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，剩余</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股票期权为限售权证。</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3,833</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4,417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1,793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4,417</w:t>
            </w:r>
          </w:p>
        </w:tc>
      </w:tr>
      <w:tr>
        <w:trPr>
          <w:trHeight w:val="39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1,532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4,417</w:t>
            </w:r>
          </w:p>
        </w:tc>
      </w:tr>
    </w:tbl>
    <w:p>
      <w:pPr>
        <w:spacing w:line="240" w:lineRule="auto" w:before="3"/>
        <w:rPr>
          <w:rFonts w:ascii="宋体" w:hAnsi="宋体" w:cs="宋体" w:eastAsia="宋体" w:hint="default"/>
          <w:b/>
          <w:bCs/>
          <w:sz w:val="19"/>
          <w:szCs w:val="19"/>
        </w:rPr>
      </w:pPr>
    </w:p>
    <w:p>
      <w:pPr>
        <w:pStyle w:val="Heading7"/>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10"/>
        <w:rPr>
          <w:rFonts w:ascii="宋体" w:hAnsi="宋体" w:cs="宋体" w:eastAsia="宋体" w:hint="default"/>
          <w:b/>
          <w:bCs/>
          <w:sz w:val="24"/>
          <w:szCs w:val="24"/>
        </w:rPr>
      </w:pPr>
    </w:p>
    <w:p>
      <w:pPr>
        <w:pStyle w:val="BodyText"/>
        <w:spacing w:line="264" w:lineRule="auto"/>
        <w:ind w:right="0" w:firstLine="420"/>
        <w:jc w:val="left"/>
      </w:pPr>
      <w:r>
        <w:rPr>
          <w:spacing w:val="-4"/>
        </w:rPr>
        <w:t>公司充分贯彻</w:t>
      </w:r>
      <w:r>
        <w:rPr>
          <w:rFonts w:ascii="Times New Roman" w:hAnsi="Times New Roman" w:cs="Times New Roman" w:eastAsia="Times New Roman" w:hint="default"/>
          <w:spacing w:val="-4"/>
        </w:rPr>
        <w:t>“</w:t>
      </w:r>
      <w:r>
        <w:rPr>
          <w:spacing w:val="-4"/>
        </w:rPr>
        <w:t>帮助员工成功</w:t>
      </w:r>
      <w:r>
        <w:rPr>
          <w:rFonts w:ascii="Times New Roman" w:hAnsi="Times New Roman" w:cs="Times New Roman" w:eastAsia="Times New Roman" w:hint="default"/>
          <w:spacing w:val="-4"/>
        </w:rPr>
        <w:t>”</w:t>
      </w:r>
      <w:r>
        <w:rPr>
          <w:spacing w:val="-4"/>
        </w:rPr>
        <w:t>的理念，秉承个人价值与薪酬体系紧密结合的原则，根据员工岗位职责、</w:t>
      </w:r>
      <w:r>
        <w:rPr>
          <w:w w:val="100"/>
        </w:rPr>
        <w:t> </w:t>
      </w:r>
      <w:r>
        <w:rPr>
          <w:spacing w:val="-2"/>
        </w:rPr>
        <w:t>工作表现、市场状况、政府有关规定等因素综合确定员工薪酬，使员工实现自身最大的潜在价值，持续提</w:t>
      </w:r>
      <w:r>
        <w:rPr>
          <w:spacing w:val="-47"/>
        </w:rPr>
        <w:t> </w:t>
      </w:r>
      <w:r>
        <w:rPr>
          <w:spacing w:val="-47"/>
        </w:rPr>
      </w:r>
      <w:r>
        <w:rPr/>
        <w:t>高自身的专业技术和管理水平，不断开拓更大的发展空间。</w:t>
      </w:r>
    </w:p>
    <w:p>
      <w:pPr>
        <w:spacing w:line="240" w:lineRule="auto" w:before="10"/>
        <w:rPr>
          <w:rFonts w:ascii="宋体" w:hAnsi="宋体" w:cs="宋体" w:eastAsia="宋体" w:hint="default"/>
          <w:sz w:val="29"/>
          <w:szCs w:val="29"/>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256" w:lineRule="auto" w:before="80"/>
        <w:ind w:right="1054" w:firstLine="420"/>
        <w:jc w:val="both"/>
      </w:pPr>
      <w:r>
        <w:rPr>
          <w:spacing w:val="-2"/>
        </w:rPr>
        <w:t>报告期内，公司职工薪酬总额（计入成本部分）</w:t>
      </w:r>
      <w:r>
        <w:rPr>
          <w:rFonts w:ascii="Times New Roman" w:hAnsi="Times New Roman" w:cs="Times New Roman" w:eastAsia="Times New Roman" w:hint="default"/>
          <w:spacing w:val="-2"/>
        </w:rPr>
        <w:t>64,877.63</w:t>
      </w:r>
      <w:r>
        <w:rPr>
          <w:spacing w:val="-2"/>
        </w:rPr>
        <w:t>万元，占公司营业成本的</w:t>
      </w:r>
      <w:r>
        <w:rPr>
          <w:rFonts w:ascii="Times New Roman" w:hAnsi="Times New Roman" w:cs="Times New Roman" w:eastAsia="Times New Roman" w:hint="default"/>
          <w:spacing w:val="-2"/>
        </w:rPr>
        <w:t>24.43%</w:t>
      </w:r>
      <w:r>
        <w:rPr>
          <w:spacing w:val="-2"/>
        </w:rPr>
        <w:t>。截至</w:t>
      </w:r>
      <w:r>
        <w:rPr>
          <w:rFonts w:ascii="Times New Roman" w:hAnsi="Times New Roman" w:cs="Times New Roman" w:eastAsia="Times New Roman" w:hint="default"/>
          <w:spacing w:val="-2"/>
        </w:rPr>
        <w:t>2018</w:t>
      </w:r>
      <w:r>
        <w:rPr>
          <w:rFonts w:ascii="Times New Roman" w:hAnsi="Times New Roman" w:cs="Times New Roman" w:eastAsia="Times New Roman" w:hint="default"/>
          <w:w w:val="100"/>
        </w:rPr>
        <w:t>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日，公司核心技术人员为</w:t>
      </w:r>
      <w:r>
        <w:rPr>
          <w:rFonts w:ascii="Times New Roman" w:hAnsi="Times New Roman" w:cs="Times New Roman" w:eastAsia="Times New Roman" w:hint="default"/>
          <w:spacing w:val="-2"/>
        </w:rPr>
        <w:t>1678</w:t>
      </w:r>
      <w:r>
        <w:rPr>
          <w:spacing w:val="-2"/>
        </w:rPr>
        <w:t>人，占全体员工人数的</w:t>
      </w:r>
      <w:r>
        <w:rPr>
          <w:rFonts w:ascii="Times New Roman" w:hAnsi="Times New Roman" w:cs="Times New Roman" w:eastAsia="Times New Roman" w:hint="default"/>
          <w:spacing w:val="-2"/>
        </w:rPr>
        <w:t>38.96%</w:t>
      </w:r>
      <w:r>
        <w:rPr>
          <w:spacing w:val="-2"/>
        </w:rPr>
        <w:t>，上年同期核心技术人员为</w:t>
      </w:r>
      <w:r>
        <w:rPr>
          <w:rFonts w:ascii="Times New Roman" w:hAnsi="Times New Roman" w:cs="Times New Roman" w:eastAsia="Times New Roman" w:hint="default"/>
          <w:spacing w:val="-2"/>
        </w:rPr>
        <w:t>1179</w:t>
      </w:r>
      <w:r>
        <w:rPr>
          <w:spacing w:val="-2"/>
        </w:rPr>
        <w:t>人，</w:t>
      </w:r>
      <w:r>
        <w:rPr>
          <w:spacing w:val="-8"/>
        </w:rPr>
        <w:t> </w:t>
      </w:r>
      <w:r>
        <w:rPr>
          <w:spacing w:val="-2"/>
        </w:rPr>
        <w:t>占全体员工人数的</w:t>
      </w:r>
      <w:r>
        <w:rPr>
          <w:rFonts w:ascii="Times New Roman" w:hAnsi="Times New Roman" w:cs="Times New Roman" w:eastAsia="Times New Roman" w:hint="default"/>
          <w:spacing w:val="-2"/>
        </w:rPr>
        <w:t>36.59%</w:t>
      </w:r>
      <w:r>
        <w:rPr>
          <w:spacing w:val="-2"/>
        </w:rPr>
        <w:t>；本报告期内核心技术人员薪酬占全体员工薪酬的</w:t>
      </w:r>
      <w:r>
        <w:rPr>
          <w:rFonts w:ascii="Times New Roman" w:hAnsi="Times New Roman" w:cs="Times New Roman" w:eastAsia="Times New Roman" w:hint="default"/>
          <w:spacing w:val="-2"/>
        </w:rPr>
        <w:t>33.34%</w:t>
      </w:r>
      <w:r>
        <w:rPr>
          <w:spacing w:val="-2"/>
        </w:rPr>
        <w:t>，上年同期为</w:t>
      </w:r>
      <w:r>
        <w:rPr>
          <w:rFonts w:ascii="Times New Roman" w:hAnsi="Times New Roman" w:cs="Times New Roman" w:eastAsia="Times New Roman" w:hint="default"/>
          <w:spacing w:val="-2"/>
        </w:rPr>
        <w:t>30.22%</w:t>
      </w:r>
      <w:r>
        <w:rPr>
          <w:spacing w:val="-2"/>
        </w:rPr>
        <w:t>。</w:t>
      </w:r>
    </w:p>
    <w:p>
      <w:pPr>
        <w:spacing w:line="240" w:lineRule="auto" w:before="4"/>
        <w:rPr>
          <w:rFonts w:ascii="宋体" w:hAnsi="宋体" w:cs="宋体" w:eastAsia="宋体" w:hint="default"/>
          <w:sz w:val="23"/>
          <w:szCs w:val="23"/>
        </w:rPr>
      </w:pPr>
    </w:p>
    <w:p>
      <w:pPr>
        <w:pStyle w:val="Heading7"/>
        <w:spacing w:line="240" w:lineRule="auto"/>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04" w:firstLine="420"/>
        <w:jc w:val="both"/>
      </w:pPr>
      <w:r>
        <w:rPr>
          <w:spacing w:val="-2"/>
        </w:rPr>
        <w:t>公司高度重视员工培训，旨在为企业发展提供合理的人才梯队及软性保障。为了鼓励员工持续进步，</w:t>
      </w:r>
      <w:r>
        <w:rPr>
          <w:w w:val="100"/>
        </w:rPr>
        <w:t> </w:t>
      </w:r>
      <w:r>
        <w:rPr>
          <w:spacing w:val="-2"/>
        </w:rPr>
        <w:t>提升员工职业技能、岗位胜任能力及综合素质，公司将培训划分为内部培训、外部培训两大类。内部培训</w:t>
      </w:r>
      <w:r>
        <w:rPr>
          <w:spacing w:val="-47"/>
        </w:rPr>
        <w:t> </w:t>
      </w:r>
      <w:r>
        <w:rPr>
          <w:spacing w:val="-47"/>
        </w:rPr>
      </w:r>
      <w:r>
        <w:rPr>
          <w:spacing w:val="-2"/>
        </w:rPr>
        <w:t>包括入职培训、技术业务培训及部门间培训等；外部培训包括国家有关部门组织的各种培训，企业经理人</w:t>
      </w:r>
      <w:r>
        <w:rPr>
          <w:spacing w:val="-45"/>
        </w:rPr>
        <w:t> </w:t>
      </w:r>
      <w:r>
        <w:rPr>
          <w:spacing w:val="-45"/>
        </w:rPr>
      </w:r>
      <w:r>
        <w:rPr/>
        <w:t>培训等。</w:t>
      </w:r>
    </w:p>
    <w:p>
      <w:pPr>
        <w:spacing w:after="0" w:line="273"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11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1532"/>
        <w:jc w:val="center"/>
        <w:rPr>
          <w:b w:val="0"/>
          <w:bCs w:val="0"/>
        </w:rPr>
      </w:pPr>
      <w:bookmarkStart w:name="_bookmark7" w:id="8"/>
      <w:bookmarkEnd w:id="8"/>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both"/>
        <w:rPr>
          <w:b w:val="0"/>
          <w:bCs w:val="0"/>
        </w:rPr>
      </w:pPr>
      <w:r>
        <w:rPr/>
        <w:t>一、公司治理的基本状况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126" w:firstLine="420"/>
        <w:jc w:val="both"/>
      </w:pPr>
      <w:r>
        <w:rPr>
          <w:spacing w:val="-2"/>
        </w:rPr>
        <w:t>报告期内，根据严格按照《公司法》、《证券法》、《深圳证券交易所股票上市规则》、《深圳证券</w:t>
      </w:r>
      <w:r>
        <w:rPr>
          <w:w w:val="100"/>
        </w:rPr>
        <w:t> </w:t>
      </w:r>
      <w:r>
        <w:rPr>
          <w:spacing w:val="-2"/>
        </w:rPr>
        <w:t>交易所中小企业板上市公司规范运作指引》等多部法律法规及部门规章，公司不断的进行内部治理的改进</w:t>
      </w:r>
      <w:r>
        <w:rPr>
          <w:spacing w:val="-44"/>
        </w:rPr>
        <w:t> </w:t>
      </w:r>
      <w:r>
        <w:rPr>
          <w:spacing w:val="-44"/>
        </w:rPr>
      </w:r>
      <w:r>
        <w:rPr>
          <w:spacing w:val="-2"/>
        </w:rPr>
        <w:t>与提升，通过不断完善公司法人治理结构，建立健全内部管理和控制制度，达到规范公司运作，提高公司</w:t>
      </w:r>
      <w:r>
        <w:rPr>
          <w:spacing w:val="-50"/>
        </w:rPr>
        <w:t> </w:t>
      </w:r>
      <w:r>
        <w:rPr>
          <w:spacing w:val="-50"/>
        </w:rPr>
      </w:r>
      <w:r>
        <w:rPr>
          <w:spacing w:val="-2"/>
        </w:rPr>
        <w:t>治理水平的最终目标。目前公司结合自身经营特点，已建立较为完整的涵盖经营管理、财务管理、信息披</w:t>
      </w:r>
      <w:r>
        <w:rPr>
          <w:spacing w:val="-47"/>
        </w:rPr>
        <w:t> </w:t>
      </w:r>
      <w:r>
        <w:rPr>
          <w:spacing w:val="-47"/>
        </w:rPr>
      </w:r>
      <w:r>
        <w:rPr>
          <w:spacing w:val="-2"/>
        </w:rPr>
        <w:t>露等内容的内部控制制度，同时形成了股东会，董事会、监事会、经理层之间权责分明、各司其职、有效</w:t>
      </w:r>
      <w:r>
        <w:rPr>
          <w:spacing w:val="-41"/>
        </w:rPr>
        <w:t> </w:t>
      </w:r>
      <w:r>
        <w:rPr>
          <w:spacing w:val="-41"/>
        </w:rPr>
      </w:r>
      <w:r>
        <w:rPr>
          <w:spacing w:val="-2"/>
        </w:rPr>
        <w:t>制衡、科学决策、协调运作的公司治理结构，尤其对公司报告期内发生的重大事项进行严格审议，提高重</w:t>
      </w:r>
      <w:r>
        <w:rPr>
          <w:spacing w:val="-47"/>
        </w:rPr>
        <w:t> </w:t>
      </w:r>
      <w:r>
        <w:rPr>
          <w:spacing w:val="-47"/>
        </w:rPr>
      </w:r>
      <w:r>
        <w:rPr/>
        <w:t>大事项决策的规范运作水平。</w:t>
      </w:r>
    </w:p>
    <w:p>
      <w:pPr>
        <w:pStyle w:val="BodyText"/>
        <w:spacing w:line="264" w:lineRule="auto" w:before="8"/>
        <w:ind w:left="513" w:right="1133" w:firstLine="60"/>
        <w:jc w:val="left"/>
      </w:pPr>
      <w:r>
        <w:rPr>
          <w:spacing w:val="-2"/>
        </w:rPr>
        <w:t>截至报告期末，本公司治理实际情况符合中国证监会发布的有关上市公司治理的规范性文件的要求。</w:t>
      </w:r>
      <w:r>
        <w:rPr>
          <w:spacing w:val="-87"/>
        </w:rPr>
        <w:t> </w:t>
      </w:r>
      <w:r>
        <w:rPr>
          <w:spacing w:val="-87"/>
        </w:rPr>
      </w:r>
      <w:r>
        <w:rPr>
          <w:rFonts w:ascii="Times New Roman" w:hAnsi="Times New Roman" w:cs="Times New Roman" w:eastAsia="Times New Roman" w:hint="default"/>
          <w:b/>
          <w:bCs/>
        </w:rPr>
        <w:t>1</w:t>
      </w:r>
      <w:r>
        <w:rPr>
          <w:rFonts w:ascii="宋体" w:hAnsi="宋体" w:cs="宋体" w:eastAsia="宋体" w:hint="default"/>
          <w:b/>
          <w:bCs/>
        </w:rPr>
        <w:t>、关于股东与股东大会</w:t>
      </w:r>
      <w:r>
        <w:rPr>
          <w:rFonts w:ascii="宋体" w:hAnsi="宋体" w:cs="宋体" w:eastAsia="宋体" w:hint="default"/>
          <w:b/>
          <w:bCs/>
          <w:w w:val="100"/>
        </w:rPr>
        <w:t> </w:t>
      </w:r>
      <w:r>
        <w:rPr>
          <w:spacing w:val="-2"/>
        </w:rPr>
        <w:t>本公司严格按照《公司法》、《上市公司股东大会规则》、《公司章程》和《股东大会议事规则》等</w:t>
      </w:r>
    </w:p>
    <w:p>
      <w:pPr>
        <w:pStyle w:val="BodyText"/>
        <w:spacing w:line="264" w:lineRule="auto" w:before="16"/>
        <w:ind w:right="0"/>
        <w:jc w:val="left"/>
      </w:pPr>
      <w:r>
        <w:rPr>
          <w:spacing w:val="-4"/>
        </w:rPr>
        <w:t>法律、法规及制度的要求，召集、召开股东大会，</w:t>
      </w:r>
      <w:r>
        <w:rPr>
          <w:rFonts w:ascii="Times New Roman" w:hAnsi="Times New Roman" w:cs="Times New Roman" w:eastAsia="Times New Roman" w:hint="default"/>
          <w:spacing w:val="-4"/>
        </w:rPr>
        <w:t>2018</w:t>
      </w:r>
      <w:r>
        <w:rPr>
          <w:spacing w:val="-4"/>
        </w:rPr>
        <w:t>年度公司谨慎审议包括年度报告、关联交易、购买、</w:t>
      </w:r>
      <w:r>
        <w:rPr>
          <w:spacing w:val="-49"/>
        </w:rPr>
        <w:t> </w:t>
      </w:r>
      <w:r>
        <w:rPr>
          <w:spacing w:val="-49"/>
        </w:rPr>
      </w:r>
      <w:r>
        <w:rPr>
          <w:spacing w:val="-2"/>
        </w:rPr>
        <w:t>出售资产或股权等重大事项；同时公司在股东大会召开期间，安排股东与管理层交流时间，能够确保所有</w:t>
      </w:r>
      <w:r>
        <w:rPr>
          <w:spacing w:val="-43"/>
        </w:rPr>
        <w:t> </w:t>
      </w:r>
      <w:r>
        <w:rPr>
          <w:spacing w:val="-43"/>
        </w:rPr>
      </w:r>
      <w:r>
        <w:rPr/>
        <w:t>股东享有平等地位，充分行使自己的权利。</w:t>
      </w:r>
    </w:p>
    <w:p>
      <w:pPr>
        <w:spacing w:line="256" w:lineRule="auto" w:before="16"/>
        <w:ind w:left="513"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、关于控股股东与上市公司的关系</w:t>
      </w:r>
      <w:r>
        <w:rPr>
          <w:rFonts w:ascii="宋体" w:hAnsi="宋体" w:cs="宋体" w:eastAsia="宋体" w:hint="default"/>
          <w:b/>
          <w:bCs/>
          <w:w w:val="100"/>
          <w:sz w:val="21"/>
          <w:szCs w:val="21"/>
        </w:rPr>
        <w:t> </w:t>
      </w:r>
      <w:r>
        <w:rPr>
          <w:rFonts w:ascii="宋体" w:hAnsi="宋体" w:cs="宋体" w:eastAsia="宋体" w:hint="default"/>
          <w:spacing w:val="-2"/>
          <w:sz w:val="21"/>
          <w:szCs w:val="21"/>
        </w:rPr>
        <w:t>公司控股股东及实际控制人均为李仲初先生。控股股东及实际控制人均依法行使出资人权利并承担相</w:t>
      </w:r>
    </w:p>
    <w:p>
      <w:pPr>
        <w:pStyle w:val="BodyText"/>
        <w:spacing w:line="273" w:lineRule="auto" w:before="22"/>
        <w:ind w:left="513" w:right="1133" w:hanging="361"/>
        <w:jc w:val="left"/>
      </w:pPr>
      <w:r>
        <w:rPr/>
        <w:t>应义务，没有超越股东大会授权范围行使职权，直接或间接干预本公司的决策和生产经营活动。</w:t>
      </w:r>
      <w:r>
        <w:rPr>
          <w:w w:val="100"/>
        </w:rPr>
        <w:t> </w:t>
      </w:r>
      <w:r>
        <w:rPr>
          <w:spacing w:val="-2"/>
        </w:rPr>
        <w:t>公司拥有独立的业务和经营自主能力，在业务、人员、资产、机构、财务上独立于控股股东，公司董</w:t>
      </w:r>
    </w:p>
    <w:p>
      <w:pPr>
        <w:pStyle w:val="BodyText"/>
        <w:spacing w:line="240" w:lineRule="auto" w:before="7"/>
        <w:ind w:right="0"/>
        <w:jc w:val="both"/>
      </w:pPr>
      <w:r>
        <w:rPr/>
        <w:t>事会、监事会和内部机构独立运作。</w:t>
      </w:r>
    </w:p>
    <w:p>
      <w:pPr>
        <w:pStyle w:val="BodyText"/>
        <w:spacing w:line="256" w:lineRule="auto" w:before="37"/>
        <w:ind w:left="489" w:right="1133" w:firstLine="24"/>
        <w:jc w:val="left"/>
      </w:pPr>
      <w:r>
        <w:rPr>
          <w:rFonts w:ascii="Times New Roman" w:hAnsi="Times New Roman" w:cs="Times New Roman" w:eastAsia="Times New Roman" w:hint="default"/>
          <w:b/>
          <w:bCs/>
        </w:rPr>
        <w:t>3</w:t>
      </w:r>
      <w:r>
        <w:rPr>
          <w:rFonts w:ascii="宋体" w:hAnsi="宋体" w:cs="宋体" w:eastAsia="宋体" w:hint="default"/>
          <w:b/>
          <w:bCs/>
        </w:rPr>
        <w:t>、关于董事与董事会</w:t>
      </w:r>
      <w:r>
        <w:rPr>
          <w:rFonts w:ascii="宋体" w:hAnsi="宋体" w:cs="宋体" w:eastAsia="宋体" w:hint="default"/>
          <w:b/>
          <w:bCs/>
          <w:w w:val="100"/>
        </w:rPr>
        <w:t> </w:t>
      </w:r>
      <w:r>
        <w:rPr>
          <w:spacing w:val="-2"/>
        </w:rPr>
        <w:t>公司董事会严格按照《公司法》和《公司章程》和《董事会议事规则》等法律法规开展工作，董事选</w:t>
      </w:r>
    </w:p>
    <w:p>
      <w:pPr>
        <w:pStyle w:val="BodyText"/>
        <w:spacing w:line="264" w:lineRule="auto" w:before="22"/>
        <w:ind w:right="1126"/>
        <w:jc w:val="both"/>
      </w:pPr>
      <w:r>
        <w:rPr>
          <w:spacing w:val="-2"/>
        </w:rPr>
        <w:t>聘程序符合相关法律法规的要求，公司目前董事会成员</w:t>
      </w:r>
      <w:r>
        <w:rPr>
          <w:rFonts w:ascii="Times New Roman" w:hAnsi="Times New Roman" w:cs="Times New Roman" w:eastAsia="Times New Roman" w:hint="default"/>
          <w:spacing w:val="-2"/>
        </w:rPr>
        <w:t>7</w:t>
      </w:r>
      <w:r>
        <w:rPr>
          <w:spacing w:val="-2"/>
        </w:rPr>
        <w:t>人，其中独立董事</w:t>
      </w:r>
      <w:r>
        <w:rPr>
          <w:rFonts w:ascii="Times New Roman" w:hAnsi="Times New Roman" w:cs="Times New Roman" w:eastAsia="Times New Roman" w:hint="default"/>
          <w:spacing w:val="-2"/>
        </w:rPr>
        <w:t>3</w:t>
      </w:r>
      <w:r>
        <w:rPr>
          <w:spacing w:val="-2"/>
        </w:rPr>
        <w:t>人，董事会的人数及人员构成</w:t>
      </w:r>
      <w:r>
        <w:rPr>
          <w:spacing w:val="-40"/>
        </w:rPr>
        <w:t> </w:t>
      </w:r>
      <w:r>
        <w:rPr>
          <w:spacing w:val="-40"/>
        </w:rPr>
      </w:r>
      <w:r>
        <w:rPr>
          <w:spacing w:val="-2"/>
        </w:rPr>
        <w:t>符合要求。全体董事认真出席公司董事会、股东大会会议并审议相关议案，积极参加有关培训，熟悉有关</w:t>
      </w:r>
      <w:r>
        <w:rPr>
          <w:spacing w:val="-50"/>
        </w:rPr>
        <w:t> </w:t>
      </w:r>
      <w:r>
        <w:rPr>
          <w:spacing w:val="-50"/>
        </w:rPr>
      </w:r>
      <w:r>
        <w:rPr/>
        <w:t>法律、法规，并按照相关规定依法履行董事职责。</w:t>
      </w:r>
    </w:p>
    <w:p>
      <w:pPr>
        <w:pStyle w:val="BodyText"/>
        <w:spacing w:line="273" w:lineRule="auto" w:before="16"/>
        <w:ind w:right="1186" w:firstLine="336"/>
        <w:jc w:val="both"/>
      </w:pPr>
      <w:r>
        <w:rPr>
          <w:spacing w:val="-2"/>
        </w:rPr>
        <w:t>报告期内，公司第六届董事会成员切实履行忠实义务和勤勉义务，将上市公司相关制度规范转化为参</w:t>
      </w:r>
      <w:r>
        <w:rPr>
          <w:w w:val="100"/>
        </w:rPr>
        <w:t> </w:t>
      </w:r>
      <w:r>
        <w:rPr/>
        <w:t>与公司重大决策，日常经营管理的行为准则，严格执行公司董事行为规范。</w:t>
      </w:r>
    </w:p>
    <w:p>
      <w:pPr>
        <w:pStyle w:val="BodyText"/>
        <w:spacing w:line="273" w:lineRule="auto" w:before="7"/>
        <w:ind w:right="1126" w:firstLine="336"/>
        <w:jc w:val="both"/>
      </w:pPr>
      <w:r>
        <w:rPr>
          <w:spacing w:val="-2"/>
        </w:rPr>
        <w:t>公司独立董事按照《公司章程》等法律、法规独立履行职责，对公司重大投资等事项发表自己的独立</w:t>
      </w:r>
      <w:r>
        <w:rPr>
          <w:w w:val="100"/>
        </w:rPr>
        <w:t> </w:t>
      </w:r>
      <w:r>
        <w:rPr>
          <w:spacing w:val="-2"/>
        </w:rPr>
        <w:t>意见，保证了公司的规范运作。董事会下设提名、薪酬与审计三个专业委员会，各专业委员会根据相应的</w:t>
      </w:r>
      <w:r>
        <w:rPr>
          <w:spacing w:val="-47"/>
        </w:rPr>
        <w:t> </w:t>
      </w:r>
      <w:r>
        <w:rPr>
          <w:spacing w:val="-47"/>
        </w:rPr>
      </w:r>
      <w:r>
        <w:rPr>
          <w:spacing w:val="-2"/>
        </w:rPr>
        <w:t>工作细则通过召开会议、实地考察、面谈等方式履行职责，对公司重大投融资行为等事项提出意见并作出</w:t>
      </w:r>
      <w:r>
        <w:rPr>
          <w:spacing w:val="-43"/>
        </w:rPr>
        <w:t> </w:t>
      </w:r>
      <w:r>
        <w:rPr>
          <w:spacing w:val="-43"/>
        </w:rPr>
      </w:r>
      <w:r>
        <w:rPr/>
        <w:t>相关决议。</w:t>
      </w:r>
    </w:p>
    <w:p>
      <w:pPr>
        <w:pStyle w:val="BodyText"/>
        <w:spacing w:line="256" w:lineRule="auto" w:before="7"/>
        <w:ind w:left="489" w:right="1133"/>
        <w:jc w:val="left"/>
      </w:pPr>
      <w:r>
        <w:rPr>
          <w:rFonts w:ascii="Times New Roman" w:hAnsi="Times New Roman" w:cs="Times New Roman" w:eastAsia="Times New Roman" w:hint="default"/>
          <w:b/>
          <w:bCs/>
        </w:rPr>
        <w:t>4</w:t>
      </w:r>
      <w:r>
        <w:rPr>
          <w:rFonts w:ascii="宋体" w:hAnsi="宋体" w:cs="宋体" w:eastAsia="宋体" w:hint="default"/>
          <w:b/>
          <w:bCs/>
        </w:rPr>
        <w:t>、关于监事和监事会</w:t>
      </w:r>
      <w:r>
        <w:rPr>
          <w:rFonts w:ascii="宋体" w:hAnsi="宋体" w:cs="宋体" w:eastAsia="宋体" w:hint="default"/>
          <w:b/>
          <w:bCs/>
          <w:w w:val="100"/>
        </w:rPr>
        <w:t> </w:t>
      </w:r>
      <w:r>
        <w:rPr>
          <w:spacing w:val="-2"/>
        </w:rPr>
        <w:t>本公司监事会严格按照《公司法》、《公司章程》和《监事会议事规则》的有关规定开展工作，监事</w:t>
      </w:r>
    </w:p>
    <w:p>
      <w:pPr>
        <w:pStyle w:val="BodyText"/>
        <w:spacing w:line="273" w:lineRule="auto" w:before="23"/>
        <w:ind w:right="1126"/>
        <w:jc w:val="both"/>
      </w:pPr>
      <w:r>
        <w:rPr>
          <w:spacing w:val="-2"/>
        </w:rPr>
        <w:t>的推荐、选举和产生程序符合相关法律、法规的要求，监事会的人数及构成符合要求。报告期内，公司监</w:t>
      </w:r>
      <w:r>
        <w:rPr>
          <w:spacing w:val="-43"/>
        </w:rPr>
        <w:t> </w:t>
      </w:r>
      <w:r>
        <w:rPr>
          <w:spacing w:val="-43"/>
        </w:rPr>
      </w:r>
      <w:r>
        <w:rPr>
          <w:spacing w:val="-2"/>
        </w:rPr>
        <w:t>事会认真履行职责，对公司重大事项、财务状况以及董事、总裁和其他高级管理人员行使职权的合规性进</w:t>
      </w:r>
      <w:r>
        <w:rPr>
          <w:spacing w:val="-42"/>
        </w:rPr>
        <w:t> </w:t>
      </w:r>
      <w:r>
        <w:rPr>
          <w:spacing w:val="-42"/>
        </w:rPr>
      </w:r>
      <w:r>
        <w:rPr/>
        <w:t>行监督，维护公司及股东的合法权益。</w:t>
      </w:r>
    </w:p>
    <w:p>
      <w:pPr>
        <w:spacing w:line="256" w:lineRule="auto" w:before="7"/>
        <w:ind w:left="489"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、关于信息披露与透明度</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报告期内，公司严格按照《信息披露管理办法》、《重大信息及敏感信息内部管理制度》、《上市公</w:t>
      </w:r>
    </w:p>
    <w:p>
      <w:pPr>
        <w:pStyle w:val="BodyText"/>
        <w:spacing w:line="273" w:lineRule="auto" w:before="22"/>
        <w:ind w:right="1126"/>
        <w:jc w:val="both"/>
      </w:pPr>
      <w:r>
        <w:rPr>
          <w:spacing w:val="-2"/>
        </w:rPr>
        <w:t>司重大资产重组管理办法》、《内幕信息知情人登记管理制度》履行信息披露义务，及时报送公司重大事</w:t>
      </w:r>
      <w:r>
        <w:rPr>
          <w:spacing w:val="-43"/>
        </w:rPr>
        <w:t> </w:t>
      </w:r>
      <w:r>
        <w:rPr>
          <w:spacing w:val="-43"/>
        </w:rPr>
      </w:r>
      <w:r>
        <w:rPr>
          <w:spacing w:val="-2"/>
        </w:rPr>
        <w:t>项及定期报告的内幕信息知情人，指定《证券时报》、《中国证券报》及巨潮资讯网作为本公司信息披露</w:t>
      </w:r>
    </w:p>
    <w:p>
      <w:pPr>
        <w:spacing w:after="0" w:line="273"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73" w:lineRule="auto" w:before="36"/>
        <w:ind w:right="1133"/>
        <w:jc w:val="left"/>
      </w:pPr>
      <w:r>
        <w:rPr>
          <w:spacing w:val="-2"/>
        </w:rPr>
        <w:t>的报纸和网站，真实、准确、完整、及时的披露有关信息，确保所有投资者公平获取公司信息。本公司指</w:t>
      </w:r>
      <w:r>
        <w:rPr>
          <w:spacing w:val="-42"/>
        </w:rPr>
        <w:t> </w:t>
      </w:r>
      <w:r>
        <w:rPr>
          <w:spacing w:val="-42"/>
        </w:rPr>
      </w:r>
      <w:r>
        <w:rPr/>
        <w:t>定董事会秘书负责信息披露工作，证券事务代表协助董事会秘书开展工作。</w:t>
      </w:r>
    </w:p>
    <w:p>
      <w:pPr>
        <w:pStyle w:val="BodyText"/>
        <w:spacing w:line="256" w:lineRule="auto" w:before="7"/>
        <w:ind w:left="489" w:right="1133"/>
        <w:jc w:val="left"/>
      </w:pPr>
      <w:r>
        <w:rPr>
          <w:rFonts w:ascii="Times New Roman" w:hAnsi="Times New Roman" w:cs="Times New Roman" w:eastAsia="Times New Roman" w:hint="default"/>
          <w:b/>
          <w:bCs/>
        </w:rPr>
        <w:t>6</w:t>
      </w:r>
      <w:r>
        <w:rPr>
          <w:rFonts w:ascii="宋体" w:hAnsi="宋体" w:cs="宋体" w:eastAsia="宋体" w:hint="default"/>
          <w:b/>
          <w:bCs/>
        </w:rPr>
        <w:t>、关于相关利益者</w:t>
      </w:r>
      <w:r>
        <w:rPr>
          <w:rFonts w:ascii="宋体" w:hAnsi="宋体" w:cs="宋体" w:eastAsia="宋体" w:hint="default"/>
          <w:b/>
          <w:bCs/>
          <w:spacing w:val="-103"/>
        </w:rPr>
        <w:t> </w:t>
      </w:r>
      <w:r>
        <w:rPr>
          <w:spacing w:val="-2"/>
        </w:rPr>
        <w:t>本公司能够充分尊重和维护相关利益者的合法权益，实现社会、股东、员工、客户等各方利益的协调</w:t>
      </w:r>
    </w:p>
    <w:p>
      <w:pPr>
        <w:pStyle w:val="BodyText"/>
        <w:spacing w:line="240" w:lineRule="auto" w:before="22"/>
        <w:ind w:right="0"/>
        <w:jc w:val="both"/>
      </w:pPr>
      <w:r>
        <w:rPr/>
        <w:t>平衡，共同推动公司持续、健康的发展。</w:t>
      </w:r>
    </w:p>
    <w:p>
      <w:pPr>
        <w:spacing w:line="240" w:lineRule="auto" w:before="0"/>
        <w:rPr>
          <w:rFonts w:ascii="宋体" w:hAnsi="宋体" w:cs="宋体" w:eastAsia="宋体" w:hint="default"/>
          <w:sz w:val="20"/>
          <w:szCs w:val="20"/>
        </w:rPr>
      </w:pPr>
    </w:p>
    <w:p>
      <w:pPr>
        <w:spacing w:before="149"/>
        <w:ind w:left="152"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133" w:firstLine="420"/>
        <w:jc w:val="left"/>
      </w:pPr>
      <w:r>
        <w:rPr>
          <w:spacing w:val="-2"/>
        </w:rPr>
        <w:t>公司与控股股东在业务、人员、资产、机构、财务等方面完全分开，具有独立完整的业务及自主经营</w:t>
      </w:r>
      <w:r>
        <w:rPr>
          <w:w w:val="100"/>
        </w:rPr>
        <w:t> </w:t>
      </w:r>
      <w:r>
        <w:rPr/>
        <w:t>能力。</w:t>
      </w:r>
    </w:p>
    <w:p>
      <w:pPr>
        <w:pStyle w:val="BodyText"/>
        <w:spacing w:line="307" w:lineRule="auto" w:before="46"/>
        <w:ind w:left="573" w:right="1133"/>
        <w:jc w:val="left"/>
      </w:pPr>
      <w:r>
        <w:rPr/>
        <w:t>（一）业务独立</w:t>
      </w:r>
      <w:r>
        <w:rPr>
          <w:spacing w:val="-103"/>
        </w:rPr>
        <w:t> </w:t>
      </w:r>
      <w:r>
        <w:rPr>
          <w:spacing w:val="-103"/>
        </w:rPr>
      </w:r>
      <w:r>
        <w:rPr>
          <w:spacing w:val="-2"/>
        </w:rPr>
        <w:t>本公司主要从事酒店行业信息管理系统软件的开发销售、系统集成、技术支持与服务业务，具有独立</w:t>
      </w:r>
    </w:p>
    <w:p>
      <w:pPr>
        <w:pStyle w:val="BodyText"/>
        <w:spacing w:line="253" w:lineRule="exact"/>
        <w:ind w:right="0"/>
        <w:jc w:val="both"/>
      </w:pPr>
      <w:r>
        <w:rPr/>
        <w:t>完整的业务体系，包括完整的开发、销售及售后服务体系，是目前国内最主要的酒店信息管理系统全面解</w:t>
      </w:r>
    </w:p>
    <w:p>
      <w:pPr>
        <w:pStyle w:val="BodyText"/>
        <w:spacing w:line="273" w:lineRule="auto" w:before="37"/>
        <w:ind w:right="1133"/>
        <w:jc w:val="left"/>
      </w:pPr>
      <w:r>
        <w:rPr>
          <w:spacing w:val="-2"/>
        </w:rPr>
        <w:t>决方案提供商之一。公司业务独立于控股股东，拥有独立完整的经营系统，独立开展业务，不依赖于股东</w:t>
      </w:r>
      <w:r>
        <w:rPr>
          <w:spacing w:val="-50"/>
        </w:rPr>
        <w:t> </w:t>
      </w:r>
      <w:r>
        <w:rPr>
          <w:spacing w:val="-50"/>
        </w:rPr>
      </w:r>
      <w:r>
        <w:rPr/>
        <w:t>或其他任何关联方。</w:t>
      </w:r>
    </w:p>
    <w:p>
      <w:pPr>
        <w:pStyle w:val="BodyText"/>
        <w:spacing w:line="307" w:lineRule="auto" w:before="48"/>
        <w:ind w:left="501" w:right="1133" w:firstLine="72"/>
        <w:jc w:val="left"/>
      </w:pPr>
      <w:r>
        <w:rPr/>
        <w:t>（二）人员独立</w:t>
      </w:r>
      <w:r>
        <w:rPr>
          <w:w w:val="100"/>
        </w:rPr>
        <w:t> </w:t>
      </w:r>
      <w:r>
        <w:rPr/>
        <w:t>本公司人员、劳动、人事及工资管理完全独立。本公司拥有独立、完整的人力资源管理体系，设有人</w:t>
      </w:r>
    </w:p>
    <w:p>
      <w:pPr>
        <w:pStyle w:val="BodyText"/>
        <w:spacing w:line="253" w:lineRule="exact"/>
        <w:ind w:right="0"/>
        <w:jc w:val="both"/>
      </w:pPr>
      <w:r>
        <w:rPr/>
        <w:t>力资源部，根据《中华人民共和国劳动法》、《公司法》及国家有关政策的规定，制定了独立的劳动人事</w:t>
      </w:r>
    </w:p>
    <w:p>
      <w:pPr>
        <w:pStyle w:val="BodyText"/>
        <w:spacing w:line="273" w:lineRule="auto" w:before="37"/>
        <w:ind w:right="1133"/>
        <w:jc w:val="left"/>
      </w:pPr>
      <w:r>
        <w:rPr>
          <w:spacing w:val="-2"/>
        </w:rPr>
        <w:t>管理制度，并实行全员劳动合同制，由本公司与员工独立签订劳动合同，做到人员管理制度化和规范化；</w:t>
      </w:r>
      <w:r>
        <w:rPr>
          <w:spacing w:val="-21"/>
        </w:rPr>
        <w:t> </w:t>
      </w:r>
      <w:r>
        <w:rPr>
          <w:spacing w:val="-21"/>
        </w:rPr>
      </w:r>
      <w:r>
        <w:rPr/>
        <w:t>本公司在员工的社会保障、工薪报酬等方面实行独立管理。</w:t>
      </w:r>
    </w:p>
    <w:p>
      <w:pPr>
        <w:pStyle w:val="BodyText"/>
        <w:spacing w:line="307" w:lineRule="auto" w:before="49"/>
        <w:ind w:left="501" w:right="1133"/>
        <w:jc w:val="left"/>
      </w:pPr>
      <w:r>
        <w:rPr/>
        <w:t>（三）资产独立</w:t>
      </w:r>
      <w:r>
        <w:rPr>
          <w:spacing w:val="-103"/>
        </w:rPr>
        <w:t> </w:t>
      </w:r>
      <w:r>
        <w:rPr>
          <w:spacing w:val="-103"/>
        </w:rPr>
      </w:r>
      <w:r>
        <w:rPr/>
        <w:t>本公司以整体变更的方式设立，设立时各发起人投入本公司的资产已经武汉众环会计师事务所有限责</w:t>
      </w:r>
    </w:p>
    <w:p>
      <w:pPr>
        <w:pStyle w:val="BodyText"/>
        <w:spacing w:line="269" w:lineRule="exact"/>
        <w:ind w:right="0"/>
        <w:jc w:val="both"/>
      </w:pPr>
      <w:r>
        <w:rPr/>
        <w:t>任公司出具的武众会内（</w:t>
      </w:r>
      <w:r>
        <w:rPr>
          <w:rFonts w:ascii="Times New Roman" w:hAnsi="Times New Roman" w:cs="Times New Roman" w:eastAsia="Times New Roman" w:hint="default"/>
        </w:rPr>
        <w:t>2001</w:t>
      </w:r>
      <w:r>
        <w:rPr/>
        <w:t>）</w:t>
      </w:r>
      <w:r>
        <w:rPr>
          <w:rFonts w:ascii="Times New Roman" w:hAnsi="Times New Roman" w:cs="Times New Roman" w:eastAsia="Times New Roman" w:hint="default"/>
        </w:rPr>
        <w:t>049</w:t>
      </w:r>
      <w:r>
        <w:rPr/>
        <w:t>号《验资报告》验证。本公司和控股股东产权关系明晰，资产完整并</w:t>
      </w:r>
    </w:p>
    <w:p>
      <w:pPr>
        <w:pStyle w:val="BodyText"/>
        <w:spacing w:line="273" w:lineRule="auto" w:before="21"/>
        <w:ind w:right="1105"/>
        <w:jc w:val="both"/>
      </w:pPr>
      <w:r>
        <w:rPr>
          <w:spacing w:val="-2"/>
        </w:rPr>
        <w:t>由本公司实际控制和使用，本公司拥有独立的经营系统和配套设施以及专有技术、计算机著作权等资产，</w:t>
      </w:r>
      <w:r>
        <w:rPr>
          <w:spacing w:val="-21"/>
        </w:rPr>
        <w:t> </w:t>
      </w:r>
      <w:r>
        <w:rPr>
          <w:spacing w:val="-21"/>
        </w:rPr>
      </w:r>
      <w:r>
        <w:rPr>
          <w:spacing w:val="-2"/>
        </w:rPr>
        <w:t>拥有独立的经营场所，对全部资产拥有完全的控制支配权。本公司资产独立于控股股东和其他发起人，不</w:t>
      </w:r>
      <w:r>
        <w:rPr>
          <w:spacing w:val="-43"/>
        </w:rPr>
        <w:t> </w:t>
      </w:r>
      <w:r>
        <w:rPr>
          <w:spacing w:val="-43"/>
        </w:rPr>
      </w:r>
      <w:r>
        <w:rPr/>
        <w:t>存在其资产、资金被控股股东占用而损害公司利益的情况。</w:t>
      </w:r>
    </w:p>
    <w:p>
      <w:pPr>
        <w:pStyle w:val="BodyText"/>
        <w:spacing w:line="307" w:lineRule="auto" w:before="46"/>
        <w:ind w:left="501" w:right="1133"/>
        <w:jc w:val="left"/>
      </w:pPr>
      <w:r>
        <w:rPr/>
        <w:t>（四）机构独立</w:t>
      </w:r>
      <w:r>
        <w:rPr>
          <w:spacing w:val="-103"/>
        </w:rPr>
        <w:t> </w:t>
      </w:r>
      <w:r>
        <w:rPr>
          <w:spacing w:val="-103"/>
        </w:rPr>
      </w:r>
      <w:r>
        <w:rPr/>
        <w:t>本公司根据《公司法》、《证券法》及《公司章程》的规定，建立健全了股东大会、董事会、监事会</w:t>
      </w:r>
    </w:p>
    <w:p>
      <w:pPr>
        <w:pStyle w:val="BodyText"/>
        <w:spacing w:line="253" w:lineRule="exact"/>
        <w:ind w:right="0"/>
        <w:jc w:val="both"/>
      </w:pPr>
      <w:r>
        <w:rPr/>
        <w:t>及管理层的运作体系，并制定了相应的议事规则和工作细则。本公司设立了健全的组织机构体系，拥有独</w:t>
      </w:r>
    </w:p>
    <w:p>
      <w:pPr>
        <w:pStyle w:val="BodyText"/>
        <w:spacing w:line="273" w:lineRule="auto" w:before="37"/>
        <w:ind w:right="1133"/>
        <w:jc w:val="left"/>
      </w:pPr>
      <w:r>
        <w:rPr>
          <w:spacing w:val="-2"/>
        </w:rPr>
        <w:t>立于控股股东的经营场所和经营机构，不存在与控股股东混合经营、合署办公的情形。本公司各业务部门</w:t>
      </w:r>
      <w:r>
        <w:rPr>
          <w:spacing w:val="-44"/>
        </w:rPr>
        <w:t> </w:t>
      </w:r>
      <w:r>
        <w:rPr>
          <w:spacing w:val="-44"/>
        </w:rPr>
      </w:r>
      <w:r>
        <w:rPr/>
        <w:t>及办事机构的设置方案不存在受控股股东及其他任何单位或个人干预的情形。</w:t>
      </w:r>
    </w:p>
    <w:p>
      <w:pPr>
        <w:pStyle w:val="BodyText"/>
        <w:spacing w:line="307" w:lineRule="auto" w:before="48"/>
        <w:ind w:left="501" w:right="1133"/>
        <w:jc w:val="left"/>
      </w:pPr>
      <w:r>
        <w:rPr/>
        <w:t>（五）财务独立</w:t>
      </w:r>
      <w:r>
        <w:rPr>
          <w:spacing w:val="-103"/>
        </w:rPr>
        <w:t> </w:t>
      </w:r>
      <w:r>
        <w:rPr>
          <w:spacing w:val="-103"/>
        </w:rPr>
      </w:r>
      <w:r>
        <w:rPr/>
        <w:t>本公司设有独立的财务部门，建立了独立的会计核算体系和财务管理制度，配备专职财务人员，并实</w:t>
      </w:r>
    </w:p>
    <w:p>
      <w:pPr>
        <w:pStyle w:val="BodyText"/>
        <w:spacing w:line="253" w:lineRule="exact"/>
        <w:ind w:right="0"/>
        <w:jc w:val="both"/>
      </w:pPr>
      <w:r>
        <w:rPr/>
        <w:t>施严格的内部审计制度，不存在本公司股东或其他关联方干预本公司资金使用的情况；本公司拥有独立的</w:t>
      </w:r>
    </w:p>
    <w:p>
      <w:pPr>
        <w:pStyle w:val="BodyText"/>
        <w:spacing w:line="273" w:lineRule="auto" w:before="37"/>
        <w:ind w:right="1133"/>
        <w:jc w:val="left"/>
      </w:pPr>
      <w:r>
        <w:rPr>
          <w:spacing w:val="-2"/>
        </w:rPr>
        <w:t>银行账户，独立进行纳税申报并履行纳税义务，本公司股东及其他关联方没有非正常占用本公司资金、资</w:t>
      </w:r>
      <w:r>
        <w:rPr>
          <w:spacing w:val="-43"/>
        </w:rPr>
        <w:t> </w:t>
      </w:r>
      <w:r>
        <w:rPr>
          <w:spacing w:val="-43"/>
        </w:rPr>
      </w:r>
      <w:r>
        <w:rPr/>
        <w:t>产和其他资源。</w:t>
      </w:r>
    </w:p>
    <w:p>
      <w:pPr>
        <w:spacing w:after="0" w:line="273"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3"/>
        <w:spacing w:line="240" w:lineRule="auto" w:before="26"/>
        <w:ind w:right="1133"/>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spacing w:before="44"/>
        <w:ind w:left="152" w:right="1138" w:firstLine="0"/>
        <w:jc w:val="right"/>
        <w:rPr>
          <w:rFonts w:ascii="宋体" w:hAnsi="宋体" w:cs="宋体" w:eastAsia="宋体" w:hint="default"/>
          <w:sz w:val="18"/>
          <w:szCs w:val="18"/>
        </w:rPr>
      </w:pPr>
      <w:r>
        <w:rPr/>
        <w:pict>
          <v:shape style="position:absolute;margin-left:56.400002pt;margin-top:-103.238281pt;width:479.15pt;height:174.5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274"/>
                    <w:gridCol w:w="853"/>
                    <w:gridCol w:w="850"/>
                    <w:gridCol w:w="994"/>
                    <w:gridCol w:w="4038"/>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51" w:right="60" w:hanging="92"/>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4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7"/>
                          <w:jc w:val="left"/>
                          <w:rPr>
                            <w:rFonts w:ascii="宋体" w:hAnsi="宋体" w:cs="宋体" w:eastAsia="宋体" w:hint="default"/>
                            <w:sz w:val="18"/>
                            <w:szCs w:val="18"/>
                          </w:rPr>
                        </w:pPr>
                        <w:r>
                          <w:rPr>
                            <w:rFonts w:ascii="宋体" w:hAnsi="宋体" w:cs="宋体" w:eastAsia="宋体" w:hint="default"/>
                            <w:spacing w:val="-9"/>
                            <w:sz w:val="18"/>
                            <w:szCs w:val="18"/>
                          </w:rPr>
                          <w:t>详见《中国证券报》、《证券时报》及巨潮资讯网</w:t>
                        </w:r>
                        <w:r>
                          <w:rPr>
                            <w:rFonts w:ascii="宋体" w:hAnsi="宋体" w:cs="宋体" w:eastAsia="宋体" w:hint="default"/>
                            <w:spacing w:val="-74"/>
                            <w:sz w:val="18"/>
                            <w:szCs w:val="18"/>
                          </w:rPr>
                          <w:t> </w:t>
                        </w:r>
                        <w:r>
                          <w:rPr>
                            <w:rFonts w:ascii="宋体" w:hAnsi="宋体" w:cs="宋体" w:eastAsia="宋体" w:hint="default"/>
                            <w:spacing w:val="-74"/>
                            <w:sz w:val="18"/>
                            <w:szCs w:val="18"/>
                          </w:rPr>
                        </w:r>
                        <w:hyperlink r:id="rId36">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的《关于公司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 </w:t>
                        </w:r>
                        <w:r>
                          <w:rPr>
                            <w:rFonts w:ascii="宋体" w:hAnsi="宋体" w:cs="宋体" w:eastAsia="宋体" w:hint="default"/>
                            <w:spacing w:val="-6"/>
                            <w:sz w:val="18"/>
                            <w:szCs w:val="18"/>
                          </w:rPr>
                          <w:t>股东大会决议公告》（</w:t>
                        </w:r>
                        <w:r>
                          <w:rPr>
                            <w:rFonts w:ascii="Times New Roman" w:hAnsi="Times New Roman" w:cs="Times New Roman" w:eastAsia="Times New Roman" w:hint="default"/>
                            <w:spacing w:val="-6"/>
                            <w:sz w:val="18"/>
                            <w:szCs w:val="18"/>
                          </w:rPr>
                          <w:t>2018-08</w:t>
                        </w:r>
                        <w:r>
                          <w:rPr>
                            <w:rFonts w:ascii="宋体" w:hAnsi="宋体" w:cs="宋体" w:eastAsia="宋体" w:hint="default"/>
                            <w:spacing w:val="-6"/>
                            <w:sz w:val="18"/>
                            <w:szCs w:val="18"/>
                          </w:rPr>
                          <w:t>）</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详见《中国证券报</w:t>
                        </w:r>
                        <w:r>
                          <w:rPr>
                            <w:rFonts w:ascii="宋体" w:hAnsi="宋体" w:cs="宋体" w:eastAsia="宋体" w:hint="default"/>
                            <w:spacing w:val="-92"/>
                            <w:sz w:val="18"/>
                            <w:szCs w:val="18"/>
                          </w:rPr>
                          <w:t>》、</w:t>
                        </w:r>
                        <w:r>
                          <w:rPr>
                            <w:rFonts w:ascii="宋体" w:hAnsi="宋体" w:cs="宋体" w:eastAsia="宋体" w:hint="default"/>
                            <w:sz w:val="18"/>
                            <w:szCs w:val="18"/>
                          </w:rPr>
                          <w:t>《证券</w:t>
                        </w:r>
                        <w:r>
                          <w:rPr>
                            <w:rFonts w:ascii="宋体" w:hAnsi="宋体" w:cs="宋体" w:eastAsia="宋体" w:hint="default"/>
                            <w:spacing w:val="2"/>
                            <w:sz w:val="18"/>
                            <w:szCs w:val="18"/>
                          </w:rPr>
                          <w:t>时</w:t>
                        </w:r>
                        <w:r>
                          <w:rPr>
                            <w:rFonts w:ascii="宋体" w:hAnsi="宋体" w:cs="宋体" w:eastAsia="宋体" w:hint="default"/>
                            <w:sz w:val="18"/>
                            <w:szCs w:val="18"/>
                          </w:rPr>
                          <w:t>报》及巨潮资讯网</w:t>
                        </w:r>
                      </w:p>
                      <w:p>
                        <w:pPr>
                          <w:pStyle w:val="TableParagraph"/>
                          <w:spacing w:line="240" w:lineRule="auto" w:before="74"/>
                          <w:ind w:left="24" w:right="0"/>
                          <w:jc w:val="left"/>
                          <w:rPr>
                            <w:rFonts w:ascii="Times New Roman" w:hAnsi="Times New Roman" w:cs="Times New Roman" w:eastAsia="Times New Roman" w:hint="default"/>
                            <w:sz w:val="18"/>
                            <w:szCs w:val="18"/>
                          </w:rPr>
                        </w:pPr>
                        <w:hyperlink r:id="rId36">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m</w:t>
                          </w:r>
                          <w:r>
                            <w:rPr>
                              <w:rFonts w:ascii="Times New Roman" w:hAnsi="Times New Roman" w:cs="Times New Roman" w:eastAsia="Times New Roman" w:hint="default"/>
                              <w:spacing w:val="-2"/>
                              <w:sz w:val="18"/>
                              <w:szCs w:val="18"/>
                            </w:rPr>
                            <w:t> </w:t>
                          </w:r>
                        </w:hyperlink>
                        <w:r>
                          <w:rPr>
                            <w:rFonts w:ascii="宋体" w:hAnsi="宋体" w:cs="宋体" w:eastAsia="宋体" w:hint="default"/>
                            <w:spacing w:val="-53"/>
                            <w:sz w:val="18"/>
                            <w:szCs w:val="18"/>
                          </w:rPr>
                          <w:t>的</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度</w:t>
                        </w:r>
                        <w:r>
                          <w:rPr>
                            <w:rFonts w:ascii="宋体" w:hAnsi="宋体" w:cs="宋体" w:eastAsia="宋体" w:hint="default"/>
                            <w:sz w:val="18"/>
                            <w:szCs w:val="18"/>
                          </w:rPr>
                          <w:t>股东大会</w:t>
                        </w:r>
                        <w:r>
                          <w:rPr>
                            <w:rFonts w:ascii="宋体" w:hAnsi="宋体" w:cs="宋体" w:eastAsia="宋体" w:hint="default"/>
                            <w:spacing w:val="-1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27</w:t>
                        </w:r>
                        <w:r>
                          <w:rPr>
                            <w:rFonts w:ascii="Times New Roman" w:hAnsi="Times New Roman" w:cs="Times New Roman" w:eastAsia="Times New Roman" w:hint="default"/>
                            <w:sz w:val="18"/>
                            <w:szCs w:val="18"/>
                          </w:rPr>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7"/>
                          <w:jc w:val="left"/>
                          <w:rPr>
                            <w:rFonts w:ascii="宋体" w:hAnsi="宋体" w:cs="宋体" w:eastAsia="宋体" w:hint="default"/>
                            <w:sz w:val="18"/>
                            <w:szCs w:val="18"/>
                          </w:rPr>
                        </w:pPr>
                        <w:r>
                          <w:rPr>
                            <w:rFonts w:ascii="宋体" w:hAnsi="宋体" w:cs="宋体" w:eastAsia="宋体" w:hint="default"/>
                            <w:spacing w:val="-9"/>
                            <w:sz w:val="18"/>
                            <w:szCs w:val="18"/>
                          </w:rPr>
                          <w:t>详见《中国证券报》、《证券时报》及巨潮资讯网</w:t>
                        </w:r>
                        <w:r>
                          <w:rPr>
                            <w:rFonts w:ascii="宋体" w:hAnsi="宋体" w:cs="宋体" w:eastAsia="宋体" w:hint="default"/>
                            <w:spacing w:val="-74"/>
                            <w:sz w:val="18"/>
                            <w:szCs w:val="18"/>
                          </w:rPr>
                          <w:t> </w:t>
                        </w:r>
                        <w:r>
                          <w:rPr>
                            <w:rFonts w:ascii="宋体" w:hAnsi="宋体" w:cs="宋体" w:eastAsia="宋体" w:hint="default"/>
                            <w:spacing w:val="-74"/>
                            <w:sz w:val="18"/>
                            <w:szCs w:val="18"/>
                          </w:rPr>
                        </w:r>
                        <w:hyperlink r:id="rId36">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的《关于公司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 </w:t>
                        </w:r>
                        <w:r>
                          <w:rPr>
                            <w:rFonts w:ascii="宋体" w:hAnsi="宋体" w:cs="宋体" w:eastAsia="宋体" w:hint="default"/>
                            <w:spacing w:val="-6"/>
                            <w:sz w:val="18"/>
                            <w:szCs w:val="18"/>
                          </w:rPr>
                          <w:t>股东大会决议公告》（</w:t>
                        </w:r>
                        <w:r>
                          <w:rPr>
                            <w:rFonts w:ascii="Times New Roman" w:hAnsi="Times New Roman" w:cs="Times New Roman" w:eastAsia="Times New Roman" w:hint="default"/>
                            <w:spacing w:val="-6"/>
                            <w:sz w:val="18"/>
                            <w:szCs w:val="18"/>
                          </w:rPr>
                          <w:t>2018-43</w:t>
                        </w:r>
                        <w:r>
                          <w:rPr>
                            <w:rFonts w:ascii="宋体" w:hAnsi="宋体" w:cs="宋体" w:eastAsia="宋体" w:hint="default"/>
                            <w:spacing w:val="-6"/>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7"/>
        <w:spacing w:line="240" w:lineRule="auto" w:before="36"/>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2"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邹小杰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bl>
    <w:p>
      <w:pPr>
        <w:spacing w:line="357" w:lineRule="auto" w:before="49"/>
        <w:ind w:left="152" w:right="553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报告期内公司独立董事未出现连续两次未亲自出席董事会的情形。</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after="0" w:line="338"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113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独立董事对公司有关建议被采纳或未被采纳的说明</w:t>
      </w:r>
    </w:p>
    <w:p>
      <w:pPr>
        <w:pStyle w:val="BodyText"/>
        <w:spacing w:line="273" w:lineRule="auto" w:before="21"/>
        <w:ind w:right="1105" w:firstLine="331"/>
        <w:jc w:val="both"/>
      </w:pPr>
      <w:r>
        <w:rPr/>
        <w:t>报告期内，公司独立董事勤勉尽责，切实履行了独立董事的职责，认真审阅董事会审议的各项议案，</w:t>
      </w:r>
      <w:r>
        <w:rPr>
          <w:w w:val="100"/>
        </w:rPr>
        <w:t> </w:t>
      </w:r>
      <w:r>
        <w:rPr>
          <w:spacing w:val="-2"/>
        </w:rPr>
        <w:t>对公司重大事项均发表了独立意见。独立董事利用参加董事会、股东大会及其他时间深入了解公司经营情</w:t>
      </w:r>
      <w:r>
        <w:rPr>
          <w:spacing w:val="-43"/>
        </w:rPr>
        <w:t> </w:t>
      </w:r>
      <w:r>
        <w:rPr>
          <w:spacing w:val="-43"/>
        </w:rPr>
      </w:r>
      <w:r>
        <w:rPr>
          <w:spacing w:val="-2"/>
        </w:rPr>
        <w:t>况，并与董事、监事、管理层进行沟通，对公司治理、财务管理、风险控制等方面提出了合理化的建议，</w:t>
      </w:r>
      <w:r>
        <w:rPr>
          <w:spacing w:val="-21"/>
        </w:rPr>
        <w:t> </w:t>
      </w:r>
      <w:r>
        <w:rPr>
          <w:spacing w:val="-21"/>
        </w:rPr>
      </w:r>
      <w:r>
        <w:rPr>
          <w:spacing w:val="-2"/>
        </w:rPr>
        <w:t>公司均予以采纳。报告期内公司独立董事对有关事项均发表了独立认同意见及独立董事事前认可意见，具</w:t>
      </w:r>
      <w:r>
        <w:rPr>
          <w:spacing w:val="-44"/>
        </w:rPr>
        <w:t> </w:t>
      </w:r>
      <w:r>
        <w:rPr>
          <w:spacing w:val="-44"/>
        </w:rPr>
      </w:r>
      <w:r>
        <w:rPr/>
        <w:t>体情况如下：</w:t>
      </w:r>
    </w:p>
    <w:tbl>
      <w:tblPr>
        <w:tblW w:w="0" w:type="auto"/>
        <w:jc w:val="left"/>
        <w:tblInd w:w="145" w:type="dxa"/>
        <w:tblLayout w:type="fixed"/>
        <w:tblCellMar>
          <w:top w:w="0" w:type="dxa"/>
          <w:left w:w="0" w:type="dxa"/>
          <w:bottom w:w="0" w:type="dxa"/>
          <w:right w:w="0" w:type="dxa"/>
        </w:tblCellMar>
        <w:tblLook w:val="01E0"/>
      </w:tblPr>
      <w:tblGrid>
        <w:gridCol w:w="536"/>
        <w:gridCol w:w="991"/>
        <w:gridCol w:w="6806"/>
        <w:gridCol w:w="1524"/>
      </w:tblGrid>
      <w:tr>
        <w:trPr>
          <w:trHeight w:val="425" w:hRule="exact"/>
        </w:trPr>
        <w:tc>
          <w:tcPr>
            <w:tcW w:w="5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8"/>
              <w:ind w:left="50"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8"/>
              <w:ind w:left="67" w:right="0"/>
              <w:jc w:val="left"/>
              <w:rPr>
                <w:rFonts w:ascii="宋体" w:hAnsi="宋体" w:cs="宋体" w:eastAsia="宋体" w:hint="default"/>
                <w:sz w:val="21"/>
                <w:szCs w:val="21"/>
              </w:rPr>
            </w:pPr>
            <w:r>
              <w:rPr>
                <w:rFonts w:ascii="宋体" w:hAnsi="宋体" w:cs="宋体" w:eastAsia="宋体" w:hint="default"/>
                <w:b/>
                <w:bCs/>
                <w:sz w:val="21"/>
                <w:szCs w:val="21"/>
              </w:rPr>
              <w:t>披露日期</w:t>
            </w:r>
            <w:r>
              <w:rPr>
                <w:rFonts w:ascii="宋体" w:hAnsi="宋体" w:cs="宋体" w:eastAsia="宋体" w:hint="default"/>
                <w:sz w:val="21"/>
                <w:szCs w:val="21"/>
              </w:rPr>
            </w:r>
          </w:p>
        </w:tc>
        <w:tc>
          <w:tcPr>
            <w:tcW w:w="68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b/>
                <w:bCs/>
                <w:sz w:val="21"/>
                <w:szCs w:val="21"/>
              </w:rPr>
              <w:t>摘要</w:t>
            </w:r>
            <w:r>
              <w:rPr>
                <w:rFonts w:ascii="宋体" w:hAnsi="宋体" w:cs="宋体" w:eastAsia="宋体" w:hint="default"/>
                <w:sz w:val="21"/>
                <w:szCs w:val="21"/>
              </w:rPr>
            </w:r>
          </w:p>
        </w:tc>
        <w:tc>
          <w:tcPr>
            <w:tcW w:w="15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8"/>
              <w:ind w:left="122" w:right="0"/>
              <w:jc w:val="left"/>
              <w:rPr>
                <w:rFonts w:ascii="宋体" w:hAnsi="宋体" w:cs="宋体" w:eastAsia="宋体" w:hint="default"/>
                <w:sz w:val="21"/>
                <w:szCs w:val="21"/>
              </w:rPr>
            </w:pPr>
            <w:r>
              <w:rPr>
                <w:rFonts w:ascii="宋体" w:hAnsi="宋体" w:cs="宋体" w:eastAsia="宋体" w:hint="default"/>
                <w:b/>
                <w:bCs/>
                <w:sz w:val="21"/>
                <w:szCs w:val="21"/>
              </w:rPr>
              <w:t>出具意见董事</w:t>
            </w:r>
            <w:r>
              <w:rPr>
                <w:rFonts w:ascii="宋体" w:hAnsi="宋体" w:cs="宋体" w:eastAsia="宋体" w:hint="default"/>
                <w:sz w:val="21"/>
                <w:szCs w:val="21"/>
              </w:rPr>
            </w:r>
          </w:p>
        </w:tc>
      </w:tr>
      <w:tr>
        <w:trPr>
          <w:trHeight w:val="661" w:hRule="exact"/>
        </w:trPr>
        <w:tc>
          <w:tcPr>
            <w:tcW w:w="5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1</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0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独立董事关于出售全资子公司</w:t>
            </w:r>
            <w:r>
              <w:rPr>
                <w:rFonts w:ascii="Times New Roman" w:hAnsi="Times New Roman" w:cs="Times New Roman" w:eastAsia="Times New Roman" w:hint="default"/>
                <w:sz w:val="18"/>
                <w:szCs w:val="18"/>
              </w:rPr>
              <w:t>Shiji Retail Information Technology Co.</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z w:val="18"/>
                <w:szCs w:val="18"/>
              </w:rPr>
              <w:t>Ltd.38%</w:t>
            </w:r>
            <w:r>
              <w:rPr>
                <w:rFonts w:ascii="宋体" w:hAnsi="宋体" w:cs="宋体" w:eastAsia="宋体" w:hint="default"/>
                <w:sz w:val="18"/>
                <w:szCs w:val="18"/>
              </w:rPr>
              <w:t>股权暨关 联交易的事前认可意见及独立意见</w:t>
            </w:r>
          </w:p>
        </w:tc>
        <w:tc>
          <w:tcPr>
            <w:tcW w:w="152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316" w:lineRule="auto"/>
              <w:ind w:left="2" w:right="-10"/>
              <w:jc w:val="left"/>
              <w:rPr>
                <w:rFonts w:ascii="宋体" w:hAnsi="宋体" w:cs="宋体" w:eastAsia="宋体" w:hint="default"/>
                <w:sz w:val="18"/>
                <w:szCs w:val="18"/>
              </w:rPr>
            </w:pPr>
            <w:r>
              <w:rPr>
                <w:rFonts w:ascii="宋体" w:hAnsi="宋体" w:cs="宋体" w:eastAsia="宋体" w:hint="default"/>
                <w:spacing w:val="9"/>
                <w:sz w:val="18"/>
                <w:szCs w:val="18"/>
              </w:rPr>
              <w:t>邹小杰、刘丹萍、 </w:t>
            </w:r>
            <w:r>
              <w:rPr>
                <w:rFonts w:ascii="宋体" w:hAnsi="宋体" w:cs="宋体" w:eastAsia="宋体" w:hint="default"/>
                <w:sz w:val="18"/>
                <w:szCs w:val="18"/>
              </w:rPr>
              <w:t>叶金福</w:t>
            </w:r>
          </w:p>
        </w:tc>
      </w:tr>
      <w:tr>
        <w:trPr>
          <w:trHeight w:val="660" w:hRule="exact"/>
        </w:trPr>
        <w:tc>
          <w:tcPr>
            <w:tcW w:w="536"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68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2"/>
                <w:sz w:val="18"/>
                <w:szCs w:val="18"/>
              </w:rPr>
              <w:t>独立董事关于公司及控股子公司拟与淘宝（中国）软件有限公司签署《战略合作框架协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议》暨关联交易的事前认可意见及独立意见</w:t>
            </w:r>
          </w:p>
        </w:tc>
        <w:tc>
          <w:tcPr>
            <w:tcW w:w="1524" w:type="dxa"/>
            <w:vMerge/>
            <w:tcBorders>
              <w:left w:val="single" w:sz="6" w:space="0" w:color="000000"/>
              <w:right w:val="single" w:sz="6" w:space="0" w:color="000000"/>
            </w:tcBorders>
          </w:tcPr>
          <w:p>
            <w:pPr/>
          </w:p>
        </w:tc>
      </w:tr>
      <w:tr>
        <w:trPr>
          <w:trHeight w:val="346" w:hRule="exact"/>
        </w:trPr>
        <w:tc>
          <w:tcPr>
            <w:tcW w:w="536"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6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独立董事关于关于使用闲置自有资金购买理财产品的独立意见</w:t>
            </w:r>
          </w:p>
        </w:tc>
        <w:tc>
          <w:tcPr>
            <w:tcW w:w="1524" w:type="dxa"/>
            <w:vMerge/>
            <w:tcBorders>
              <w:left w:val="single" w:sz="6" w:space="0" w:color="000000"/>
              <w:bottom w:val="single" w:sz="6" w:space="0" w:color="000000"/>
              <w:right w:val="single" w:sz="6" w:space="0" w:color="000000"/>
            </w:tcBorders>
          </w:tcPr>
          <w:p>
            <w:pPr/>
          </w:p>
        </w:tc>
      </w:tr>
      <w:tr>
        <w:trPr>
          <w:trHeight w:val="660" w:hRule="exact"/>
        </w:trPr>
        <w:tc>
          <w:tcPr>
            <w:tcW w:w="5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4" w:right="0"/>
              <w:jc w:val="left"/>
              <w:rPr>
                <w:rFonts w:ascii="Times New Roman" w:hAnsi="Times New Roman" w:cs="Times New Roman" w:eastAsia="Times New Roman" w:hint="default"/>
                <w:sz w:val="18"/>
                <w:szCs w:val="18"/>
              </w:rPr>
            </w:pPr>
            <w:r>
              <w:rPr>
                <w:rFonts w:ascii="Times New Roman"/>
                <w:sz w:val="18"/>
              </w:rPr>
              <w:t>2</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68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2"/>
                <w:sz w:val="18"/>
                <w:szCs w:val="18"/>
              </w:rPr>
              <w:t>独立董事关于对外担保、关联方资金占用情况及关联交易情况出具的专项说明和独立意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见</w:t>
            </w:r>
          </w:p>
        </w:tc>
        <w:tc>
          <w:tcPr>
            <w:tcW w:w="152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 w:right="-10"/>
              <w:jc w:val="left"/>
              <w:rPr>
                <w:rFonts w:ascii="宋体" w:hAnsi="宋体" w:cs="宋体" w:eastAsia="宋体" w:hint="default"/>
                <w:sz w:val="18"/>
                <w:szCs w:val="18"/>
              </w:rPr>
            </w:pPr>
            <w:r>
              <w:rPr>
                <w:rFonts w:ascii="宋体" w:hAnsi="宋体" w:cs="宋体" w:eastAsia="宋体" w:hint="default"/>
                <w:spacing w:val="9"/>
                <w:sz w:val="18"/>
                <w:szCs w:val="18"/>
              </w:rPr>
              <w:t>邹小杰、刘丹萍、 </w:t>
            </w:r>
            <w:r>
              <w:rPr>
                <w:rFonts w:ascii="宋体" w:hAnsi="宋体" w:cs="宋体" w:eastAsia="宋体" w:hint="default"/>
                <w:sz w:val="18"/>
                <w:szCs w:val="18"/>
              </w:rPr>
              <w:t>叶金福</w:t>
            </w:r>
          </w:p>
        </w:tc>
      </w:tr>
      <w:tr>
        <w:trPr>
          <w:trHeight w:val="346" w:hRule="exact"/>
        </w:trPr>
        <w:tc>
          <w:tcPr>
            <w:tcW w:w="536"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6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独立董事关于内部控制评价报告的独立意见</w:t>
            </w:r>
          </w:p>
        </w:tc>
        <w:tc>
          <w:tcPr>
            <w:tcW w:w="1524" w:type="dxa"/>
            <w:vMerge/>
            <w:tcBorders>
              <w:left w:val="single" w:sz="6" w:space="0" w:color="000000"/>
              <w:right w:val="single" w:sz="6" w:space="0" w:color="000000"/>
            </w:tcBorders>
          </w:tcPr>
          <w:p>
            <w:pPr/>
          </w:p>
        </w:tc>
      </w:tr>
      <w:tr>
        <w:trPr>
          <w:trHeight w:val="348" w:hRule="exact"/>
        </w:trPr>
        <w:tc>
          <w:tcPr>
            <w:tcW w:w="536"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6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独立董事关于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年度高级管理人员薪酬的独立意见</w:t>
            </w:r>
          </w:p>
        </w:tc>
        <w:tc>
          <w:tcPr>
            <w:tcW w:w="1524" w:type="dxa"/>
            <w:vMerge/>
            <w:tcBorders>
              <w:left w:val="single" w:sz="6" w:space="0" w:color="000000"/>
              <w:right w:val="single" w:sz="6" w:space="0" w:color="000000"/>
            </w:tcBorders>
          </w:tcPr>
          <w:p>
            <w:pPr/>
          </w:p>
        </w:tc>
      </w:tr>
      <w:tr>
        <w:trPr>
          <w:trHeight w:val="348" w:hRule="exact"/>
        </w:trPr>
        <w:tc>
          <w:tcPr>
            <w:tcW w:w="536"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6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独立董事关于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年度利润分配方案的独立意见</w:t>
            </w:r>
          </w:p>
        </w:tc>
        <w:tc>
          <w:tcPr>
            <w:tcW w:w="1524" w:type="dxa"/>
            <w:vMerge/>
            <w:tcBorders>
              <w:left w:val="single" w:sz="6" w:space="0" w:color="000000"/>
              <w:right w:val="single" w:sz="6" w:space="0" w:color="000000"/>
            </w:tcBorders>
          </w:tcPr>
          <w:p>
            <w:pPr/>
          </w:p>
        </w:tc>
      </w:tr>
      <w:tr>
        <w:trPr>
          <w:trHeight w:val="658" w:hRule="exact"/>
        </w:trPr>
        <w:tc>
          <w:tcPr>
            <w:tcW w:w="536"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680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2"/>
              <w:jc w:val="left"/>
              <w:rPr>
                <w:rFonts w:ascii="宋体" w:hAnsi="宋体" w:cs="宋体" w:eastAsia="宋体" w:hint="default"/>
                <w:sz w:val="18"/>
                <w:szCs w:val="18"/>
              </w:rPr>
            </w:pPr>
            <w:r>
              <w:rPr>
                <w:rFonts w:ascii="宋体" w:hAnsi="宋体" w:cs="宋体" w:eastAsia="宋体" w:hint="default"/>
                <w:spacing w:val="-2"/>
                <w:sz w:val="18"/>
                <w:szCs w:val="18"/>
              </w:rPr>
              <w:t>独立董事关于续聘信永中和会计师事务所（特殊普通合伙）担任公司</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年度审计机构</w:t>
            </w:r>
            <w:r>
              <w:rPr>
                <w:rFonts w:ascii="宋体" w:hAnsi="宋体" w:cs="宋体" w:eastAsia="宋体" w:hint="default"/>
                <w:spacing w:val="-64"/>
                <w:sz w:val="18"/>
                <w:szCs w:val="18"/>
              </w:rPr>
              <w:t> </w:t>
            </w:r>
            <w:r>
              <w:rPr>
                <w:rFonts w:ascii="宋体" w:hAnsi="宋体" w:cs="宋体" w:eastAsia="宋体" w:hint="default"/>
                <w:sz w:val="18"/>
                <w:szCs w:val="18"/>
              </w:rPr>
              <w:t>的事前认可意见及独立意见</w:t>
            </w:r>
          </w:p>
        </w:tc>
        <w:tc>
          <w:tcPr>
            <w:tcW w:w="1524" w:type="dxa"/>
            <w:vMerge/>
            <w:tcBorders>
              <w:left w:val="single" w:sz="6" w:space="0" w:color="000000"/>
              <w:right w:val="single" w:sz="6" w:space="0" w:color="000000"/>
            </w:tcBorders>
          </w:tcPr>
          <w:p>
            <w:pPr/>
          </w:p>
        </w:tc>
      </w:tr>
      <w:tr>
        <w:trPr>
          <w:trHeight w:val="348" w:hRule="exact"/>
        </w:trPr>
        <w:tc>
          <w:tcPr>
            <w:tcW w:w="536"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6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独立董事关于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年度募集资金存放与使用情况的独立意见</w:t>
            </w:r>
          </w:p>
        </w:tc>
        <w:tc>
          <w:tcPr>
            <w:tcW w:w="1524" w:type="dxa"/>
            <w:vMerge/>
            <w:tcBorders>
              <w:left w:val="single" w:sz="6" w:space="0" w:color="000000"/>
              <w:right w:val="single" w:sz="6" w:space="0" w:color="000000"/>
            </w:tcBorders>
          </w:tcPr>
          <w:p>
            <w:pPr/>
          </w:p>
        </w:tc>
      </w:tr>
      <w:tr>
        <w:trPr>
          <w:trHeight w:val="346" w:hRule="exact"/>
        </w:trPr>
        <w:tc>
          <w:tcPr>
            <w:tcW w:w="536"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6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独立董事关于公司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年使用部分闲置募集资金进行现金管理的独立意见</w:t>
            </w:r>
          </w:p>
        </w:tc>
        <w:tc>
          <w:tcPr>
            <w:tcW w:w="1524" w:type="dxa"/>
            <w:vMerge/>
            <w:tcBorders>
              <w:left w:val="single" w:sz="6" w:space="0" w:color="000000"/>
              <w:right w:val="single" w:sz="6" w:space="0" w:color="000000"/>
            </w:tcBorders>
          </w:tcPr>
          <w:p>
            <w:pPr/>
          </w:p>
        </w:tc>
      </w:tr>
      <w:tr>
        <w:trPr>
          <w:trHeight w:val="348" w:hRule="exact"/>
        </w:trPr>
        <w:tc>
          <w:tcPr>
            <w:tcW w:w="536"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6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独立董事关于公司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年度坏账核销的独立意见</w:t>
            </w:r>
          </w:p>
        </w:tc>
        <w:tc>
          <w:tcPr>
            <w:tcW w:w="1524" w:type="dxa"/>
            <w:vMerge/>
            <w:tcBorders>
              <w:left w:val="single" w:sz="6" w:space="0" w:color="000000"/>
              <w:right w:val="single" w:sz="6" w:space="0" w:color="000000"/>
            </w:tcBorders>
          </w:tcPr>
          <w:p>
            <w:pPr/>
          </w:p>
        </w:tc>
      </w:tr>
      <w:tr>
        <w:trPr>
          <w:trHeight w:val="346" w:hRule="exact"/>
        </w:trPr>
        <w:tc>
          <w:tcPr>
            <w:tcW w:w="536"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6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独立董事关于公司预计</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年度日常关联交易的事前认可意见</w:t>
            </w:r>
          </w:p>
        </w:tc>
        <w:tc>
          <w:tcPr>
            <w:tcW w:w="1524" w:type="dxa"/>
            <w:vMerge/>
            <w:tcBorders>
              <w:left w:val="single" w:sz="6" w:space="0" w:color="000000"/>
              <w:right w:val="single" w:sz="6" w:space="0" w:color="000000"/>
            </w:tcBorders>
          </w:tcPr>
          <w:p>
            <w:pPr/>
          </w:p>
        </w:tc>
      </w:tr>
      <w:tr>
        <w:trPr>
          <w:trHeight w:val="348" w:hRule="exact"/>
        </w:trPr>
        <w:tc>
          <w:tcPr>
            <w:tcW w:w="536"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6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独立董事关于公司预计</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年度日常关联交易的独立意见</w:t>
            </w:r>
          </w:p>
        </w:tc>
        <w:tc>
          <w:tcPr>
            <w:tcW w:w="1524" w:type="dxa"/>
            <w:vMerge/>
            <w:tcBorders>
              <w:left w:val="single" w:sz="6" w:space="0" w:color="000000"/>
              <w:right w:val="single" w:sz="6" w:space="0" w:color="000000"/>
            </w:tcBorders>
          </w:tcPr>
          <w:p>
            <w:pPr/>
          </w:p>
        </w:tc>
      </w:tr>
      <w:tr>
        <w:trPr>
          <w:trHeight w:val="660" w:hRule="exact"/>
        </w:trPr>
        <w:tc>
          <w:tcPr>
            <w:tcW w:w="536"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68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
              <w:jc w:val="left"/>
              <w:rPr>
                <w:rFonts w:ascii="宋体" w:hAnsi="宋体" w:cs="宋体" w:eastAsia="宋体" w:hint="default"/>
                <w:sz w:val="18"/>
                <w:szCs w:val="18"/>
              </w:rPr>
            </w:pPr>
            <w:r>
              <w:rPr>
                <w:rFonts w:ascii="宋体" w:hAnsi="宋体" w:cs="宋体" w:eastAsia="宋体" w:hint="default"/>
                <w:spacing w:val="2"/>
                <w:sz w:val="18"/>
                <w:szCs w:val="18"/>
              </w:rPr>
              <w:t>独立董事关于预计公司和参股公司日常关联交易金额与实际发生额存在差异的独立意</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见</w:t>
            </w:r>
          </w:p>
        </w:tc>
        <w:tc>
          <w:tcPr>
            <w:tcW w:w="1524" w:type="dxa"/>
            <w:vMerge/>
            <w:tcBorders>
              <w:left w:val="single" w:sz="6" w:space="0" w:color="000000"/>
              <w:bottom w:val="single" w:sz="6" w:space="0" w:color="000000"/>
              <w:right w:val="single" w:sz="6" w:space="0" w:color="000000"/>
            </w:tcBorders>
          </w:tcPr>
          <w:p>
            <w:pPr/>
          </w:p>
        </w:tc>
      </w:tr>
      <w:tr>
        <w:trPr>
          <w:trHeight w:val="658" w:hRule="exact"/>
        </w:trPr>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680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独立董事关于全资子公司石基（香港）有限公司与其控股子公司</w:t>
            </w:r>
            <w:r>
              <w:rPr>
                <w:rFonts w:ascii="Times New Roman" w:hAnsi="Times New Roman" w:cs="Times New Roman" w:eastAsia="Times New Roman" w:hint="default"/>
                <w:sz w:val="18"/>
                <w:szCs w:val="18"/>
              </w:rPr>
              <w:t>Shiji Retail</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sz w:val="18"/>
                <w:szCs w:val="18"/>
              </w:rPr>
              <w:t> Technology Co.</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签订《借款协议》的独立意见</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0"/>
              <w:jc w:val="left"/>
              <w:rPr>
                <w:rFonts w:ascii="宋体" w:hAnsi="宋体" w:cs="宋体" w:eastAsia="宋体" w:hint="default"/>
                <w:sz w:val="18"/>
                <w:szCs w:val="18"/>
              </w:rPr>
            </w:pPr>
            <w:r>
              <w:rPr>
                <w:rFonts w:ascii="宋体" w:hAnsi="宋体" w:cs="宋体" w:eastAsia="宋体" w:hint="default"/>
                <w:spacing w:val="9"/>
                <w:sz w:val="18"/>
                <w:szCs w:val="18"/>
              </w:rPr>
              <w:t>邹小杰、刘丹萍、 </w:t>
            </w:r>
            <w:r>
              <w:rPr>
                <w:rFonts w:ascii="宋体" w:hAnsi="宋体" w:cs="宋体" w:eastAsia="宋体" w:hint="default"/>
                <w:sz w:val="18"/>
                <w:szCs w:val="18"/>
              </w:rPr>
              <w:t>叶金福</w:t>
            </w:r>
          </w:p>
        </w:tc>
      </w:tr>
      <w:tr>
        <w:trPr>
          <w:trHeight w:val="660" w:hRule="exact"/>
        </w:trPr>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6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独立董事关于调整公司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年股票期权激励计划授予期权行权价格的独立意见</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0"/>
              <w:jc w:val="left"/>
              <w:rPr>
                <w:rFonts w:ascii="宋体" w:hAnsi="宋体" w:cs="宋体" w:eastAsia="宋体" w:hint="default"/>
                <w:sz w:val="18"/>
                <w:szCs w:val="18"/>
              </w:rPr>
            </w:pPr>
            <w:r>
              <w:rPr>
                <w:rFonts w:ascii="宋体" w:hAnsi="宋体" w:cs="宋体" w:eastAsia="宋体" w:hint="default"/>
                <w:spacing w:val="9"/>
                <w:sz w:val="18"/>
                <w:szCs w:val="18"/>
              </w:rPr>
              <w:t>邹小杰、刘丹萍、 </w:t>
            </w:r>
            <w:r>
              <w:rPr>
                <w:rFonts w:ascii="宋体" w:hAnsi="宋体" w:cs="宋体" w:eastAsia="宋体" w:hint="default"/>
                <w:sz w:val="18"/>
                <w:szCs w:val="18"/>
              </w:rPr>
              <w:t>叶金福</w:t>
            </w:r>
          </w:p>
        </w:tc>
      </w:tr>
      <w:tr>
        <w:trPr>
          <w:trHeight w:val="658" w:hRule="exact"/>
        </w:trPr>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680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8"/>
              <w:jc w:val="left"/>
              <w:rPr>
                <w:rFonts w:ascii="宋体" w:hAnsi="宋体" w:cs="宋体" w:eastAsia="宋体" w:hint="default"/>
                <w:sz w:val="18"/>
                <w:szCs w:val="18"/>
              </w:rPr>
            </w:pPr>
            <w:r>
              <w:rPr>
                <w:rFonts w:ascii="宋体" w:hAnsi="宋体" w:cs="宋体" w:eastAsia="宋体" w:hint="default"/>
                <w:spacing w:val="2"/>
                <w:sz w:val="18"/>
                <w:szCs w:val="18"/>
              </w:rPr>
              <w:t>独立董事关于终止公司募集资金投资项目并拟将剩余募集资金永久补充流动资金的独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立意见</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10"/>
              <w:jc w:val="left"/>
              <w:rPr>
                <w:rFonts w:ascii="宋体" w:hAnsi="宋体" w:cs="宋体" w:eastAsia="宋体" w:hint="default"/>
                <w:sz w:val="18"/>
                <w:szCs w:val="18"/>
              </w:rPr>
            </w:pPr>
            <w:r>
              <w:rPr>
                <w:rFonts w:ascii="宋体" w:hAnsi="宋体" w:cs="宋体" w:eastAsia="宋体" w:hint="default"/>
                <w:spacing w:val="9"/>
                <w:sz w:val="18"/>
                <w:szCs w:val="18"/>
              </w:rPr>
              <w:t>邹小杰、刘丹萍、 </w:t>
            </w:r>
            <w:r>
              <w:rPr>
                <w:rFonts w:ascii="宋体" w:hAnsi="宋体" w:cs="宋体" w:eastAsia="宋体" w:hint="default"/>
                <w:sz w:val="18"/>
                <w:szCs w:val="18"/>
              </w:rPr>
              <w:t>叶金福</w:t>
            </w:r>
          </w:p>
        </w:tc>
      </w:tr>
      <w:tr>
        <w:trPr>
          <w:trHeight w:val="348" w:hRule="exact"/>
        </w:trPr>
        <w:tc>
          <w:tcPr>
            <w:tcW w:w="536"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6</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37"/>
              <w:ind w:left="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6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独立董事关于对外担保、关联方资金占用情况出具的专项说明和独立意见</w:t>
            </w:r>
          </w:p>
        </w:tc>
        <w:tc>
          <w:tcPr>
            <w:tcW w:w="1524" w:type="dxa"/>
            <w:vMerge w:val="restart"/>
            <w:tcBorders>
              <w:top w:val="single" w:sz="6" w:space="0" w:color="000000"/>
              <w:left w:val="single" w:sz="6" w:space="0" w:color="000000"/>
              <w:right w:val="single" w:sz="6" w:space="0" w:color="000000"/>
            </w:tcBorders>
          </w:tcPr>
          <w:p>
            <w:pPr>
              <w:pStyle w:val="TableParagraph"/>
              <w:spacing w:line="316" w:lineRule="auto" w:before="37"/>
              <w:ind w:left="2" w:right="-10"/>
              <w:jc w:val="left"/>
              <w:rPr>
                <w:rFonts w:ascii="宋体" w:hAnsi="宋体" w:cs="宋体" w:eastAsia="宋体" w:hint="default"/>
                <w:sz w:val="18"/>
                <w:szCs w:val="18"/>
              </w:rPr>
            </w:pPr>
            <w:r>
              <w:rPr>
                <w:rFonts w:ascii="宋体" w:hAnsi="宋体" w:cs="宋体" w:eastAsia="宋体" w:hint="default"/>
                <w:spacing w:val="9"/>
                <w:sz w:val="18"/>
                <w:szCs w:val="18"/>
              </w:rPr>
              <w:t>邹小杰、刘丹萍、 </w:t>
            </w:r>
            <w:r>
              <w:rPr>
                <w:rFonts w:ascii="宋体" w:hAnsi="宋体" w:cs="宋体" w:eastAsia="宋体" w:hint="default"/>
                <w:sz w:val="18"/>
                <w:szCs w:val="18"/>
              </w:rPr>
              <w:t>叶金福</w:t>
            </w:r>
          </w:p>
        </w:tc>
      </w:tr>
      <w:tr>
        <w:trPr>
          <w:trHeight w:val="348" w:hRule="exact"/>
        </w:trPr>
        <w:tc>
          <w:tcPr>
            <w:tcW w:w="536"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6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独立董事关于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年半年度募集资金存放与使用情况的独立意见</w:t>
            </w:r>
          </w:p>
        </w:tc>
        <w:tc>
          <w:tcPr>
            <w:tcW w:w="1524" w:type="dxa"/>
            <w:vMerge/>
            <w:tcBorders>
              <w:left w:val="single" w:sz="6" w:space="0" w:color="000000"/>
              <w:bottom w:val="single" w:sz="6" w:space="0" w:color="000000"/>
              <w:right w:val="single" w:sz="6" w:space="0" w:color="000000"/>
            </w:tcBorders>
          </w:tcPr>
          <w:p>
            <w:pPr/>
          </w:p>
        </w:tc>
      </w:tr>
      <w:tr>
        <w:trPr>
          <w:trHeight w:val="658" w:hRule="exact"/>
        </w:trPr>
        <w:tc>
          <w:tcPr>
            <w:tcW w:w="5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4" w:right="0"/>
              <w:jc w:val="left"/>
              <w:rPr>
                <w:rFonts w:ascii="Times New Roman" w:hAnsi="Times New Roman" w:cs="Times New Roman" w:eastAsia="Times New Roman" w:hint="default"/>
                <w:sz w:val="18"/>
                <w:szCs w:val="18"/>
              </w:rPr>
            </w:pPr>
            <w:r>
              <w:rPr>
                <w:rFonts w:ascii="Times New Roman"/>
                <w:sz w:val="18"/>
              </w:rPr>
              <w:t>7</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680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宋体" w:hAnsi="宋体" w:cs="宋体" w:eastAsia="宋体" w:hint="default"/>
                <w:spacing w:val="-2"/>
                <w:sz w:val="18"/>
                <w:szCs w:val="18"/>
              </w:rPr>
              <w:t>独立董事关于调整</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年股票期权激励计划授予对象、授予数量及注销部分期权的独立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意见</w:t>
            </w:r>
          </w:p>
        </w:tc>
        <w:tc>
          <w:tcPr>
            <w:tcW w:w="152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 w:right="-10"/>
              <w:jc w:val="left"/>
              <w:rPr>
                <w:rFonts w:ascii="宋体" w:hAnsi="宋体" w:cs="宋体" w:eastAsia="宋体" w:hint="default"/>
                <w:sz w:val="18"/>
                <w:szCs w:val="18"/>
              </w:rPr>
            </w:pPr>
            <w:r>
              <w:rPr>
                <w:rFonts w:ascii="宋体" w:hAnsi="宋体" w:cs="宋体" w:eastAsia="宋体" w:hint="default"/>
                <w:spacing w:val="9"/>
                <w:sz w:val="18"/>
                <w:szCs w:val="18"/>
              </w:rPr>
              <w:t>邹小杰、刘丹萍、 </w:t>
            </w:r>
            <w:r>
              <w:rPr>
                <w:rFonts w:ascii="宋体" w:hAnsi="宋体" w:cs="宋体" w:eastAsia="宋体" w:hint="default"/>
                <w:sz w:val="18"/>
                <w:szCs w:val="18"/>
              </w:rPr>
              <w:t>叶金福</w:t>
            </w:r>
          </w:p>
        </w:tc>
      </w:tr>
      <w:tr>
        <w:trPr>
          <w:trHeight w:val="348" w:hRule="exact"/>
        </w:trPr>
        <w:tc>
          <w:tcPr>
            <w:tcW w:w="536"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6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独立董事关于公司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年股票期权激励计划首次授予股票期权第一个行权期可行权的</w:t>
            </w:r>
          </w:p>
        </w:tc>
        <w:tc>
          <w:tcPr>
            <w:tcW w:w="1524"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536"/>
        <w:gridCol w:w="991"/>
        <w:gridCol w:w="6806"/>
        <w:gridCol w:w="1524"/>
      </w:tblGrid>
      <w:tr>
        <w:trPr>
          <w:trHeight w:val="348" w:hRule="exact"/>
        </w:trPr>
        <w:tc>
          <w:tcPr>
            <w:tcW w:w="536" w:type="dxa"/>
            <w:vMerge w:val="restart"/>
            <w:tcBorders>
              <w:top w:val="single" w:sz="6" w:space="0" w:color="000000"/>
              <w:left w:val="single" w:sz="6" w:space="0" w:color="000000"/>
              <w:right w:val="single" w:sz="6" w:space="0" w:color="000000"/>
            </w:tcBorders>
          </w:tcPr>
          <w:p>
            <w:pPr/>
          </w:p>
        </w:tc>
        <w:tc>
          <w:tcPr>
            <w:tcW w:w="991" w:type="dxa"/>
            <w:vMerge w:val="restart"/>
            <w:tcBorders>
              <w:top w:val="single" w:sz="6" w:space="0" w:color="000000"/>
              <w:left w:val="single" w:sz="6" w:space="0" w:color="000000"/>
              <w:right w:val="single" w:sz="6" w:space="0" w:color="000000"/>
            </w:tcBorders>
          </w:tcPr>
          <w:p>
            <w:pPr/>
          </w:p>
        </w:tc>
        <w:tc>
          <w:tcPr>
            <w:tcW w:w="6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独立意见</w:t>
            </w:r>
          </w:p>
        </w:tc>
        <w:tc>
          <w:tcPr>
            <w:tcW w:w="1524" w:type="dxa"/>
            <w:vMerge w:val="restart"/>
            <w:tcBorders>
              <w:top w:val="single" w:sz="6" w:space="0" w:color="000000"/>
              <w:left w:val="single" w:sz="6" w:space="0" w:color="000000"/>
              <w:right w:val="single" w:sz="6" w:space="0" w:color="000000"/>
            </w:tcBorders>
          </w:tcPr>
          <w:p>
            <w:pPr/>
          </w:p>
        </w:tc>
      </w:tr>
      <w:tr>
        <w:trPr>
          <w:trHeight w:val="658" w:hRule="exact"/>
        </w:trPr>
        <w:tc>
          <w:tcPr>
            <w:tcW w:w="536"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680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8"/>
              <w:ind w:left="4" w:right="6"/>
              <w:jc w:val="left"/>
              <w:rPr>
                <w:rFonts w:ascii="宋体" w:hAnsi="宋体" w:cs="宋体" w:eastAsia="宋体" w:hint="default"/>
                <w:sz w:val="18"/>
                <w:szCs w:val="18"/>
              </w:rPr>
            </w:pPr>
            <w:r>
              <w:rPr>
                <w:rFonts w:ascii="宋体" w:hAnsi="宋体" w:cs="宋体" w:eastAsia="宋体" w:hint="default"/>
                <w:spacing w:val="2"/>
                <w:sz w:val="18"/>
                <w:szCs w:val="18"/>
              </w:rPr>
              <w:t>独立董事关于公司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年股票期权激励计划首次授予股票期权采用自主行权模式的独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立意见</w:t>
            </w:r>
          </w:p>
        </w:tc>
        <w:tc>
          <w:tcPr>
            <w:tcW w:w="1524" w:type="dxa"/>
            <w:vMerge/>
            <w:tcBorders>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六、董事会下设专门委员会在报告期内履行职责情况</w:t>
      </w:r>
      <w:r>
        <w:rPr>
          <w:b w:val="0"/>
          <w:bCs w:val="0"/>
        </w:rPr>
      </w:r>
    </w:p>
    <w:p>
      <w:pPr>
        <w:spacing w:line="240" w:lineRule="auto" w:before="12"/>
        <w:rPr>
          <w:rFonts w:ascii="宋体" w:hAnsi="宋体" w:cs="宋体" w:eastAsia="宋体" w:hint="default"/>
          <w:b/>
          <w:bCs/>
          <w:sz w:val="24"/>
          <w:szCs w:val="24"/>
        </w:rPr>
      </w:pPr>
    </w:p>
    <w:p>
      <w:pPr>
        <w:spacing w:line="307" w:lineRule="auto" w:before="0"/>
        <w:ind w:left="573" w:right="1133" w:hanging="60"/>
        <w:jc w:val="left"/>
        <w:rPr>
          <w:rFonts w:ascii="宋体" w:hAnsi="宋体" w:cs="宋体" w:eastAsia="宋体" w:hint="default"/>
          <w:sz w:val="21"/>
          <w:szCs w:val="21"/>
        </w:rPr>
      </w:pPr>
      <w:r>
        <w:rPr>
          <w:rFonts w:ascii="宋体" w:hAnsi="宋体" w:cs="宋体" w:eastAsia="宋体" w:hint="default"/>
          <w:b/>
          <w:bCs/>
          <w:sz w:val="21"/>
          <w:szCs w:val="21"/>
        </w:rPr>
        <w:t>（一）董事会审计委员会履职情况汇总报告</w:t>
      </w:r>
      <w:r>
        <w:rPr>
          <w:rFonts w:ascii="宋体" w:hAnsi="宋体" w:cs="宋体" w:eastAsia="宋体" w:hint="default"/>
          <w:b/>
          <w:bCs/>
          <w:w w:val="100"/>
          <w:sz w:val="21"/>
          <w:szCs w:val="21"/>
        </w:rPr>
        <w:t> </w:t>
      </w:r>
      <w:r>
        <w:rPr>
          <w:rFonts w:ascii="宋体" w:hAnsi="宋体" w:cs="宋体" w:eastAsia="宋体" w:hint="default"/>
          <w:sz w:val="21"/>
          <w:szCs w:val="21"/>
        </w:rPr>
        <w:t>公司董事会审计委员会由</w:t>
      </w:r>
      <w:r>
        <w:rPr>
          <w:rFonts w:ascii="Times New Roman" w:hAnsi="Times New Roman" w:cs="Times New Roman" w:eastAsia="Times New Roman" w:hint="default"/>
          <w:sz w:val="21"/>
          <w:szCs w:val="21"/>
        </w:rPr>
        <w:t>3</w:t>
      </w:r>
      <w:r>
        <w:rPr>
          <w:rFonts w:ascii="宋体" w:hAnsi="宋体" w:cs="宋体" w:eastAsia="宋体" w:hint="default"/>
          <w:sz w:val="21"/>
          <w:szCs w:val="21"/>
        </w:rPr>
        <w:t>名董事组成，其中两名为公司独立董事，主席由具有专业会计背景的独立</w:t>
      </w:r>
    </w:p>
    <w:p>
      <w:pPr>
        <w:pStyle w:val="BodyText"/>
        <w:spacing w:line="231" w:lineRule="exact"/>
        <w:ind w:right="0"/>
        <w:jc w:val="left"/>
      </w:pPr>
      <w:r>
        <w:rPr/>
        <w:t>董事担任。根据中国证监会、深圳证券交易所及公司《董事会审计委员会工作细则》，公司董事会审计委</w:t>
      </w:r>
    </w:p>
    <w:p>
      <w:pPr>
        <w:pStyle w:val="BodyText"/>
        <w:spacing w:line="302" w:lineRule="auto" w:before="37"/>
        <w:ind w:left="573" w:right="1133" w:hanging="421"/>
        <w:jc w:val="left"/>
      </w:pPr>
      <w:r>
        <w:rPr/>
        <w:t>员会本着勤勉尽责的原则，</w:t>
      </w:r>
      <w:r>
        <w:rPr>
          <w:rFonts w:ascii="Times New Roman" w:hAnsi="Times New Roman" w:cs="Times New Roman" w:eastAsia="Times New Roman" w:hint="default"/>
        </w:rPr>
        <w:t>2018</w:t>
      </w:r>
      <w:r>
        <w:rPr/>
        <w:t>年年度报告期间及报告期内，履行了以下工作职责：</w:t>
      </w:r>
      <w:r>
        <w:rPr>
          <w:w w:val="100"/>
        </w:rPr>
        <w:t> </w:t>
      </w:r>
      <w:r>
        <w:rPr/>
        <w:t>一、审计委员会审议公司上一年度年报及其他定期报告</w:t>
      </w:r>
      <w:r>
        <w:rPr>
          <w:w w:val="100"/>
        </w:rPr>
        <w:t> </w:t>
      </w:r>
      <w:r>
        <w:rPr/>
        <w:t>报告期内，董事会审计委员会在公司内审部的协助下，定期检查公司财务状况。</w:t>
      </w:r>
      <w:r>
        <w:rPr>
          <w:w w:val="100"/>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日，审计委员会召开了</w:t>
      </w:r>
      <w:r>
        <w:rPr>
          <w:rFonts w:ascii="Times New Roman" w:hAnsi="Times New Roman" w:cs="Times New Roman" w:eastAsia="Times New Roman" w:hint="default"/>
        </w:rPr>
        <w:t>2018</w:t>
      </w:r>
      <w:r>
        <w:rPr/>
        <w:t>年度第一次会议，审议通过了《关于续聘信永中和会计师事</w:t>
      </w:r>
    </w:p>
    <w:p>
      <w:pPr>
        <w:pStyle w:val="BodyText"/>
        <w:spacing w:line="252" w:lineRule="exact"/>
        <w:ind w:right="1133"/>
        <w:jc w:val="left"/>
      </w:pPr>
      <w:r>
        <w:rPr/>
        <w:t>务所担任公司</w:t>
      </w:r>
      <w:r>
        <w:rPr>
          <w:rFonts w:ascii="Times New Roman" w:hAnsi="Times New Roman" w:cs="Times New Roman" w:eastAsia="Times New Roman" w:hint="default"/>
        </w:rPr>
        <w:t>2018</w:t>
      </w:r>
      <w:r>
        <w:rPr/>
        <w:t>年度审计机构的议案》，并出具了审核意见；</w:t>
      </w:r>
    </w:p>
    <w:p>
      <w:pPr>
        <w:pStyle w:val="BodyText"/>
        <w:spacing w:line="256" w:lineRule="auto" w:before="59"/>
        <w:ind w:right="0" w:firstLine="420"/>
        <w:jc w:val="left"/>
      </w:pP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18</w:t>
      </w:r>
      <w:r>
        <w:rPr>
          <w:spacing w:val="-6"/>
        </w:rPr>
        <w:t>日，审计委员会召开了</w:t>
      </w:r>
      <w:r>
        <w:rPr>
          <w:rFonts w:ascii="Times New Roman" w:hAnsi="Times New Roman" w:cs="Times New Roman" w:eastAsia="Times New Roman" w:hint="default"/>
          <w:spacing w:val="-6"/>
        </w:rPr>
        <w:t>2018</w:t>
      </w:r>
      <w:r>
        <w:rPr>
          <w:spacing w:val="-6"/>
        </w:rPr>
        <w:t>年度第二次会议，审议通过了《关于</w:t>
      </w:r>
      <w:r>
        <w:rPr>
          <w:rFonts w:ascii="Times New Roman" w:hAnsi="Times New Roman" w:cs="Times New Roman" w:eastAsia="Times New Roman" w:hint="default"/>
          <w:spacing w:val="-6"/>
        </w:rPr>
        <w:t>2017</w:t>
      </w:r>
      <w:r>
        <w:rPr>
          <w:spacing w:val="-6"/>
        </w:rPr>
        <w:t>年年度报告的议案》，</w:t>
      </w:r>
      <w:r>
        <w:rPr>
          <w:w w:val="100"/>
        </w:rPr>
        <w:t> </w:t>
      </w:r>
      <w:r>
        <w:rPr/>
        <w:t>并出具了审核意见；</w:t>
      </w:r>
    </w:p>
    <w:p>
      <w:pPr>
        <w:pStyle w:val="BodyText"/>
        <w:spacing w:line="256" w:lineRule="auto" w:before="63"/>
        <w:ind w:right="0" w:firstLine="42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日，审计委员会召开</w:t>
      </w:r>
      <w:r>
        <w:rPr>
          <w:rFonts w:ascii="Times New Roman" w:hAnsi="Times New Roman" w:cs="Times New Roman" w:eastAsia="Times New Roman" w:hint="default"/>
          <w:spacing w:val="-2"/>
        </w:rPr>
        <w:t>2018</w:t>
      </w:r>
      <w:r>
        <w:rPr>
          <w:spacing w:val="-2"/>
        </w:rPr>
        <w:t>年第三次会议审核通过了《关于</w:t>
      </w:r>
      <w:r>
        <w:rPr>
          <w:rFonts w:ascii="Times New Roman" w:hAnsi="Times New Roman" w:cs="Times New Roman" w:eastAsia="Times New Roman" w:hint="default"/>
          <w:spacing w:val="-2"/>
        </w:rPr>
        <w:t>2018</w:t>
      </w:r>
      <w:r>
        <w:rPr>
          <w:spacing w:val="-2"/>
        </w:rPr>
        <w:t>年第一季度报告的议案》，</w:t>
      </w:r>
      <w:r>
        <w:rPr>
          <w:w w:val="100"/>
        </w:rPr>
        <w:t> </w:t>
      </w:r>
      <w:r>
        <w:rPr/>
        <w:t>并出具了审核意见。</w:t>
      </w:r>
    </w:p>
    <w:p>
      <w:pPr>
        <w:pStyle w:val="BodyText"/>
        <w:spacing w:line="256" w:lineRule="auto" w:before="63"/>
        <w:ind w:right="1133"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日，审计委员会召开</w:t>
      </w:r>
      <w:r>
        <w:rPr>
          <w:rFonts w:ascii="Times New Roman" w:hAnsi="Times New Roman" w:cs="Times New Roman" w:eastAsia="Times New Roman" w:hint="default"/>
        </w:rPr>
        <w:t>2018</w:t>
      </w:r>
      <w:r>
        <w:rPr/>
        <w:t>年第四次会议审核通过了《关于</w:t>
      </w:r>
      <w:r>
        <w:rPr>
          <w:rFonts w:ascii="Times New Roman" w:hAnsi="Times New Roman" w:cs="Times New Roman" w:eastAsia="Times New Roman" w:hint="default"/>
        </w:rPr>
        <w:t>2018</w:t>
      </w:r>
      <w:r>
        <w:rPr/>
        <w:t>年半年度报告的议案》，</w:t>
      </w:r>
      <w:r>
        <w:rPr>
          <w:w w:val="100"/>
        </w:rPr>
        <w:t> </w:t>
      </w:r>
      <w:r>
        <w:rPr/>
        <w:t>并出具了审核意见。</w:t>
      </w:r>
    </w:p>
    <w:p>
      <w:pPr>
        <w:pStyle w:val="BodyText"/>
        <w:spacing w:line="256" w:lineRule="auto" w:before="61"/>
        <w:ind w:right="0" w:firstLine="420"/>
        <w:jc w:val="left"/>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25</w:t>
      </w:r>
      <w:r>
        <w:rPr>
          <w:spacing w:val="-4"/>
        </w:rPr>
        <w:t>日，审计委员会召开</w:t>
      </w:r>
      <w:r>
        <w:rPr>
          <w:rFonts w:ascii="Times New Roman" w:hAnsi="Times New Roman" w:cs="Times New Roman" w:eastAsia="Times New Roman" w:hint="default"/>
          <w:spacing w:val="-4"/>
        </w:rPr>
        <w:t>2018</w:t>
      </w:r>
      <w:r>
        <w:rPr>
          <w:spacing w:val="-4"/>
        </w:rPr>
        <w:t>年第五次会议审核通过了《关于</w:t>
      </w:r>
      <w:r>
        <w:rPr>
          <w:rFonts w:ascii="Times New Roman" w:hAnsi="Times New Roman" w:cs="Times New Roman" w:eastAsia="Times New Roman" w:hint="default"/>
          <w:spacing w:val="-4"/>
        </w:rPr>
        <w:t>2018</w:t>
      </w:r>
      <w:r>
        <w:rPr>
          <w:spacing w:val="-4"/>
        </w:rPr>
        <w:t>年第三季度报告的议案》，</w:t>
      </w:r>
      <w:r>
        <w:rPr>
          <w:w w:val="100"/>
        </w:rPr>
        <w:t> </w:t>
      </w:r>
      <w:r>
        <w:rPr/>
        <w:t>并出具了审核意见。</w:t>
      </w:r>
    </w:p>
    <w:p>
      <w:pPr>
        <w:pStyle w:val="BodyText"/>
        <w:spacing w:line="240" w:lineRule="auto" w:before="63"/>
        <w:ind w:left="573" w:right="1133"/>
        <w:jc w:val="left"/>
      </w:pPr>
      <w:r>
        <w:rPr/>
        <w:t>二、审计委员会进行</w:t>
      </w:r>
      <w:r>
        <w:rPr>
          <w:rFonts w:ascii="Times New Roman" w:hAnsi="Times New Roman" w:cs="Times New Roman" w:eastAsia="Times New Roman" w:hint="default"/>
        </w:rPr>
        <w:t>2018</w:t>
      </w:r>
      <w:r>
        <w:rPr/>
        <w:t>年度报告沟通工作及审阅</w:t>
      </w:r>
      <w:r>
        <w:rPr>
          <w:rFonts w:ascii="Times New Roman" w:hAnsi="Times New Roman" w:cs="Times New Roman" w:eastAsia="Times New Roman" w:hint="default"/>
        </w:rPr>
        <w:t>2018</w:t>
      </w:r>
      <w:r>
        <w:rPr/>
        <w:t>年度报告</w:t>
      </w:r>
    </w:p>
    <w:p>
      <w:pPr>
        <w:pStyle w:val="BodyText"/>
        <w:spacing w:line="240" w:lineRule="auto" w:before="62"/>
        <w:ind w:left="573" w:right="1133"/>
        <w:jc w:val="left"/>
      </w:pPr>
      <w:r>
        <w:rPr>
          <w:rFonts w:ascii="Times New Roman" w:hAnsi="Times New Roman" w:cs="Times New Roman" w:eastAsia="Times New Roman" w:hint="default"/>
        </w:rPr>
        <w:t>1</w:t>
      </w:r>
      <w:r>
        <w:rPr/>
        <w:t>、与年审注册会计师沟通</w:t>
      </w:r>
      <w:r>
        <w:rPr>
          <w:rFonts w:ascii="Times New Roman" w:hAnsi="Times New Roman" w:cs="Times New Roman" w:eastAsia="Times New Roman" w:hint="default"/>
        </w:rPr>
        <w:t>2018</w:t>
      </w:r>
      <w:r>
        <w:rPr/>
        <w:t>年度审计工作计划</w:t>
      </w:r>
    </w:p>
    <w:p>
      <w:pPr>
        <w:pStyle w:val="BodyText"/>
        <w:spacing w:line="266" w:lineRule="auto" w:before="60"/>
        <w:ind w:right="1126" w:firstLine="42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日，公司董事会审计委员会以通讯方式召开了</w:t>
      </w:r>
      <w:r>
        <w:rPr>
          <w:rFonts w:ascii="Times New Roman" w:hAnsi="Times New Roman" w:cs="Times New Roman" w:eastAsia="Times New Roman" w:hint="default"/>
        </w:rPr>
        <w:t>2018</w:t>
      </w:r>
      <w:r>
        <w:rPr/>
        <w:t>年年报第一次工作会议，会计师向审</w:t>
      </w:r>
      <w:r>
        <w:rPr>
          <w:w w:val="100"/>
        </w:rPr>
        <w:t> </w:t>
      </w:r>
      <w:r>
        <w:rPr>
          <w:spacing w:val="-2"/>
        </w:rPr>
        <w:t>计委员会汇报了审计计划、人员安排和预审情况，审计委员会委员就预审中的问题、审计过程中需要注意</w:t>
      </w:r>
      <w:r>
        <w:rPr>
          <w:spacing w:val="-43"/>
        </w:rPr>
        <w:t> </w:t>
      </w:r>
      <w:r>
        <w:rPr>
          <w:spacing w:val="-43"/>
        </w:rPr>
      </w:r>
      <w:r>
        <w:rPr>
          <w:spacing w:val="-2"/>
        </w:rPr>
        <w:t>的问题等事项与会计师进行了沟通，并要求会计师注意审计计划的合理安排以及审计过程中的细节，按照</w:t>
      </w:r>
      <w:r>
        <w:rPr>
          <w:spacing w:val="-42"/>
        </w:rPr>
        <w:t> </w:t>
      </w:r>
      <w:r>
        <w:rPr>
          <w:spacing w:val="-42"/>
        </w:rPr>
      </w:r>
      <w:r>
        <w:rPr/>
        <w:t>计划的进度完成年报审计工作。</w:t>
      </w:r>
    </w:p>
    <w:p>
      <w:pPr>
        <w:pStyle w:val="BodyText"/>
        <w:spacing w:line="240" w:lineRule="auto" w:before="55"/>
        <w:ind w:left="573" w:right="1133"/>
        <w:jc w:val="left"/>
      </w:pPr>
      <w:r>
        <w:rPr>
          <w:rFonts w:ascii="Times New Roman" w:hAnsi="Times New Roman" w:cs="Times New Roman" w:eastAsia="Times New Roman" w:hint="default"/>
        </w:rPr>
        <w:t>2</w:t>
      </w:r>
      <w:r>
        <w:rPr/>
        <w:t>、审计进场前审阅公司编制的财务会计报表</w:t>
      </w:r>
    </w:p>
    <w:p>
      <w:pPr>
        <w:pStyle w:val="BodyText"/>
        <w:spacing w:line="256" w:lineRule="auto" w:before="62"/>
        <w:ind w:right="1133"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月，董事会审计委员会认真审阅了公司管理层提交的未经审计的</w:t>
      </w:r>
      <w:r>
        <w:rPr>
          <w:rFonts w:ascii="Times New Roman" w:hAnsi="Times New Roman" w:cs="Times New Roman" w:eastAsia="Times New Roman" w:hint="default"/>
        </w:rPr>
        <w:t>2018</w:t>
      </w:r>
      <w:r>
        <w:rPr/>
        <w:t>年度财务报表，经与公</w:t>
      </w:r>
      <w:r>
        <w:rPr>
          <w:w w:val="100"/>
        </w:rPr>
        <w:t> </w:t>
      </w:r>
      <w:r>
        <w:rPr/>
        <w:t>司管理层就有关资料进行询问交流后，发表意见如下：</w:t>
      </w:r>
    </w:p>
    <w:p>
      <w:pPr>
        <w:pStyle w:val="BodyText"/>
        <w:spacing w:line="264" w:lineRule="auto" w:before="61"/>
        <w:ind w:right="1104" w:firstLine="420"/>
        <w:jc w:val="both"/>
      </w:pPr>
      <w:r>
        <w:rPr>
          <w:spacing w:val="-2"/>
        </w:rPr>
        <w:t>公司财务报表依照公司新企业会计准则、会计政策、企业会计制度以及财政部发布的有关规定要求，</w:t>
      </w:r>
      <w:r>
        <w:rPr>
          <w:w w:val="100"/>
        </w:rPr>
        <w:t> </w:t>
      </w:r>
      <w:r>
        <w:rPr>
          <w:spacing w:val="-2"/>
        </w:rPr>
        <w:t>未发现重大错报和漏报情况，所包含的信息能从重大方面反映出公司</w:t>
      </w:r>
      <w:r>
        <w:rPr>
          <w:rFonts w:ascii="Times New Roman" w:hAnsi="Times New Roman" w:cs="Times New Roman" w:eastAsia="Times New Roman" w:hint="default"/>
          <w:spacing w:val="-2"/>
        </w:rPr>
        <w:t>2018</w:t>
      </w:r>
      <w:r>
        <w:rPr>
          <w:spacing w:val="-2"/>
        </w:rPr>
        <w:t>年度财务状况和经营成果，同意</w:t>
      </w:r>
      <w:r>
        <w:rPr>
          <w:spacing w:val="-40"/>
        </w:rPr>
        <w:t> </w:t>
      </w:r>
      <w:r>
        <w:rPr>
          <w:spacing w:val="-40"/>
        </w:rPr>
      </w:r>
      <w:r>
        <w:rPr/>
        <w:t>以此财务报表为基础，展开</w:t>
      </w:r>
      <w:r>
        <w:rPr>
          <w:rFonts w:ascii="Times New Roman" w:hAnsi="Times New Roman" w:cs="Times New Roman" w:eastAsia="Times New Roman" w:hint="default"/>
        </w:rPr>
        <w:t>2018</w:t>
      </w:r>
      <w:r>
        <w:rPr/>
        <w:t>年年度报告审计工作。</w:t>
      </w:r>
    </w:p>
    <w:p>
      <w:pPr>
        <w:pStyle w:val="BodyText"/>
        <w:spacing w:line="292" w:lineRule="auto" w:before="39"/>
        <w:ind w:left="573" w:right="1133"/>
        <w:jc w:val="left"/>
      </w:pPr>
      <w:r>
        <w:rPr>
          <w:rFonts w:ascii="Times New Roman" w:hAnsi="Times New Roman" w:cs="Times New Roman" w:eastAsia="Times New Roman" w:hint="default"/>
        </w:rPr>
        <w:t>3</w:t>
      </w:r>
      <w:r>
        <w:rPr/>
        <w:t>、审计期间保持与会计师事务所的沟通并审阅经初步审计后的财务报表</w:t>
      </w:r>
      <w:r>
        <w:rPr>
          <w:w w:val="100"/>
        </w:rPr>
        <w:t> </w:t>
      </w:r>
      <w:r>
        <w:rPr>
          <w:spacing w:val="-2"/>
        </w:rPr>
        <w:t>公司年审注册会计师进场后，董事会审计委员会与年审注册会计师于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日召开了</w:t>
      </w:r>
      <w:r>
        <w:rPr>
          <w:rFonts w:ascii="Times New Roman" w:hAnsi="Times New Roman" w:cs="Times New Roman" w:eastAsia="Times New Roman" w:hint="default"/>
          <w:spacing w:val="-2"/>
        </w:rPr>
        <w:t>2018</w:t>
      </w:r>
      <w:r>
        <w:rPr>
          <w:spacing w:val="-2"/>
        </w:rPr>
        <w:t>年年报</w:t>
      </w:r>
    </w:p>
    <w:p>
      <w:pPr>
        <w:pStyle w:val="BodyText"/>
        <w:spacing w:line="245" w:lineRule="exact"/>
        <w:ind w:right="0"/>
        <w:jc w:val="left"/>
      </w:pPr>
      <w:r>
        <w:rPr/>
        <w:t>第二次工作会议，注册会计师向审计委员会汇报了审计中的调整事项，审计委员会就审计过程中发现的问</w:t>
      </w:r>
    </w:p>
    <w:p>
      <w:pPr>
        <w:pStyle w:val="BodyText"/>
        <w:spacing w:line="307" w:lineRule="auto" w:before="37"/>
        <w:ind w:left="573" w:right="1133" w:hanging="421"/>
        <w:jc w:val="left"/>
      </w:pPr>
      <w:r>
        <w:rPr/>
        <w:t>题、审计调整事项以及审计进度进行了沟通和交流，发表如下审核意见：</w:t>
      </w:r>
      <w:r>
        <w:rPr>
          <w:w w:val="100"/>
        </w:rPr>
        <w:t> </w:t>
      </w:r>
      <w:r>
        <w:rPr>
          <w:spacing w:val="-2"/>
        </w:rPr>
        <w:t>保持原有的审议意见，并认为公司已严格按照新企业会计准则处理了资产负债日期后事项，公司财务</w:t>
      </w:r>
    </w:p>
    <w:p>
      <w:pPr>
        <w:pStyle w:val="BodyText"/>
        <w:spacing w:line="253" w:lineRule="exact"/>
        <w:ind w:right="0"/>
        <w:jc w:val="left"/>
      </w:pPr>
      <w:r>
        <w:rPr/>
        <w:t>报表已经按照新企业会计准则及公司有关财务制度的规定编制，同意年审注册会计师对公司财务会计报表</w:t>
      </w:r>
    </w:p>
    <w:p>
      <w:pPr>
        <w:pStyle w:val="BodyText"/>
        <w:spacing w:line="256" w:lineRule="auto" w:before="37"/>
        <w:ind w:right="1133"/>
        <w:jc w:val="left"/>
      </w:pPr>
      <w:r>
        <w:rPr>
          <w:spacing w:val="-2"/>
        </w:rPr>
        <w:t>出具的初步审计报告，并以该审计报告为基础制作公司</w:t>
      </w:r>
      <w:r>
        <w:rPr>
          <w:rFonts w:ascii="Times New Roman" w:hAnsi="Times New Roman" w:cs="Times New Roman" w:eastAsia="Times New Roman" w:hint="default"/>
          <w:spacing w:val="-2"/>
        </w:rPr>
        <w:t>2018</w:t>
      </w:r>
      <w:r>
        <w:rPr>
          <w:spacing w:val="-2"/>
        </w:rPr>
        <w:t>年年度报告和摘要，同时请审计项目组按照审</w:t>
      </w:r>
      <w:r>
        <w:rPr>
          <w:spacing w:val="-41"/>
        </w:rPr>
        <w:t> </w:t>
      </w:r>
      <w:r>
        <w:rPr>
          <w:spacing w:val="-41"/>
        </w:rPr>
      </w:r>
      <w:r>
        <w:rPr/>
        <w:t>计计划尽快完成审计工作，以保证公司</w:t>
      </w:r>
      <w:r>
        <w:rPr>
          <w:rFonts w:ascii="Times New Roman" w:hAnsi="Times New Roman" w:cs="Times New Roman" w:eastAsia="Times New Roman" w:hint="default"/>
        </w:rPr>
        <w:t>2018</w:t>
      </w:r>
      <w:r>
        <w:rPr/>
        <w:t>年年度报告如期披露。</w:t>
      </w:r>
    </w:p>
    <w:p>
      <w:pPr>
        <w:spacing w:after="0" w:line="256"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40" w:lineRule="auto" w:before="36"/>
        <w:ind w:left="573" w:right="1133"/>
        <w:jc w:val="left"/>
      </w:pPr>
      <w:r>
        <w:rPr>
          <w:rFonts w:ascii="Times New Roman" w:hAnsi="Times New Roman" w:cs="Times New Roman" w:eastAsia="Times New Roman" w:hint="default"/>
        </w:rPr>
        <w:t>4</w:t>
      </w:r>
      <w:r>
        <w:rPr/>
        <w:t>、审阅公司</w:t>
      </w:r>
      <w:r>
        <w:rPr>
          <w:rFonts w:ascii="Times New Roman" w:hAnsi="Times New Roman" w:cs="Times New Roman" w:eastAsia="Times New Roman" w:hint="default"/>
        </w:rPr>
        <w:t>2018</w:t>
      </w:r>
      <w:r>
        <w:rPr/>
        <w:t>年度审计报告</w:t>
      </w:r>
    </w:p>
    <w:p>
      <w:pPr>
        <w:pStyle w:val="BodyText"/>
        <w:spacing w:line="256" w:lineRule="auto" w:before="62"/>
        <w:ind w:right="1127" w:firstLine="42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12</w:t>
      </w:r>
      <w:r>
        <w:rPr>
          <w:spacing w:val="-1"/>
        </w:rPr>
        <w:t>日</w:t>
      </w:r>
      <w:r>
        <w:rPr>
          <w:rFonts w:ascii="Times New Roman" w:hAnsi="Times New Roman" w:cs="Times New Roman" w:eastAsia="Times New Roman" w:hint="default"/>
          <w:spacing w:val="-1"/>
        </w:rPr>
        <w:t>,</w:t>
      </w:r>
      <w:r>
        <w:rPr>
          <w:spacing w:val="-1"/>
        </w:rPr>
        <w:t>董事会审计委员会召开了年报工作第三次工作会议，认真审阅了经信永中和会计师事</w:t>
      </w:r>
      <w:r>
        <w:rPr>
          <w:w w:val="100"/>
        </w:rPr>
        <w:t> </w:t>
      </w:r>
      <w:r>
        <w:rPr/>
        <w:t>务所出具的</w:t>
      </w:r>
      <w:r>
        <w:rPr>
          <w:rFonts w:ascii="Times New Roman" w:hAnsi="Times New Roman" w:cs="Times New Roman" w:eastAsia="Times New Roman" w:hint="default"/>
        </w:rPr>
        <w:t>2018</w:t>
      </w:r>
      <w:r>
        <w:rPr/>
        <w:t>年年度审计报告，同时审议通过了以下决议：</w:t>
      </w:r>
    </w:p>
    <w:p>
      <w:pPr>
        <w:pStyle w:val="BodyText"/>
        <w:spacing w:line="256" w:lineRule="auto" w:before="43"/>
        <w:ind w:right="1126" w:firstLine="420"/>
        <w:jc w:val="both"/>
      </w:pPr>
      <w:r>
        <w:rPr/>
        <w:t>（</w:t>
      </w:r>
      <w:r>
        <w:rPr>
          <w:rFonts w:ascii="Times New Roman" w:hAnsi="Times New Roman" w:cs="Times New Roman" w:eastAsia="Times New Roman" w:hint="default"/>
        </w:rPr>
        <w:t>1</w:t>
      </w:r>
      <w:r>
        <w:rPr/>
        <w:t>）信永中和会计师事务所（特殊普通合伙）出具的</w:t>
      </w:r>
      <w:r>
        <w:rPr>
          <w:rFonts w:ascii="Times New Roman" w:hAnsi="Times New Roman" w:cs="Times New Roman" w:eastAsia="Times New Roman" w:hint="default"/>
        </w:rPr>
        <w:t>2018</w:t>
      </w:r>
      <w:r>
        <w:rPr/>
        <w:t>年年度审计报告严格按照新企业会计准则</w:t>
      </w:r>
      <w:r>
        <w:rPr>
          <w:w w:val="100"/>
        </w:rPr>
        <w:t> </w:t>
      </w:r>
      <w:r>
        <w:rPr>
          <w:spacing w:val="-2"/>
        </w:rPr>
        <w:t>及公司有关财务制度的规定编制，公允地反映了公司</w:t>
      </w:r>
      <w:r>
        <w:rPr>
          <w:rFonts w:ascii="Times New Roman" w:hAnsi="Times New Roman" w:cs="Times New Roman" w:eastAsia="Times New Roman" w:hint="default"/>
          <w:spacing w:val="-2"/>
        </w:rPr>
        <w:t>2018</w:t>
      </w:r>
      <w:r>
        <w:rPr>
          <w:spacing w:val="-2"/>
        </w:rPr>
        <w:t>年度的财务状况和经营成果，同意以该审计报告</w:t>
      </w:r>
      <w:r>
        <w:rPr>
          <w:spacing w:val="-39"/>
        </w:rPr>
        <w:t> </w:t>
      </w:r>
      <w:r>
        <w:rPr>
          <w:spacing w:val="-39"/>
        </w:rPr>
      </w:r>
      <w:r>
        <w:rPr/>
        <w:t>为基础制作公司</w:t>
      </w:r>
      <w:r>
        <w:rPr>
          <w:rFonts w:ascii="Times New Roman" w:hAnsi="Times New Roman" w:cs="Times New Roman" w:eastAsia="Times New Roman" w:hint="default"/>
        </w:rPr>
        <w:t>2018</w:t>
      </w:r>
      <w:r>
        <w:rPr/>
        <w:t>年年度报告和摘要；</w:t>
      </w:r>
    </w:p>
    <w:p>
      <w:pPr>
        <w:pStyle w:val="BodyText"/>
        <w:spacing w:line="240" w:lineRule="auto" w:before="46"/>
        <w:ind w:left="573" w:right="1133"/>
        <w:jc w:val="left"/>
      </w:pPr>
      <w:r>
        <w:rPr/>
        <w:t>（</w:t>
      </w:r>
      <w:r>
        <w:rPr>
          <w:rFonts w:ascii="Times New Roman" w:hAnsi="Times New Roman" w:cs="Times New Roman" w:eastAsia="Times New Roman" w:hint="default"/>
        </w:rPr>
        <w:t>2</w:t>
      </w:r>
      <w:r>
        <w:rPr/>
        <w:t>）审议通过了《关于会计师事务所从事本年度审计工作的总结》。</w:t>
      </w:r>
    </w:p>
    <w:p>
      <w:pPr>
        <w:pStyle w:val="BodyText"/>
        <w:spacing w:line="297" w:lineRule="auto" w:before="62"/>
        <w:ind w:left="573" w:right="1133"/>
        <w:jc w:val="left"/>
      </w:pPr>
      <w:r>
        <w:rPr>
          <w:rFonts w:ascii="宋体" w:hAnsi="宋体" w:cs="宋体" w:eastAsia="宋体" w:hint="default"/>
          <w:b/>
          <w:bCs/>
        </w:rPr>
        <w:t>（二）董事会薪酬委员会履职情况汇总报告</w:t>
      </w:r>
      <w:r>
        <w:rPr>
          <w:rFonts w:ascii="宋体" w:hAnsi="宋体" w:cs="宋体" w:eastAsia="宋体" w:hint="default"/>
          <w:b/>
          <w:bCs/>
          <w:w w:val="100"/>
        </w:rPr>
        <w:t> </w:t>
      </w:r>
      <w:r>
        <w:rPr/>
        <w:t>董事会薪酬委员会成员由</w:t>
      </w:r>
      <w:r>
        <w:rPr>
          <w:rFonts w:ascii="Times New Roman" w:hAnsi="Times New Roman" w:cs="Times New Roman" w:eastAsia="Times New Roman" w:hint="default"/>
        </w:rPr>
        <w:t>3</w:t>
      </w:r>
      <w:r>
        <w:rPr/>
        <w:t>名董事组成，其中两名为公司独立董事，主席由独立董事担任。</w:t>
      </w:r>
      <w:r>
        <w:rPr>
          <w:w w:val="100"/>
        </w:rPr>
        <w:t> </w:t>
      </w:r>
      <w:r>
        <w:rPr>
          <w:spacing w:val="-2"/>
        </w:rPr>
        <w:t>根据中国证监会、深圳证券交易所有关规定及公司《董事会薪酬委员会工作细则》，公司董事会薪酬</w:t>
      </w:r>
    </w:p>
    <w:p>
      <w:pPr>
        <w:pStyle w:val="BodyText"/>
        <w:spacing w:line="277" w:lineRule="exact"/>
        <w:ind w:right="1133"/>
        <w:jc w:val="left"/>
      </w:pPr>
      <w:r>
        <w:rPr/>
        <w:t>委员会本着勤勉尽责的原则，</w:t>
      </w:r>
      <w:r>
        <w:rPr>
          <w:rFonts w:ascii="Times New Roman" w:hAnsi="Times New Roman" w:cs="Times New Roman" w:eastAsia="Times New Roman" w:hint="default"/>
        </w:rPr>
        <w:t>2018</w:t>
      </w:r>
      <w:r>
        <w:rPr/>
        <w:t>年度履行了以下工作职责：</w:t>
      </w:r>
    </w:p>
    <w:p>
      <w:pPr>
        <w:pStyle w:val="BodyText"/>
        <w:spacing w:line="261" w:lineRule="auto" w:before="62"/>
        <w:ind w:right="1105" w:firstLine="420"/>
        <w:jc w:val="both"/>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18</w:t>
      </w:r>
      <w:r>
        <w:rPr>
          <w:spacing w:val="-3"/>
        </w:rPr>
        <w:t>日</w:t>
      </w:r>
      <w:r>
        <w:rPr>
          <w:rFonts w:ascii="Times New Roman" w:hAnsi="Times New Roman" w:cs="Times New Roman" w:eastAsia="Times New Roman" w:hint="default"/>
          <w:spacing w:val="-3"/>
        </w:rPr>
        <w:t>,</w:t>
      </w:r>
      <w:r>
        <w:rPr>
          <w:spacing w:val="-3"/>
        </w:rPr>
        <w:t>董事会薪酬委员会召开</w:t>
      </w:r>
      <w:r>
        <w:rPr>
          <w:rFonts w:ascii="Times New Roman" w:hAnsi="Times New Roman" w:cs="Times New Roman" w:eastAsia="Times New Roman" w:hint="default"/>
          <w:spacing w:val="-3"/>
        </w:rPr>
        <w:t>2018</w:t>
      </w:r>
      <w:r>
        <w:rPr>
          <w:spacing w:val="-3"/>
        </w:rPr>
        <w:t>年第一次会议，审议《关于公司高级管理人员</w:t>
      </w:r>
      <w:r>
        <w:rPr>
          <w:rFonts w:ascii="Times New Roman" w:hAnsi="Times New Roman" w:cs="Times New Roman" w:eastAsia="Times New Roman" w:hint="default"/>
          <w:spacing w:val="-3"/>
        </w:rPr>
        <w:t>2017</w:t>
      </w:r>
      <w:r>
        <w:rPr>
          <w:spacing w:val="-3"/>
        </w:rPr>
        <w:t>年度</w:t>
      </w:r>
      <w:r>
        <w:rPr>
          <w:w w:val="100"/>
        </w:rPr>
        <w:t> </w:t>
      </w:r>
      <w:r>
        <w:rPr>
          <w:spacing w:val="-2"/>
        </w:rPr>
        <w:t>薪酬的议案》，听取了公司管理层就</w:t>
      </w:r>
      <w:r>
        <w:rPr>
          <w:rFonts w:ascii="Times New Roman" w:hAnsi="Times New Roman" w:cs="Times New Roman" w:eastAsia="Times New Roman" w:hint="default"/>
          <w:spacing w:val="-2"/>
        </w:rPr>
        <w:t>2017</w:t>
      </w:r>
      <w:r>
        <w:rPr>
          <w:spacing w:val="-2"/>
        </w:rPr>
        <w:t>年主要业务经营情况和经营目标完成情况的汇报，并依据公司董</w:t>
      </w:r>
      <w:r>
        <w:rPr>
          <w:spacing w:val="-39"/>
        </w:rPr>
        <w:t> </w:t>
      </w:r>
      <w:r>
        <w:rPr>
          <w:spacing w:val="-39"/>
        </w:rPr>
      </w:r>
      <w:r>
        <w:rPr>
          <w:spacing w:val="-2"/>
        </w:rPr>
        <w:t>事、监事及高管人员的岗位职责，对公司高管人员</w:t>
      </w:r>
      <w:r>
        <w:rPr>
          <w:rFonts w:ascii="Times New Roman" w:hAnsi="Times New Roman" w:cs="Times New Roman" w:eastAsia="Times New Roman" w:hint="default"/>
          <w:spacing w:val="-2"/>
        </w:rPr>
        <w:t>2017</w:t>
      </w:r>
      <w:r>
        <w:rPr>
          <w:spacing w:val="-2"/>
        </w:rPr>
        <w:t>年度薪酬进行了审核，并出具如下审核意见：报告</w:t>
      </w:r>
      <w:r>
        <w:rPr>
          <w:spacing w:val="-47"/>
        </w:rPr>
        <w:t> </w:t>
      </w:r>
      <w:r>
        <w:rPr>
          <w:spacing w:val="-47"/>
        </w:rPr>
      </w:r>
      <w:r>
        <w:rPr>
          <w:spacing w:val="-2"/>
        </w:rPr>
        <w:t>期内，公司管理层基本完成了董事会制定的经营业绩目标，石基信息高管人员薪酬收入执行了股东大会、</w:t>
      </w:r>
      <w:r>
        <w:rPr>
          <w:spacing w:val="-21"/>
        </w:rPr>
        <w:t> </w:t>
      </w:r>
      <w:r>
        <w:rPr>
          <w:spacing w:val="-21"/>
        </w:rPr>
      </w:r>
      <w:r>
        <w:rPr/>
        <w:t>董事会批准的有关规定，公司</w:t>
      </w:r>
      <w:r>
        <w:rPr>
          <w:rFonts w:ascii="Times New Roman" w:hAnsi="Times New Roman" w:cs="Times New Roman" w:eastAsia="Times New Roman" w:hint="default"/>
        </w:rPr>
        <w:t>2017</w:t>
      </w:r>
      <w:r>
        <w:rPr/>
        <w:t>年年度报告中披露的有关高管人员薪酬收入情况真实、客观。</w:t>
      </w:r>
    </w:p>
    <w:p>
      <w:pPr>
        <w:pStyle w:val="BodyText"/>
        <w:spacing w:line="256" w:lineRule="auto" w:before="38"/>
        <w:ind w:right="1126" w:firstLine="420"/>
        <w:jc w:val="both"/>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22</w:t>
      </w:r>
      <w:r>
        <w:rPr>
          <w:spacing w:val="-3"/>
        </w:rPr>
        <w:t>日</w:t>
      </w:r>
      <w:r>
        <w:rPr>
          <w:rFonts w:ascii="Times New Roman" w:hAnsi="Times New Roman" w:cs="Times New Roman" w:eastAsia="Times New Roman" w:hint="default"/>
          <w:spacing w:val="-3"/>
        </w:rPr>
        <w:t>,</w:t>
      </w:r>
      <w:r>
        <w:rPr>
          <w:spacing w:val="-3"/>
        </w:rPr>
        <w:t>董事会薪酬委员会召开</w:t>
      </w:r>
      <w:r>
        <w:rPr>
          <w:rFonts w:ascii="Times New Roman" w:hAnsi="Times New Roman" w:cs="Times New Roman" w:eastAsia="Times New Roman" w:hint="default"/>
          <w:spacing w:val="-3"/>
        </w:rPr>
        <w:t>2018</w:t>
      </w:r>
      <w:r>
        <w:rPr>
          <w:spacing w:val="-3"/>
        </w:rPr>
        <w:t>年第二次会议，审议《关于调整公司</w:t>
      </w:r>
      <w:r>
        <w:rPr>
          <w:rFonts w:ascii="Times New Roman" w:hAnsi="Times New Roman" w:cs="Times New Roman" w:eastAsia="Times New Roman" w:hint="default"/>
          <w:spacing w:val="-3"/>
        </w:rPr>
        <w:t>2016</w:t>
      </w:r>
      <w:r>
        <w:rPr>
          <w:spacing w:val="-3"/>
        </w:rPr>
        <w:t>年股票期权激</w:t>
      </w:r>
      <w:r>
        <w:rPr>
          <w:w w:val="100"/>
        </w:rPr>
        <w:t> </w:t>
      </w:r>
      <w:r>
        <w:rPr>
          <w:spacing w:val="2"/>
        </w:rPr>
        <w:t>励计划行权价格的议案》，同意公司董事会对公司</w:t>
      </w:r>
      <w:r>
        <w:rPr>
          <w:rFonts w:ascii="Times New Roman" w:hAnsi="Times New Roman" w:cs="Times New Roman" w:eastAsia="Times New Roman" w:hint="default"/>
          <w:spacing w:val="2"/>
        </w:rPr>
        <w:t>2016</w:t>
      </w:r>
      <w:r>
        <w:rPr>
          <w:spacing w:val="2"/>
        </w:rPr>
        <w:t>年股票期权激励计划首次授予期权的行权价格由</w:t>
      </w:r>
      <w:r>
        <w:rPr>
          <w:spacing w:val="-26"/>
        </w:rPr>
        <w:t> </w:t>
      </w:r>
      <w:r>
        <w:rPr>
          <w:spacing w:val="-26"/>
        </w:rPr>
      </w:r>
      <w:r>
        <w:rPr>
          <w:rFonts w:ascii="Times New Roman" w:hAnsi="Times New Roman" w:cs="Times New Roman" w:eastAsia="Times New Roman" w:hint="default"/>
        </w:rPr>
        <w:t>25.34</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25.24</w:t>
      </w:r>
      <w:r>
        <w:rPr/>
        <w:t>元</w:t>
      </w:r>
      <w:r>
        <w:rPr>
          <w:rFonts w:ascii="Times New Roman" w:hAnsi="Times New Roman" w:cs="Times New Roman" w:eastAsia="Times New Roman" w:hint="default"/>
        </w:rPr>
        <w:t>/</w:t>
      </w:r>
      <w:r>
        <w:rPr/>
        <w:t>股。</w:t>
      </w:r>
    </w:p>
    <w:p>
      <w:pPr>
        <w:pStyle w:val="BodyText"/>
        <w:spacing w:line="256" w:lineRule="auto" w:before="46"/>
        <w:ind w:right="1126" w:firstLine="420"/>
        <w:jc w:val="both"/>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19</w:t>
      </w:r>
      <w:r>
        <w:rPr>
          <w:spacing w:val="-1"/>
        </w:rPr>
        <w:t>日</w:t>
      </w:r>
      <w:r>
        <w:rPr>
          <w:rFonts w:ascii="Times New Roman" w:hAnsi="Times New Roman" w:cs="Times New Roman" w:eastAsia="Times New Roman" w:hint="default"/>
          <w:spacing w:val="-1"/>
        </w:rPr>
        <w:t>,</w:t>
      </w:r>
      <w:r>
        <w:rPr>
          <w:spacing w:val="-1"/>
        </w:rPr>
        <w:t>董事会薪酬委员会召开</w:t>
      </w:r>
      <w:r>
        <w:rPr>
          <w:rFonts w:ascii="Times New Roman" w:hAnsi="Times New Roman" w:cs="Times New Roman" w:eastAsia="Times New Roman" w:hint="default"/>
          <w:spacing w:val="-1"/>
        </w:rPr>
        <w:t>2018</w:t>
      </w:r>
      <w:r>
        <w:rPr>
          <w:spacing w:val="-1"/>
        </w:rPr>
        <w:t>年第三次会议，审议《关于调整</w:t>
      </w:r>
      <w:r>
        <w:rPr>
          <w:rFonts w:ascii="Times New Roman" w:hAnsi="Times New Roman" w:cs="Times New Roman" w:eastAsia="Times New Roman" w:hint="default"/>
          <w:spacing w:val="-1"/>
        </w:rPr>
        <w:t>2016</w:t>
      </w:r>
      <w:r>
        <w:rPr>
          <w:spacing w:val="-1"/>
        </w:rPr>
        <w:t>年股票期权激励</w:t>
      </w:r>
      <w:r>
        <w:rPr>
          <w:w w:val="100"/>
        </w:rPr>
        <w:t> </w:t>
      </w:r>
      <w:r>
        <w:rPr>
          <w:spacing w:val="-2"/>
        </w:rPr>
        <w:t>计划授予对象、授予数量及注销部分期权的议案》、《关于公司</w:t>
      </w:r>
      <w:r>
        <w:rPr>
          <w:rFonts w:ascii="Times New Roman" w:hAnsi="Times New Roman" w:cs="Times New Roman" w:eastAsia="Times New Roman" w:hint="default"/>
          <w:spacing w:val="-2"/>
        </w:rPr>
        <w:t>2016</w:t>
      </w:r>
      <w:r>
        <w:rPr>
          <w:spacing w:val="-2"/>
        </w:rPr>
        <w:t>年股票期权激励计划首次授予股票期</w:t>
      </w:r>
      <w:r>
        <w:rPr>
          <w:spacing w:val="-44"/>
        </w:rPr>
        <w:t> </w:t>
      </w:r>
      <w:r>
        <w:rPr>
          <w:spacing w:val="-44"/>
        </w:rPr>
      </w:r>
      <w:r>
        <w:rPr>
          <w:spacing w:val="-2"/>
        </w:rPr>
        <w:t>权第一个行权期可行权的议案》及《关于公司</w:t>
      </w:r>
      <w:r>
        <w:rPr>
          <w:rFonts w:ascii="Times New Roman" w:hAnsi="Times New Roman" w:cs="Times New Roman" w:eastAsia="Times New Roman" w:hint="default"/>
          <w:spacing w:val="-2"/>
        </w:rPr>
        <w:t>2016</w:t>
      </w:r>
      <w:r>
        <w:rPr>
          <w:spacing w:val="-2"/>
        </w:rPr>
        <w:t>年股票期权激励计划首次授予股票期权采用自主行权模</w:t>
      </w:r>
      <w:r>
        <w:rPr>
          <w:spacing w:val="-39"/>
        </w:rPr>
        <w:t> </w:t>
      </w:r>
      <w:r>
        <w:rPr>
          <w:spacing w:val="-39"/>
        </w:rPr>
      </w:r>
      <w:r>
        <w:rPr>
          <w:spacing w:val="-2"/>
        </w:rPr>
        <w:t>式的议案》，同意对公司</w:t>
      </w:r>
      <w:r>
        <w:rPr>
          <w:rFonts w:ascii="Times New Roman" w:hAnsi="Times New Roman" w:cs="Times New Roman" w:eastAsia="Times New Roman" w:hint="default"/>
          <w:spacing w:val="-2"/>
        </w:rPr>
        <w:t>2016</w:t>
      </w:r>
      <w:r>
        <w:rPr>
          <w:spacing w:val="-2"/>
        </w:rPr>
        <w:t>年股权激励计划首次授予对象及授予股份数量进行相应调整，同意公司</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年股票期权激励计划首次授予股票期权第一个行权期采用自主行权模式及可行权等事项。</w:t>
      </w:r>
    </w:p>
    <w:p>
      <w:pPr>
        <w:spacing w:line="307" w:lineRule="auto" w:before="63"/>
        <w:ind w:left="573" w:right="0" w:firstLine="0"/>
        <w:jc w:val="left"/>
        <w:rPr>
          <w:rFonts w:ascii="宋体" w:hAnsi="宋体" w:cs="宋体" w:eastAsia="宋体" w:hint="default"/>
          <w:sz w:val="21"/>
          <w:szCs w:val="21"/>
        </w:rPr>
      </w:pPr>
      <w:r>
        <w:rPr>
          <w:rFonts w:ascii="宋体" w:hAnsi="宋体" w:cs="宋体" w:eastAsia="宋体" w:hint="default"/>
          <w:b/>
          <w:bCs/>
          <w:sz w:val="21"/>
          <w:szCs w:val="21"/>
        </w:rPr>
        <w:t>（三）董事会提名委员会履职情况汇总报告</w:t>
      </w:r>
      <w:r>
        <w:rPr>
          <w:rFonts w:ascii="宋体" w:hAnsi="宋体" w:cs="宋体" w:eastAsia="宋体" w:hint="default"/>
          <w:b/>
          <w:bCs/>
          <w:w w:val="100"/>
          <w:sz w:val="21"/>
          <w:szCs w:val="21"/>
        </w:rPr>
        <w:t> </w:t>
      </w:r>
      <w:r>
        <w:rPr>
          <w:rFonts w:ascii="宋体" w:hAnsi="宋体" w:cs="宋体" w:eastAsia="宋体" w:hint="default"/>
          <w:spacing w:val="-2"/>
          <w:sz w:val="21"/>
          <w:szCs w:val="21"/>
        </w:rPr>
        <w:t>董事会提名委员会成员由</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名董事组成，其中两名为公司独立董事，主席由独立董事担任。报告期内，</w:t>
      </w:r>
    </w:p>
    <w:p>
      <w:pPr>
        <w:pStyle w:val="BodyText"/>
        <w:spacing w:line="231" w:lineRule="exact"/>
        <w:ind w:right="1133"/>
        <w:jc w:val="left"/>
      </w:pPr>
      <w:r>
        <w:rPr/>
        <w:t>提名委员会根据《公司法》、《公司章程》和《董事会提名委员会工作细则》，积极履行职责。</w:t>
      </w:r>
    </w:p>
    <w:p>
      <w:pPr>
        <w:spacing w:line="240" w:lineRule="auto" w:before="11"/>
        <w:rPr>
          <w:rFonts w:ascii="宋体" w:hAnsi="宋体" w:cs="宋体" w:eastAsia="宋体" w:hint="default"/>
          <w:sz w:val="23"/>
          <w:szCs w:val="23"/>
        </w:rPr>
      </w:pPr>
    </w:p>
    <w:p>
      <w:pPr>
        <w:pStyle w:val="Heading3"/>
        <w:spacing w:line="240" w:lineRule="auto"/>
        <w:ind w:right="1133"/>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38" w:lineRule="auto" w:before="117"/>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8"/>
        <w:rPr>
          <w:rFonts w:ascii="宋体" w:hAnsi="宋体" w:cs="宋体" w:eastAsia="宋体" w:hint="default"/>
          <w:sz w:val="19"/>
          <w:szCs w:val="19"/>
        </w:rPr>
      </w:pPr>
    </w:p>
    <w:p>
      <w:pPr>
        <w:pStyle w:val="Heading3"/>
        <w:spacing w:line="240" w:lineRule="auto"/>
        <w:ind w:right="1133"/>
        <w:jc w:val="left"/>
        <w:rPr>
          <w:b w:val="0"/>
          <w:bCs w:val="0"/>
        </w:rPr>
      </w:pPr>
      <w:r>
        <w:rPr/>
        <w:t>八、高级管理人员的考评及激励情况</w:t>
      </w:r>
      <w:r>
        <w:rPr>
          <w:b w:val="0"/>
          <w:bCs w:val="0"/>
        </w:rPr>
      </w:r>
    </w:p>
    <w:p>
      <w:pPr>
        <w:spacing w:line="240" w:lineRule="auto" w:before="12"/>
        <w:rPr>
          <w:rFonts w:ascii="宋体" w:hAnsi="宋体" w:cs="宋体" w:eastAsia="宋体" w:hint="default"/>
          <w:b/>
          <w:bCs/>
          <w:sz w:val="24"/>
          <w:szCs w:val="24"/>
        </w:rPr>
      </w:pPr>
    </w:p>
    <w:p>
      <w:pPr>
        <w:pStyle w:val="BodyText"/>
        <w:spacing w:line="266" w:lineRule="auto"/>
        <w:ind w:right="1126" w:firstLine="420"/>
        <w:jc w:val="both"/>
      </w:pPr>
      <w:r>
        <w:rPr>
          <w:spacing w:val="-2"/>
        </w:rPr>
        <w:t>公司重视对高级管理人员的绩效考评工作，不断完善高级管理人员的考评和激励机制。根据公司《高</w:t>
      </w:r>
      <w:r>
        <w:rPr>
          <w:w w:val="100"/>
        </w:rPr>
        <w:t> </w:t>
      </w:r>
      <w:r>
        <w:rPr>
          <w:spacing w:val="-2"/>
        </w:rPr>
        <w:t>级管理人员绩效考核管理制度》的规定，公司对高级管理人员实行年薪制，高级管理人员的年薪与公司经</w:t>
      </w:r>
      <w:r>
        <w:rPr>
          <w:spacing w:val="-44"/>
        </w:rPr>
        <w:t> </w:t>
      </w:r>
      <w:r>
        <w:rPr>
          <w:spacing w:val="-44"/>
        </w:rPr>
      </w:r>
      <w:r>
        <w:rPr>
          <w:spacing w:val="-2"/>
        </w:rPr>
        <w:t>营业绩以及个人工作绩效挂钩，由公司董事会薪酬委员会对高级管理人员进行考评。考评结果作为高管人</w:t>
      </w:r>
      <w:r>
        <w:rPr>
          <w:spacing w:val="-43"/>
        </w:rPr>
        <w:t> </w:t>
      </w:r>
      <w:r>
        <w:rPr>
          <w:spacing w:val="-43"/>
        </w:rPr>
      </w:r>
      <w:r>
        <w:rPr>
          <w:spacing w:val="-2"/>
        </w:rPr>
        <w:t>员年薪核定的主要依据，由董事会最终审议通过。报告期内，公司高级管理人员为公司</w:t>
      </w:r>
      <w:r>
        <w:rPr>
          <w:rFonts w:ascii="Times New Roman" w:hAnsi="Times New Roman" w:cs="Times New Roman" w:eastAsia="Times New Roman" w:hint="default"/>
          <w:spacing w:val="-2"/>
        </w:rPr>
        <w:t>2016</w:t>
      </w:r>
      <w:r>
        <w:rPr>
          <w:spacing w:val="-2"/>
        </w:rPr>
        <w:t>年度股票期权</w:t>
      </w:r>
      <w:r>
        <w:rPr>
          <w:spacing w:val="-38"/>
        </w:rPr>
        <w:t> </w:t>
      </w:r>
      <w:r>
        <w:rPr>
          <w:spacing w:val="-38"/>
        </w:rPr>
      </w:r>
      <w:r>
        <w:rPr>
          <w:spacing w:val="-4"/>
        </w:rPr>
        <w:t>激励计划的激励对象，详见本报告第五节重要事项</w:t>
      </w:r>
      <w:r>
        <w:rPr>
          <w:rFonts w:ascii="Times New Roman" w:hAnsi="Times New Roman" w:cs="Times New Roman" w:eastAsia="Times New Roman" w:hint="default"/>
          <w:spacing w:val="-4"/>
        </w:rPr>
        <w:t>/</w:t>
      </w:r>
      <w:r>
        <w:rPr>
          <w:spacing w:val="-4"/>
        </w:rPr>
        <w:t>十五、公司股权激励计划、员工持股计划、或其他员工</w:t>
      </w:r>
      <w:r>
        <w:rPr>
          <w:spacing w:val="-11"/>
        </w:rPr>
        <w:t> </w:t>
      </w:r>
      <w:r>
        <w:rPr>
          <w:spacing w:val="-11"/>
        </w:rPr>
      </w:r>
      <w:r>
        <w:rPr/>
        <w:t>激励措施的实施情况。</w:t>
      </w:r>
    </w:p>
    <w:p>
      <w:pPr>
        <w:spacing w:after="0" w:line="266" w:lineRule="auto"/>
        <w:jc w:val="both"/>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3"/>
        <w:spacing w:line="240" w:lineRule="auto" w:before="26"/>
        <w:ind w:right="1133"/>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7"/>
        <w:spacing w:line="240" w:lineRule="auto"/>
        <w:ind w:right="113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spacing w:line="350" w:lineRule="exact"/>
        <w:ind w:left="6703"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149.8pt;height:17.55pt;mso-position-horizontal-relative:char;mso-position-vertical-relative:line" coordorigin="0,0" coordsize="2996,351">
            <v:group style="position:absolute;left:0;top:0;width:2996;height:351" coordorigin="0,0" coordsize="2996,351">
              <v:shape style="position:absolute;left:0;top:0;width:2996;height:351" coordorigin="0,0" coordsize="2996,351" path="m0,350l2996,350,2996,0,0,0,0,350xe" filled="true" fillcolor="#ffffff" stroked="false">
                <v:path arrowok="t"/>
                <v:fill type="solid"/>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spacing w:before="44"/>
        <w:ind w:left="152" w:right="1136" w:firstLine="0"/>
        <w:jc w:val="right"/>
        <w:rPr>
          <w:rFonts w:ascii="宋体" w:hAnsi="宋体" w:cs="宋体" w:eastAsia="宋体" w:hint="default"/>
          <w:sz w:val="18"/>
          <w:szCs w:val="18"/>
        </w:rPr>
      </w:pPr>
      <w:r>
        <w:rPr/>
        <w:pict>
          <v:shape style="position:absolute;margin-left:57pt;margin-top:-214.838287pt;width:478.8pt;height:507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3"/>
                    <w:gridCol w:w="1908"/>
                    <w:gridCol w:w="1419"/>
                    <w:gridCol w:w="3051"/>
                  </w:tblGrid>
                  <w:tr>
                    <w:trPr>
                      <w:trHeight w:val="401" w:hRule="exact"/>
                    </w:trPr>
                    <w:tc>
                      <w:tcPr>
                        <w:tcW w:w="5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447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161" w:hRule="exact"/>
                    </w:trPr>
                    <w:tc>
                      <w:tcPr>
                        <w:tcW w:w="50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470" w:type="dxa"/>
                        <w:gridSpan w:val="2"/>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日刊登于巨潮资讯网</w:t>
                        </w:r>
                        <w:r>
                          <w:rPr>
                            <w:rFonts w:ascii="宋体" w:hAnsi="宋体" w:cs="宋体" w:eastAsia="宋体" w:hint="default"/>
                            <w:spacing w:val="-64"/>
                            <w:sz w:val="18"/>
                            <w:szCs w:val="18"/>
                          </w:rPr>
                          <w:t> </w:t>
                        </w:r>
                        <w:hyperlink r:id="rId36">
                          <w:r>
                            <w:rPr>
                              <w:rFonts w:ascii="Times New Roman" w:hAnsi="Times New Roman" w:cs="Times New Roman" w:eastAsia="Times New Roman" w:hint="default"/>
                              <w:sz w:val="18"/>
                              <w:szCs w:val="18"/>
                            </w:rPr>
                            <w:t>www.cninfo.com</w:t>
                          </w:r>
                        </w:hyperlink>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年度公司内部控制自我评价报告》</w:t>
                        </w:r>
                      </w:p>
                    </w:tc>
                  </w:tr>
                  <w:tr>
                    <w:trPr>
                      <w:trHeight w:val="394" w:hRule="exact"/>
                    </w:trPr>
                    <w:tc>
                      <w:tcPr>
                        <w:tcW w:w="509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4470" w:type="dxa"/>
                        <w:gridSpan w:val="2"/>
                        <w:vMerge/>
                        <w:tcBorders>
                          <w:left w:val="single" w:sz="10" w:space="0" w:color="D2D2D2"/>
                          <w:right w:val="single" w:sz="4" w:space="0" w:color="000000"/>
                        </w:tcBorders>
                      </w:tcPr>
                      <w:p>
                        <w:pPr/>
                      </w:p>
                    </w:tc>
                  </w:tr>
                  <w:tr>
                    <w:trPr>
                      <w:trHeight w:val="161" w:hRule="exact"/>
                    </w:trPr>
                    <w:tc>
                      <w:tcPr>
                        <w:tcW w:w="50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470" w:type="dxa"/>
                        <w:gridSpan w:val="2"/>
                        <w:vMerge/>
                        <w:tcBorders>
                          <w:left w:val="single" w:sz="10" w:space="0" w:color="D2D2D2"/>
                          <w:bottom w:val="single" w:sz="4" w:space="0" w:color="000000"/>
                          <w:right w:val="single" w:sz="4" w:space="0" w:color="000000"/>
                        </w:tcBorders>
                      </w:tcPr>
                      <w:p>
                        <w:pPr/>
                      </w:p>
                    </w:tc>
                  </w:tr>
                  <w:tr>
                    <w:trPr>
                      <w:trHeight w:val="401" w:hRule="exact"/>
                    </w:trPr>
                    <w:tc>
                      <w:tcPr>
                        <w:tcW w:w="5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447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9" w:hRule="exact"/>
                    </w:trPr>
                    <w:tc>
                      <w:tcPr>
                        <w:tcW w:w="5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447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1" w:hRule="exact"/>
                    </w:trPr>
                    <w:tc>
                      <w:tcPr>
                        <w:tcW w:w="95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2"/>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721"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gridSpan w:val="2"/>
                        <w:vMerge w:val="restart"/>
                        <w:tcBorders>
                          <w:top w:val="single" w:sz="4" w:space="0" w:color="000000"/>
                          <w:left w:val="single" w:sz="9" w:space="0" w:color="D2D2D2"/>
                          <w:right w:val="single" w:sz="9" w:space="0" w:color="FFFFFF"/>
                        </w:tcBorders>
                      </w:tcPr>
                      <w:p>
                        <w:pPr>
                          <w:pStyle w:val="TableParagraph"/>
                          <w:spacing w:line="312" w:lineRule="auto" w:before="49"/>
                          <w:ind w:left="18" w:right="-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）重大缺陷：董事、监事或高级管理人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员舞弊；公司以前年度存在重大会计差错，</w:t>
                        </w:r>
                        <w:r>
                          <w:rPr>
                            <w:rFonts w:ascii="宋体" w:hAnsi="宋体" w:cs="宋体" w:eastAsia="宋体" w:hint="default"/>
                            <w:spacing w:val="-34"/>
                            <w:sz w:val="18"/>
                            <w:szCs w:val="18"/>
                          </w:rPr>
                          <w:t> </w:t>
                        </w:r>
                        <w:r>
                          <w:rPr>
                            <w:rFonts w:ascii="宋体" w:hAnsi="宋体" w:cs="宋体" w:eastAsia="宋体" w:hint="default"/>
                            <w:sz w:val="18"/>
                            <w:szCs w:val="18"/>
                          </w:rPr>
                          <w:t>更正已披露的财务报告；公司当期财务报</w:t>
                        </w:r>
                        <w:r>
                          <w:rPr>
                            <w:rFonts w:ascii="宋体" w:hAnsi="宋体" w:cs="宋体" w:eastAsia="宋体" w:hint="default"/>
                            <w:sz w:val="18"/>
                            <w:szCs w:val="18"/>
                          </w:rPr>
                          <w:t> 告存在重大错报而内部控制未能发现该错 报；公司审计委员会和内部审计机构对内 部控制的监督无效；其他可能影响报表使 </w:t>
                        </w:r>
                        <w:r>
                          <w:rPr>
                            <w:rFonts w:ascii="宋体" w:hAnsi="宋体" w:cs="宋体" w:eastAsia="宋体" w:hint="default"/>
                            <w:spacing w:val="-5"/>
                            <w:sz w:val="18"/>
                            <w:szCs w:val="18"/>
                          </w:rPr>
                          <w:t>用者正确判断的缺陷；（</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）重要缺陷：违</w:t>
                        </w:r>
                        <w:r>
                          <w:rPr>
                            <w:rFonts w:ascii="宋体" w:hAnsi="宋体" w:cs="宋体" w:eastAsia="宋体" w:hint="default"/>
                            <w:spacing w:val="-86"/>
                            <w:sz w:val="18"/>
                            <w:szCs w:val="18"/>
                          </w:rPr>
                          <w:t> </w:t>
                        </w:r>
                        <w:r>
                          <w:rPr>
                            <w:rFonts w:ascii="宋体" w:hAnsi="宋体" w:cs="宋体" w:eastAsia="宋体" w:hint="default"/>
                            <w:spacing w:val="-5"/>
                            <w:sz w:val="18"/>
                            <w:szCs w:val="18"/>
                          </w:rPr>
                          <w:t>规泄露财务报告、并购、投资等重大信息，</w:t>
                        </w:r>
                        <w:r>
                          <w:rPr>
                            <w:rFonts w:ascii="宋体" w:hAnsi="宋体" w:cs="宋体" w:eastAsia="宋体" w:hint="default"/>
                            <w:spacing w:val="-34"/>
                            <w:sz w:val="18"/>
                            <w:szCs w:val="18"/>
                          </w:rPr>
                          <w:t> </w:t>
                        </w:r>
                        <w:r>
                          <w:rPr>
                            <w:rFonts w:ascii="宋体" w:hAnsi="宋体" w:cs="宋体" w:eastAsia="宋体" w:hint="default"/>
                            <w:sz w:val="18"/>
                            <w:szCs w:val="18"/>
                          </w:rPr>
                          <w:t>导致公司股价严重波动或给公司形象造成</w:t>
                        </w:r>
                        <w:r>
                          <w:rPr>
                            <w:rFonts w:ascii="宋体" w:hAnsi="宋体" w:cs="宋体" w:eastAsia="宋体" w:hint="default"/>
                            <w:sz w:val="18"/>
                            <w:szCs w:val="18"/>
                          </w:rPr>
                          <w:t> </w:t>
                        </w:r>
                        <w:r>
                          <w:rPr>
                            <w:rFonts w:ascii="宋体" w:hAnsi="宋体" w:cs="宋体" w:eastAsia="宋体" w:hint="default"/>
                            <w:spacing w:val="-5"/>
                            <w:sz w:val="18"/>
                            <w:szCs w:val="18"/>
                          </w:rPr>
                          <w:t>严重负面影响；（</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）一般缺陷：不构成重</w:t>
                        </w:r>
                        <w:r>
                          <w:rPr>
                            <w:rFonts w:ascii="宋体" w:hAnsi="宋体" w:cs="宋体" w:eastAsia="宋体" w:hint="default"/>
                            <w:spacing w:val="-86"/>
                            <w:sz w:val="18"/>
                            <w:szCs w:val="18"/>
                          </w:rPr>
                          <w:t> </w:t>
                        </w:r>
                        <w:r>
                          <w:rPr>
                            <w:rFonts w:ascii="宋体" w:hAnsi="宋体" w:cs="宋体" w:eastAsia="宋体" w:hint="default"/>
                            <w:sz w:val="18"/>
                            <w:szCs w:val="18"/>
                          </w:rPr>
                          <w:t>大缺陷和重要缺陷的财务报告内部控制缺 陷。</w:t>
                        </w:r>
                      </w:p>
                    </w:tc>
                    <w:tc>
                      <w:tcPr>
                        <w:tcW w:w="3051" w:type="dxa"/>
                        <w:vMerge w:val="restart"/>
                        <w:tcBorders>
                          <w:top w:val="single" w:sz="4" w:space="0" w:color="000000"/>
                          <w:left w:val="single" w:sz="9" w:space="0" w:color="FFFFF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5"/>
                          <w:ind w:left="17" w:right="-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）重大缺陷：董事会及其专业委员 </w:t>
                        </w:r>
                        <w:r>
                          <w:rPr>
                            <w:rFonts w:ascii="宋体" w:hAnsi="宋体" w:cs="宋体" w:eastAsia="宋体" w:hint="default"/>
                            <w:spacing w:val="-4"/>
                            <w:sz w:val="18"/>
                            <w:szCs w:val="18"/>
                          </w:rPr>
                          <w:t>会、监事会和经理层未按照权限和职责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履行；公司重要业务缺乏控制或内部控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制系统整体失效；其他可能导致企业严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重偏离控制目标的缺陷；（</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）重要缺陷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内部控制设计未覆盖重要业务和关键 </w:t>
                        </w:r>
                        <w:r>
                          <w:rPr>
                            <w:rFonts w:ascii="宋体" w:hAnsi="宋体" w:cs="宋体" w:eastAsia="宋体" w:hint="default"/>
                            <w:spacing w:val="-4"/>
                            <w:sz w:val="18"/>
                            <w:szCs w:val="18"/>
                          </w:rPr>
                          <w:t>风险领域，不能实现控制目标；信息披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露内容不真实，受到外部监管机构处 </w:t>
                        </w:r>
                        <w:r>
                          <w:rPr>
                            <w:rFonts w:ascii="宋体" w:hAnsi="宋体" w:cs="宋体" w:eastAsia="宋体" w:hint="default"/>
                            <w:spacing w:val="-9"/>
                            <w:sz w:val="18"/>
                            <w:szCs w:val="18"/>
                          </w:rPr>
                          <w:t>罚；（</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）一般缺陷：不构成重大缺陷和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重要缺陷的非财务报告内部控制缺陷。</w:t>
                        </w:r>
                      </w:p>
                    </w:tc>
                  </w:tr>
                  <w:tr>
                    <w:trPr>
                      <w:trHeight w:val="391"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gridSpan w:val="2"/>
                        <w:vMerge/>
                        <w:tcBorders>
                          <w:left w:val="single" w:sz="9" w:space="0" w:color="D2D2D2"/>
                          <w:right w:val="single" w:sz="9" w:space="0" w:color="FFFFFF"/>
                        </w:tcBorders>
                      </w:tcPr>
                      <w:p>
                        <w:pPr/>
                      </w:p>
                    </w:tc>
                    <w:tc>
                      <w:tcPr>
                        <w:tcW w:w="3051" w:type="dxa"/>
                        <w:vMerge/>
                        <w:tcBorders>
                          <w:left w:val="single" w:sz="9" w:space="0" w:color="FFFFFF"/>
                          <w:right w:val="nil" w:sz="6" w:space="0" w:color="auto"/>
                        </w:tcBorders>
                      </w:tcPr>
                      <w:p>
                        <w:pPr/>
                      </w:p>
                    </w:tc>
                  </w:tr>
                  <w:tr>
                    <w:trPr>
                      <w:trHeight w:val="1721"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gridSpan w:val="2"/>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nil" w:sz="6" w:space="0" w:color="auto"/>
                        </w:tcBorders>
                      </w:tcPr>
                      <w:p>
                        <w:pPr/>
                      </w:p>
                    </w:tc>
                  </w:tr>
                  <w:tr>
                    <w:trPr>
                      <w:trHeight w:val="785"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gridSpan w:val="2"/>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18"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合并财务报表 资产总额的</w:t>
                        </w:r>
                        <w:r>
                          <w:rPr>
                            <w:rFonts w:ascii="宋体" w:hAnsi="宋体" w:cs="宋体" w:eastAsia="宋体" w:hint="default"/>
                            <w:spacing w:val="-37"/>
                            <w:sz w:val="18"/>
                            <w:szCs w:val="18"/>
                          </w:rPr>
                          <w:t> </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）重要缺陷：合并财务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报表资产总额的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合并财务 报表资产总额的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9"/>
                            <w:sz w:val="18"/>
                            <w:szCs w:val="18"/>
                          </w:rPr>
                          <w:t>0.5%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）一般缺陷：错</w:t>
                        </w:r>
                        <w:r>
                          <w:rPr>
                            <w:rFonts w:ascii="宋体" w:hAnsi="宋体" w:cs="宋体" w:eastAsia="宋体" w:hint="default"/>
                            <w:sz w:val="18"/>
                            <w:szCs w:val="18"/>
                          </w:rPr>
                          <w:t> 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51"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18"/>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）重大缺陷：错报金额</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合并财务报</w:t>
                        </w:r>
                        <w:r>
                          <w:rPr>
                            <w:rFonts w:ascii="宋体" w:hAnsi="宋体" w:cs="宋体" w:eastAsia="宋体" w:hint="default"/>
                            <w:spacing w:val="-78"/>
                            <w:sz w:val="18"/>
                            <w:szCs w:val="18"/>
                          </w:rPr>
                          <w:t> </w:t>
                        </w:r>
                        <w:r>
                          <w:rPr>
                            <w:rFonts w:ascii="宋体" w:hAnsi="宋体" w:cs="宋体" w:eastAsia="宋体" w:hint="default"/>
                            <w:sz w:val="18"/>
                            <w:szCs w:val="18"/>
                          </w:rPr>
                          <w:t>表资产总额的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）重要缺陷：合</w:t>
                        </w:r>
                        <w:r>
                          <w:rPr>
                            <w:rFonts w:ascii="宋体" w:hAnsi="宋体" w:cs="宋体" w:eastAsia="宋体" w:hint="default"/>
                            <w:sz w:val="18"/>
                            <w:szCs w:val="18"/>
                          </w:rPr>
                          <w:t> 并财务报表资产总额的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 </w:t>
                        </w:r>
                        <w:r>
                          <w:rPr>
                            <w:rFonts w:ascii="宋体" w:hAnsi="宋体" w:cs="宋体" w:eastAsia="宋体" w:hint="default"/>
                            <w:sz w:val="18"/>
                            <w:szCs w:val="18"/>
                          </w:rPr>
                          <w:t>合并财务报表资产总额的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12"/>
                            <w:sz w:val="18"/>
                            <w:szCs w:val="18"/>
                          </w:rPr>
                          <w:t>0.5%</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w:t>
                        </w:r>
                        <w:r>
                          <w:rPr>
                            <w:rFonts w:ascii="宋体" w:hAnsi="宋体" w:cs="宋体" w:eastAsia="宋体" w:hint="default"/>
                            <w:sz w:val="18"/>
                            <w:szCs w:val="18"/>
                          </w:rPr>
                          <w:t> 一般缺陷：错报金额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合并财务报表资 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394"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gridSpan w:val="2"/>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785"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gridSpan w:val="2"/>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1"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1"/>
        <w:rPr>
          <w:rFonts w:ascii="宋体" w:hAnsi="宋体" w:cs="宋体" w:eastAsia="宋体" w:hint="default"/>
          <w:sz w:val="29"/>
          <w:szCs w:val="29"/>
        </w:rPr>
      </w:pPr>
    </w:p>
    <w:p>
      <w:pPr>
        <w:spacing w:line="312" w:lineRule="exact"/>
        <w:ind w:left="6703"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0"/>
        <w:ind w:right="1133"/>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969"/>
        <w:gridCol w:w="5600"/>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6"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我们认为，石基信息公司按照《企业内部控制基本规范》及相关规定于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日在所有重大方面保持了与财务 报表相关的有效的内部控制。</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4"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日刊登于巨潮资讯网</w:t>
            </w:r>
            <w:r>
              <w:rPr>
                <w:rFonts w:ascii="宋体" w:hAnsi="宋体" w:cs="宋体" w:eastAsia="宋体" w:hint="default"/>
                <w:spacing w:val="-48"/>
                <w:sz w:val="18"/>
                <w:szCs w:val="18"/>
              </w:rPr>
              <w:t>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的《公司 内部控制评价报告》</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5"/>
        <w:ind w:left="152" w:right="4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39"/>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125" w:right="1133"/>
        <w:jc w:val="left"/>
        <w:rPr>
          <w:b w:val="0"/>
          <w:bCs w:val="0"/>
        </w:rPr>
      </w:pPr>
      <w:bookmarkStart w:name="_bookmark8" w:id="9"/>
      <w:bookmarkEnd w:id="9"/>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607" w:right="1133"/>
        <w:jc w:val="left"/>
        <w:rPr>
          <w:b w:val="0"/>
          <w:bCs w:val="0"/>
        </w:rPr>
      </w:pPr>
      <w:bookmarkStart w:name="_bookmark9" w:id="10"/>
      <w:bookmarkEnd w:id="10"/>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XYZH/2019BJA40356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张昆、张海啸</w:t>
            </w:r>
          </w:p>
        </w:tc>
      </w:tr>
    </w:tbl>
    <w:p>
      <w:pPr>
        <w:spacing w:before="49"/>
        <w:ind w:left="556" w:right="1534"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9"/>
        <w:rPr>
          <w:rFonts w:ascii="宋体" w:hAnsi="宋体" w:cs="宋体" w:eastAsia="宋体" w:hint="default"/>
          <w:sz w:val="14"/>
          <w:szCs w:val="14"/>
        </w:rPr>
      </w:pPr>
    </w:p>
    <w:p>
      <w:pPr>
        <w:pStyle w:val="Heading2"/>
        <w:spacing w:line="240" w:lineRule="auto" w:before="0"/>
        <w:ind w:left="556" w:right="1536"/>
        <w:jc w:val="center"/>
        <w:rPr>
          <w:b w:val="0"/>
          <w:bCs w:val="0"/>
        </w:rPr>
      </w:pPr>
      <w:r>
        <w:rPr/>
        <w:t>审计报告</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Heading6"/>
        <w:spacing w:line="240" w:lineRule="auto" w:before="72"/>
        <w:ind w:right="1130" w:firstLine="0"/>
        <w:jc w:val="right"/>
        <w:rPr>
          <w:rFonts w:ascii="Times New Roman" w:hAnsi="Times New Roman" w:cs="Times New Roman" w:eastAsia="Times New Roman" w:hint="default"/>
        </w:rPr>
      </w:pPr>
      <w:r>
        <w:rPr>
          <w:rFonts w:ascii="Times New Roman"/>
          <w:spacing w:val="-1"/>
        </w:rPr>
        <w:t>XYZH/2019BJA40356</w:t>
      </w:r>
    </w:p>
    <w:p>
      <w:pPr>
        <w:spacing w:line="240" w:lineRule="auto" w:before="2"/>
        <w:rPr>
          <w:rFonts w:ascii="Times New Roman" w:hAnsi="Times New Roman" w:cs="Times New Roman" w:eastAsia="Times New Roman" w:hint="default"/>
          <w:sz w:val="25"/>
          <w:szCs w:val="25"/>
        </w:rPr>
      </w:pPr>
    </w:p>
    <w:p>
      <w:pPr>
        <w:pStyle w:val="Heading5"/>
        <w:spacing w:line="460" w:lineRule="auto" w:before="32"/>
        <w:ind w:right="6117" w:hanging="443"/>
        <w:jc w:val="left"/>
        <w:rPr>
          <w:b w:val="0"/>
          <w:bCs w:val="0"/>
        </w:rPr>
      </w:pPr>
      <w:r>
        <w:rPr/>
        <w:t>北京中长石基信息技术股份有限公司全体股东：</w:t>
      </w:r>
      <w:r>
        <w:rPr>
          <w:w w:val="99"/>
        </w:rPr>
        <w:t> </w:t>
      </w:r>
      <w:r>
        <w:rPr/>
        <w:t>一、</w:t>
      </w:r>
      <w:r>
        <w:rPr>
          <w:spacing w:val="-74"/>
        </w:rPr>
        <w:t> </w:t>
      </w:r>
      <w:r>
        <w:rPr/>
        <w:t>审计意见</w:t>
      </w:r>
      <w:r>
        <w:rPr>
          <w:b w:val="0"/>
          <w:bCs w:val="0"/>
        </w:rPr>
      </w:r>
    </w:p>
    <w:p>
      <w:pPr>
        <w:pStyle w:val="Heading6"/>
        <w:spacing w:line="240" w:lineRule="auto" w:before="186"/>
        <w:ind w:left="592" w:right="0" w:firstLine="0"/>
        <w:jc w:val="left"/>
        <w:rPr>
          <w:rFonts w:ascii="宋体" w:hAnsi="宋体" w:cs="宋体" w:eastAsia="宋体" w:hint="default"/>
        </w:rPr>
      </w:pPr>
      <w:r>
        <w:rPr>
          <w:spacing w:val="-4"/>
        </w:rPr>
        <w:t>我们审计了北京中长石基信息技术股份有限公司（以下简称石基信息公司）财务报表，包括</w:t>
      </w:r>
      <w:r>
        <w:rPr>
          <w:spacing w:val="3"/>
        </w:rPr>
        <w:t> </w:t>
      </w:r>
      <w:r>
        <w:rPr>
          <w:rFonts w:ascii="宋体" w:hAnsi="宋体" w:cs="宋体" w:eastAsia="宋体" w:hint="default"/>
        </w:rPr>
        <w:t>2018</w:t>
      </w:r>
    </w:p>
    <w:p>
      <w:pPr>
        <w:pStyle w:val="Heading6"/>
        <w:spacing w:line="297" w:lineRule="auto" w:before="72"/>
        <w:ind w:right="1129" w:firstLine="0"/>
        <w:jc w:val="left"/>
      </w:pP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spacing w:val="-4"/>
        </w:rPr>
        <w:t>日的合并及母公司资产负债表，</w:t>
      </w:r>
      <w:r>
        <w:rPr>
          <w:rFonts w:ascii="宋体" w:hAnsi="宋体" w:cs="宋体" w:eastAsia="宋体" w:hint="default"/>
          <w:spacing w:val="-4"/>
        </w:rPr>
        <w:t>2018</w:t>
      </w:r>
      <w:r>
        <w:rPr>
          <w:rFonts w:ascii="宋体" w:hAnsi="宋体" w:cs="宋体" w:eastAsia="宋体" w:hint="default"/>
          <w:spacing w:val="-45"/>
        </w:rPr>
        <w:t> </w:t>
      </w:r>
      <w:r>
        <w:rPr>
          <w:spacing w:val="-4"/>
        </w:rPr>
        <w:t>年度的合并及母公司利润表、合并及母公司现金流量</w:t>
      </w:r>
      <w:r>
        <w:rPr>
          <w:spacing w:val="-107"/>
        </w:rPr>
        <w:t> </w:t>
      </w:r>
      <w:r>
        <w:rPr>
          <w:spacing w:val="-107"/>
        </w:rPr>
      </w:r>
      <w:r>
        <w:rPr/>
        <w:t>表、合并及母公司股东权益变动表，以及相关财务报表附注。</w:t>
      </w:r>
    </w:p>
    <w:p>
      <w:pPr>
        <w:spacing w:line="240" w:lineRule="auto" w:before="7"/>
        <w:rPr>
          <w:rFonts w:ascii="宋体" w:hAnsi="宋体" w:cs="宋体" w:eastAsia="宋体" w:hint="default"/>
          <w:sz w:val="25"/>
          <w:szCs w:val="25"/>
        </w:rPr>
      </w:pPr>
    </w:p>
    <w:p>
      <w:pPr>
        <w:pStyle w:val="Heading6"/>
        <w:spacing w:line="297" w:lineRule="auto"/>
        <w:ind w:right="1017"/>
        <w:jc w:val="left"/>
      </w:pPr>
      <w:r>
        <w:rPr/>
        <w:t>我们认为，后附的财务报表在所有重大方面按照企业会计准则的规定编制，公允反映了石基信息</w:t>
      </w:r>
      <w:r>
        <w:rPr>
          <w:w w:val="100"/>
        </w:rPr>
        <w:t> </w:t>
      </w:r>
      <w:r>
        <w:rPr/>
        <w:t>公司</w:t>
      </w:r>
      <w:r>
        <w:rPr>
          <w:spacing w:val="-75"/>
        </w:rPr>
        <w:t> </w:t>
      </w:r>
      <w:r>
        <w:rPr>
          <w:rFonts w:ascii="宋体" w:hAnsi="宋体" w:cs="宋体" w:eastAsia="宋体" w:hint="default"/>
        </w:rPr>
        <w:t>2018</w:t>
      </w:r>
      <w:r>
        <w:rPr>
          <w:rFonts w:ascii="宋体" w:hAnsi="宋体" w:cs="宋体" w:eastAsia="宋体" w:hint="default"/>
          <w:spacing w:val="-78"/>
        </w:rPr>
        <w:t> </w:t>
      </w:r>
      <w:r>
        <w:rPr/>
        <w:t>年</w:t>
      </w:r>
      <w:r>
        <w:rPr>
          <w:spacing w:val="-75"/>
        </w:rPr>
        <w:t> </w:t>
      </w:r>
      <w:r>
        <w:rPr>
          <w:rFonts w:ascii="宋体" w:hAnsi="宋体" w:cs="宋体" w:eastAsia="宋体" w:hint="default"/>
        </w:rPr>
        <w:t>12</w:t>
      </w:r>
      <w:r>
        <w:rPr>
          <w:rFonts w:ascii="宋体" w:hAnsi="宋体" w:cs="宋体" w:eastAsia="宋体" w:hint="default"/>
          <w:spacing w:val="-75"/>
        </w:rPr>
        <w:t> </w:t>
      </w:r>
      <w:r>
        <w:rPr/>
        <w:t>月</w:t>
      </w:r>
      <w:r>
        <w:rPr>
          <w:spacing w:val="-75"/>
        </w:rPr>
        <w:t> </w:t>
      </w:r>
      <w:r>
        <w:rPr>
          <w:rFonts w:ascii="宋体" w:hAnsi="宋体" w:cs="宋体" w:eastAsia="宋体" w:hint="default"/>
        </w:rPr>
        <w:t>31</w:t>
      </w:r>
      <w:r>
        <w:rPr>
          <w:rFonts w:ascii="宋体" w:hAnsi="宋体" w:cs="宋体" w:eastAsia="宋体" w:hint="default"/>
          <w:spacing w:val="-75"/>
        </w:rPr>
        <w:t> </w:t>
      </w:r>
      <w:r>
        <w:rPr/>
        <w:t>日的合并及母公司财务状况以及</w:t>
      </w:r>
      <w:r>
        <w:rPr>
          <w:spacing w:val="-75"/>
        </w:rPr>
        <w:t> </w:t>
      </w:r>
      <w:r>
        <w:rPr>
          <w:rFonts w:ascii="宋体" w:hAnsi="宋体" w:cs="宋体" w:eastAsia="宋体" w:hint="default"/>
        </w:rPr>
        <w:t>2018</w:t>
      </w:r>
      <w:r>
        <w:rPr>
          <w:rFonts w:ascii="宋体" w:hAnsi="宋体" w:cs="宋体" w:eastAsia="宋体" w:hint="default"/>
          <w:spacing w:val="-75"/>
        </w:rPr>
        <w:t> </w:t>
      </w:r>
      <w:r>
        <w:rPr/>
        <w:t>年度的合并及母公司经营成果和现金流量。</w:t>
      </w:r>
    </w:p>
    <w:p>
      <w:pPr>
        <w:spacing w:line="240" w:lineRule="auto" w:before="2"/>
        <w:rPr>
          <w:rFonts w:ascii="宋体" w:hAnsi="宋体" w:cs="宋体" w:eastAsia="宋体" w:hint="default"/>
          <w:sz w:val="16"/>
          <w:szCs w:val="16"/>
        </w:rPr>
      </w:pPr>
    </w:p>
    <w:p>
      <w:pPr>
        <w:pStyle w:val="Heading5"/>
        <w:spacing w:line="240" w:lineRule="auto"/>
        <w:ind w:right="1133"/>
        <w:jc w:val="left"/>
        <w:rPr>
          <w:b w:val="0"/>
          <w:bCs w:val="0"/>
        </w:rPr>
      </w:pPr>
      <w:r>
        <w:rPr/>
        <w:t>二、</w:t>
      </w:r>
      <w:r>
        <w:rPr>
          <w:spacing w:val="-74"/>
        </w:rPr>
        <w:t> </w:t>
      </w:r>
      <w:r>
        <w:rPr/>
        <w:t>形成审计意见的基础</w:t>
      </w:r>
      <w:r>
        <w:rPr>
          <w:b w:val="0"/>
          <w:bCs w:val="0"/>
        </w:rPr>
      </w:r>
    </w:p>
    <w:p>
      <w:pPr>
        <w:spacing w:line="240" w:lineRule="auto" w:before="7"/>
        <w:rPr>
          <w:rFonts w:ascii="宋体" w:hAnsi="宋体" w:cs="宋体" w:eastAsia="宋体" w:hint="default"/>
          <w:b/>
          <w:bCs/>
          <w:sz w:val="29"/>
          <w:szCs w:val="29"/>
        </w:rPr>
      </w:pPr>
    </w:p>
    <w:p>
      <w:pPr>
        <w:pStyle w:val="Heading6"/>
        <w:spacing w:line="300" w:lineRule="auto"/>
        <w:ind w:right="1089"/>
        <w:jc w:val="both"/>
      </w:pPr>
      <w:r>
        <w:rPr>
          <w:spacing w:val="-2"/>
        </w:rPr>
        <w:t>我们按照中国注册会计师审计准则的规定执行了审计工作。审计报告的“注册会计师对财务报表</w:t>
      </w:r>
      <w:r>
        <w:rPr>
          <w:w w:val="100"/>
        </w:rPr>
        <w:t> </w:t>
      </w:r>
      <w:r>
        <w:rPr>
          <w:spacing w:val="-2"/>
        </w:rPr>
        <w:t>审计的责任”部分进一步阐述了我们在这些准则下的责任。按照中国注册会计师职业道德守则，我们</w:t>
      </w:r>
      <w:r>
        <w:rPr>
          <w:spacing w:val="-68"/>
        </w:rPr>
        <w:t> </w:t>
      </w:r>
      <w:r>
        <w:rPr>
          <w:spacing w:val="-68"/>
        </w:rPr>
      </w:r>
      <w:r>
        <w:rPr>
          <w:spacing w:val="-1"/>
        </w:rPr>
        <w:t>独立于石基信息公司，并履行了职业道德方面的其他责任。我们相信，我们获取的审计证据是充分、</w:t>
      </w:r>
      <w:r>
        <w:rPr>
          <w:spacing w:val="-74"/>
        </w:rPr>
        <w:t> </w:t>
      </w:r>
      <w:r>
        <w:rPr>
          <w:spacing w:val="-74"/>
        </w:rPr>
      </w:r>
      <w:r>
        <w:rPr/>
        <w:t>适当的，为发表审计意见提供了基础。</w:t>
      </w:r>
    </w:p>
    <w:p>
      <w:pPr>
        <w:spacing w:line="240" w:lineRule="auto" w:before="0"/>
        <w:rPr>
          <w:rFonts w:ascii="宋体" w:hAnsi="宋体" w:cs="宋体" w:eastAsia="宋体" w:hint="default"/>
          <w:sz w:val="16"/>
          <w:szCs w:val="16"/>
        </w:rPr>
      </w:pPr>
    </w:p>
    <w:p>
      <w:pPr>
        <w:pStyle w:val="Heading5"/>
        <w:spacing w:line="240" w:lineRule="auto"/>
        <w:ind w:right="1133"/>
        <w:jc w:val="left"/>
        <w:rPr>
          <w:b w:val="0"/>
          <w:bCs w:val="0"/>
        </w:rPr>
      </w:pPr>
      <w:r>
        <w:rPr/>
        <w:t>三、</w:t>
      </w:r>
      <w:r>
        <w:rPr>
          <w:spacing w:val="-74"/>
        </w:rPr>
        <w:t> </w:t>
      </w:r>
      <w:r>
        <w:rPr/>
        <w:t>关键审计事项</w:t>
      </w:r>
      <w:r>
        <w:rPr>
          <w:b w:val="0"/>
          <w:bCs w:val="0"/>
        </w:rPr>
      </w:r>
    </w:p>
    <w:p>
      <w:pPr>
        <w:spacing w:line="240" w:lineRule="auto" w:before="7"/>
        <w:rPr>
          <w:rFonts w:ascii="宋体" w:hAnsi="宋体" w:cs="宋体" w:eastAsia="宋体" w:hint="default"/>
          <w:b/>
          <w:bCs/>
          <w:sz w:val="29"/>
          <w:szCs w:val="29"/>
        </w:rPr>
      </w:pPr>
    </w:p>
    <w:p>
      <w:pPr>
        <w:pStyle w:val="Heading6"/>
        <w:spacing w:line="300" w:lineRule="auto"/>
        <w:ind w:right="1133"/>
        <w:jc w:val="left"/>
      </w:pPr>
      <w:r>
        <w:rPr>
          <w:spacing w:val="-2"/>
        </w:rPr>
        <w:t>关键审计事项是我们根据职业判断，认为对本期财务报表审计最为重要的事项。这些事项的应对</w:t>
      </w:r>
      <w:r>
        <w:rPr>
          <w:w w:val="100"/>
        </w:rPr>
        <w:t> </w:t>
      </w:r>
      <w:r>
        <w:rPr/>
        <w:t>以对财务报表整体进行审计并形成审计意见为背景，我们不对这些事项单独发表意见。</w:t>
      </w:r>
    </w:p>
    <w:p>
      <w:pPr>
        <w:spacing w:line="240" w:lineRule="auto" w:before="3"/>
        <w:rPr>
          <w:rFonts w:ascii="宋体" w:hAnsi="宋体" w:cs="宋体" w:eastAsia="宋体" w:hint="default"/>
          <w:sz w:val="11"/>
          <w:szCs w:val="11"/>
        </w:rPr>
      </w:pPr>
    </w:p>
    <w:p>
      <w:pPr>
        <w:spacing w:line="369" w:lineRule="exact"/>
        <w:ind w:left="152"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80.5pt;height:18.5pt;mso-position-horizontal-relative:char;mso-position-vertical-relative:line" type="#_x0000_t202" filled="false" stroked="true" strokeweight=".47998pt" strokecolor="#000000">
            <w10:anchorlock/>
            <v:textbox inset="0,0,0,0">
              <w:txbxContent>
                <w:p>
                  <w:pPr>
                    <w:spacing w:before="31"/>
                    <w:ind w:left="103"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1"/>
                      <w:sz w:val="22"/>
                      <w:szCs w:val="22"/>
                    </w:rPr>
                    <w:t> </w:t>
                  </w:r>
                  <w:r>
                    <w:rPr>
                      <w:rFonts w:ascii="宋体" w:hAnsi="宋体" w:cs="宋体" w:eastAsia="宋体" w:hint="default"/>
                      <w:b/>
                      <w:bCs/>
                      <w:sz w:val="22"/>
                      <w:szCs w:val="22"/>
                    </w:rPr>
                    <w:t>商誉减值测试事项</w:t>
                  </w:r>
                  <w:r>
                    <w:rPr>
                      <w:rFonts w:ascii="宋体" w:hAnsi="宋体" w:cs="宋体" w:eastAsia="宋体" w:hint="default"/>
                      <w:sz w:val="22"/>
                      <w:szCs w:val="22"/>
                    </w:rPr>
                  </w:r>
                </w:p>
              </w:txbxContent>
            </v:textbox>
          </v:shape>
        </w:pict>
      </w:r>
      <w:r>
        <w:rPr>
          <w:rFonts w:ascii="宋体" w:hAnsi="宋体" w:cs="宋体" w:eastAsia="宋体" w:hint="default"/>
          <w:position w:val="-6"/>
          <w:sz w:val="20"/>
          <w:szCs w:val="20"/>
        </w:rPr>
      </w:r>
    </w:p>
    <w:p>
      <w:pPr>
        <w:spacing w:after="0" w:line="369" w:lineRule="exact"/>
        <w:rPr>
          <w:rFonts w:ascii="宋体" w:hAnsi="宋体" w:cs="宋体" w:eastAsia="宋体" w:hint="default"/>
          <w:sz w:val="20"/>
          <w:szCs w:val="20"/>
        </w:rPr>
        <w:sectPr>
          <w:footerReference w:type="default" r:id="rId37"/>
          <w:pgSz w:w="11910" w:h="16840"/>
          <w:pgMar w:footer="980" w:header="8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4952"/>
        <w:gridCol w:w="4657"/>
      </w:tblGrid>
      <w:tr>
        <w:trPr>
          <w:trHeight w:val="452"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r>
        <w:trPr>
          <w:trHeight w:val="6649"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9"/>
              <w:ind w:left="103" w:right="98"/>
              <w:jc w:val="both"/>
              <w:rPr>
                <w:rFonts w:ascii="宋体" w:hAnsi="宋体" w:cs="宋体" w:eastAsia="宋体" w:hint="default"/>
                <w:sz w:val="22"/>
                <w:szCs w:val="22"/>
              </w:rPr>
            </w:pPr>
            <w:r>
              <w:rPr>
                <w:rFonts w:ascii="宋体" w:hAnsi="宋体" w:cs="宋体" w:eastAsia="宋体" w:hint="default"/>
                <w:spacing w:val="-5"/>
                <w:sz w:val="22"/>
                <w:szCs w:val="22"/>
              </w:rPr>
              <w:t>如财务报表附注四、</w:t>
            </w:r>
            <w:r>
              <w:rPr>
                <w:rFonts w:ascii="宋体" w:hAnsi="宋体" w:cs="宋体" w:eastAsia="宋体" w:hint="default"/>
                <w:spacing w:val="-5"/>
                <w:sz w:val="22"/>
                <w:szCs w:val="22"/>
              </w:rPr>
              <w:t>18.</w:t>
            </w:r>
            <w:r>
              <w:rPr>
                <w:rFonts w:ascii="宋体" w:hAnsi="宋体" w:cs="宋体" w:eastAsia="宋体" w:hint="default"/>
                <w:spacing w:val="-5"/>
                <w:sz w:val="22"/>
                <w:szCs w:val="22"/>
              </w:rPr>
              <w:t>及附注六、</w:t>
            </w:r>
            <w:r>
              <w:rPr>
                <w:rFonts w:ascii="宋体" w:hAnsi="宋体" w:cs="宋体" w:eastAsia="宋体" w:hint="default"/>
                <w:spacing w:val="-5"/>
                <w:sz w:val="22"/>
                <w:szCs w:val="22"/>
              </w:rPr>
              <w:t>14.</w:t>
            </w:r>
            <w:r>
              <w:rPr>
                <w:rFonts w:ascii="宋体" w:hAnsi="宋体" w:cs="宋体" w:eastAsia="宋体" w:hint="default"/>
                <w:spacing w:val="-5"/>
                <w:sz w:val="22"/>
                <w:szCs w:val="22"/>
              </w:rPr>
              <w:t>所示，截至</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2018</w:t>
            </w:r>
            <w:r>
              <w:rPr>
                <w:rFonts w:ascii="宋体" w:hAnsi="宋体" w:cs="宋体" w:eastAsia="宋体" w:hint="default"/>
                <w:spacing w:val="-43"/>
                <w:sz w:val="22"/>
                <w:szCs w:val="22"/>
              </w:rPr>
              <w:t> </w:t>
            </w:r>
            <w:r>
              <w:rPr>
                <w:rFonts w:ascii="宋体" w:hAnsi="宋体" w:cs="宋体" w:eastAsia="宋体" w:hint="default"/>
                <w:sz w:val="22"/>
                <w:szCs w:val="22"/>
              </w:rPr>
              <w:t>年</w:t>
            </w:r>
            <w:r>
              <w:rPr>
                <w:rFonts w:ascii="宋体" w:hAnsi="宋体" w:cs="宋体" w:eastAsia="宋体" w:hint="default"/>
                <w:spacing w:val="-43"/>
                <w:sz w:val="22"/>
                <w:szCs w:val="22"/>
              </w:rPr>
              <w:t> </w:t>
            </w:r>
            <w:r>
              <w:rPr>
                <w:rFonts w:ascii="宋体" w:hAnsi="宋体" w:cs="宋体" w:eastAsia="宋体" w:hint="default"/>
                <w:sz w:val="22"/>
                <w:szCs w:val="22"/>
              </w:rPr>
              <w:t>12</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3"/>
                <w:sz w:val="22"/>
                <w:szCs w:val="22"/>
              </w:rPr>
              <w:t> </w:t>
            </w:r>
            <w:r>
              <w:rPr>
                <w:rFonts w:ascii="宋体" w:hAnsi="宋体" w:cs="宋体" w:eastAsia="宋体" w:hint="default"/>
                <w:sz w:val="22"/>
                <w:szCs w:val="22"/>
              </w:rPr>
              <w:t>31</w:t>
            </w:r>
            <w:r>
              <w:rPr>
                <w:rFonts w:ascii="宋体" w:hAnsi="宋体" w:cs="宋体" w:eastAsia="宋体" w:hint="default"/>
                <w:spacing w:val="-43"/>
                <w:sz w:val="22"/>
                <w:szCs w:val="22"/>
              </w:rPr>
              <w:t> </w:t>
            </w:r>
            <w:r>
              <w:rPr>
                <w:rFonts w:ascii="宋体" w:hAnsi="宋体" w:cs="宋体" w:eastAsia="宋体" w:hint="default"/>
                <w:sz w:val="22"/>
                <w:szCs w:val="22"/>
              </w:rPr>
              <w:t>日止，石基信息公司合并资产负</w:t>
            </w:r>
          </w:p>
          <w:p>
            <w:pPr>
              <w:pStyle w:val="TableParagraph"/>
              <w:spacing w:line="240" w:lineRule="auto" w:before="17"/>
              <w:ind w:left="103" w:right="0"/>
              <w:jc w:val="both"/>
              <w:rPr>
                <w:rFonts w:ascii="宋体" w:hAnsi="宋体" w:cs="宋体" w:eastAsia="宋体" w:hint="default"/>
                <w:sz w:val="22"/>
                <w:szCs w:val="22"/>
              </w:rPr>
            </w:pPr>
            <w:r>
              <w:rPr>
                <w:rFonts w:ascii="宋体" w:hAnsi="宋体" w:cs="宋体" w:eastAsia="宋体" w:hint="default"/>
                <w:sz w:val="22"/>
                <w:szCs w:val="22"/>
              </w:rPr>
              <w:t>债表中商誉原值</w:t>
            </w:r>
            <w:r>
              <w:rPr>
                <w:rFonts w:ascii="宋体" w:hAnsi="宋体" w:cs="宋体" w:eastAsia="宋体" w:hint="default"/>
                <w:spacing w:val="-50"/>
                <w:sz w:val="22"/>
                <w:szCs w:val="22"/>
              </w:rPr>
              <w:t> </w:t>
            </w:r>
            <w:r>
              <w:rPr>
                <w:rFonts w:ascii="宋体" w:hAnsi="宋体" w:cs="宋体" w:eastAsia="宋体" w:hint="default"/>
                <w:sz w:val="22"/>
                <w:szCs w:val="22"/>
              </w:rPr>
              <w:t>1,675,816,497.21</w:t>
            </w:r>
            <w:r>
              <w:rPr>
                <w:rFonts w:ascii="宋体" w:hAnsi="宋体" w:cs="宋体" w:eastAsia="宋体" w:hint="default"/>
                <w:spacing w:val="-53"/>
                <w:sz w:val="22"/>
                <w:szCs w:val="22"/>
              </w:rPr>
              <w:t> </w:t>
            </w:r>
            <w:r>
              <w:rPr>
                <w:rFonts w:ascii="宋体" w:hAnsi="宋体" w:cs="宋体" w:eastAsia="宋体" w:hint="default"/>
                <w:sz w:val="22"/>
                <w:szCs w:val="22"/>
              </w:rPr>
              <w:t>元，减值准备</w:t>
            </w:r>
          </w:p>
          <w:p>
            <w:pPr>
              <w:pStyle w:val="TableParagraph"/>
              <w:spacing w:line="240" w:lineRule="auto" w:before="72"/>
              <w:ind w:left="103" w:right="0"/>
              <w:jc w:val="both"/>
              <w:rPr>
                <w:rFonts w:ascii="宋体" w:hAnsi="宋体" w:cs="宋体" w:eastAsia="宋体" w:hint="default"/>
                <w:sz w:val="22"/>
                <w:szCs w:val="22"/>
              </w:rPr>
            </w:pPr>
            <w:r>
              <w:rPr>
                <w:rFonts w:ascii="宋体" w:hAnsi="宋体" w:cs="宋体" w:eastAsia="宋体" w:hint="default"/>
                <w:sz w:val="22"/>
                <w:szCs w:val="22"/>
              </w:rPr>
              <w:t>47,018,132.01</w:t>
            </w:r>
            <w:r>
              <w:rPr>
                <w:rFonts w:ascii="宋体" w:hAnsi="宋体" w:cs="宋体" w:eastAsia="宋体" w:hint="default"/>
                <w:spacing w:val="-36"/>
                <w:sz w:val="22"/>
                <w:szCs w:val="22"/>
              </w:rPr>
              <w:t> </w:t>
            </w:r>
            <w:r>
              <w:rPr>
                <w:rFonts w:ascii="宋体" w:hAnsi="宋体" w:cs="宋体" w:eastAsia="宋体" w:hint="default"/>
                <w:sz w:val="22"/>
                <w:szCs w:val="22"/>
              </w:rPr>
              <w:t>元，净值</w:t>
            </w:r>
            <w:r>
              <w:rPr>
                <w:rFonts w:ascii="宋体" w:hAnsi="宋体" w:cs="宋体" w:eastAsia="宋体" w:hint="default"/>
                <w:spacing w:val="-36"/>
                <w:sz w:val="22"/>
                <w:szCs w:val="22"/>
              </w:rPr>
              <w:t> </w:t>
            </w:r>
            <w:r>
              <w:rPr>
                <w:rFonts w:ascii="宋体" w:hAnsi="宋体" w:cs="宋体" w:eastAsia="宋体" w:hint="default"/>
                <w:sz w:val="22"/>
                <w:szCs w:val="22"/>
              </w:rPr>
              <w:t>1,628,798,365.20</w:t>
            </w:r>
            <w:r>
              <w:rPr>
                <w:rFonts w:ascii="宋体" w:hAnsi="宋体" w:cs="宋体" w:eastAsia="宋体" w:hint="default"/>
                <w:spacing w:val="-35"/>
                <w:sz w:val="22"/>
                <w:szCs w:val="22"/>
              </w:rPr>
              <w:t> </w:t>
            </w:r>
            <w:r>
              <w:rPr>
                <w:rFonts w:ascii="宋体" w:hAnsi="宋体" w:cs="宋体" w:eastAsia="宋体" w:hint="default"/>
                <w:sz w:val="22"/>
                <w:szCs w:val="22"/>
              </w:rPr>
              <w:t>元，</w:t>
            </w:r>
          </w:p>
          <w:p>
            <w:pPr>
              <w:pStyle w:val="TableParagraph"/>
              <w:spacing w:line="319" w:lineRule="auto" w:before="69"/>
              <w:ind w:left="103" w:right="97"/>
              <w:jc w:val="left"/>
              <w:rPr>
                <w:rFonts w:ascii="宋体" w:hAnsi="宋体" w:cs="宋体" w:eastAsia="宋体" w:hint="default"/>
                <w:sz w:val="22"/>
                <w:szCs w:val="22"/>
              </w:rPr>
            </w:pPr>
            <w:r>
              <w:rPr>
                <w:rFonts w:ascii="宋体" w:hAnsi="宋体" w:cs="宋体" w:eastAsia="宋体" w:hint="default"/>
                <w:sz w:val="22"/>
                <w:szCs w:val="22"/>
              </w:rPr>
              <w:t>占期末资产总额的</w:t>
            </w:r>
            <w:r>
              <w:rPr>
                <w:rFonts w:ascii="宋体" w:hAnsi="宋体" w:cs="宋体" w:eastAsia="宋体" w:hint="default"/>
                <w:spacing w:val="-56"/>
                <w:sz w:val="22"/>
                <w:szCs w:val="22"/>
              </w:rPr>
              <w:t> </w:t>
            </w:r>
            <w:r>
              <w:rPr>
                <w:rFonts w:ascii="宋体" w:hAnsi="宋体" w:cs="宋体" w:eastAsia="宋体" w:hint="default"/>
                <w:sz w:val="22"/>
                <w:szCs w:val="22"/>
              </w:rPr>
              <w:t>15.94%</w:t>
            </w:r>
            <w:r>
              <w:rPr>
                <w:rFonts w:ascii="宋体" w:hAnsi="宋体" w:cs="宋体" w:eastAsia="宋体" w:hint="default"/>
                <w:sz w:val="22"/>
                <w:szCs w:val="22"/>
              </w:rPr>
              <w:t>。</w:t>
            </w:r>
            <w:r>
              <w:rPr>
                <w:rFonts w:ascii="宋体" w:hAnsi="宋体" w:cs="宋体" w:eastAsia="宋体" w:hint="default"/>
                <w:w w:val="100"/>
                <w:sz w:val="22"/>
                <w:szCs w:val="22"/>
              </w:rPr>
              <w:t> </w:t>
            </w:r>
            <w:r>
              <w:rPr>
                <w:rFonts w:ascii="宋体" w:hAnsi="宋体" w:cs="宋体" w:eastAsia="宋体" w:hint="default"/>
                <w:spacing w:val="-6"/>
                <w:sz w:val="22"/>
                <w:szCs w:val="22"/>
              </w:rPr>
              <w:t>石基信息公司管理层（以下简称管理层）每年年度</w:t>
            </w:r>
            <w:r>
              <w:rPr>
                <w:rFonts w:ascii="宋体" w:hAnsi="宋体" w:cs="宋体" w:eastAsia="宋体" w:hint="default"/>
                <w:spacing w:val="-82"/>
                <w:sz w:val="22"/>
                <w:szCs w:val="22"/>
              </w:rPr>
              <w:t> </w:t>
            </w:r>
            <w:r>
              <w:rPr>
                <w:rFonts w:ascii="宋体" w:hAnsi="宋体" w:cs="宋体" w:eastAsia="宋体" w:hint="default"/>
                <w:spacing w:val="-82"/>
                <w:sz w:val="22"/>
                <w:szCs w:val="22"/>
              </w:rPr>
            </w:r>
            <w:r>
              <w:rPr>
                <w:rFonts w:ascii="宋体" w:hAnsi="宋体" w:cs="宋体" w:eastAsia="宋体" w:hint="default"/>
                <w:spacing w:val="-6"/>
                <w:w w:val="100"/>
                <w:sz w:val="22"/>
                <w:szCs w:val="22"/>
              </w:rPr>
              <w:t>终了对商誉进行减值测试。减值测试要求估计包含</w:t>
            </w:r>
          </w:p>
          <w:p>
            <w:pPr>
              <w:pStyle w:val="TableParagraph"/>
              <w:spacing w:line="300" w:lineRule="auto"/>
              <w:ind w:left="103" w:right="98"/>
              <w:jc w:val="both"/>
              <w:rPr>
                <w:rFonts w:ascii="宋体" w:hAnsi="宋体" w:cs="宋体" w:eastAsia="宋体" w:hint="default"/>
                <w:sz w:val="22"/>
                <w:szCs w:val="22"/>
              </w:rPr>
            </w:pPr>
            <w:r>
              <w:rPr>
                <w:rFonts w:ascii="宋体" w:hAnsi="宋体" w:cs="宋体" w:eastAsia="宋体" w:hint="default"/>
                <w:spacing w:val="-6"/>
                <w:w w:val="100"/>
                <w:sz w:val="22"/>
                <w:szCs w:val="22"/>
              </w:rPr>
              <w:t>商誉在内的相关资产组的可收回金额，即相关资产</w:t>
            </w:r>
            <w:r>
              <w:rPr>
                <w:rFonts w:ascii="宋体" w:hAnsi="宋体" w:cs="宋体" w:eastAsia="宋体" w:hint="default"/>
                <w:spacing w:val="-103"/>
                <w:w w:val="100"/>
                <w:sz w:val="22"/>
                <w:szCs w:val="22"/>
              </w:rPr>
              <w:t> </w:t>
            </w:r>
            <w:r>
              <w:rPr>
                <w:rFonts w:ascii="宋体" w:hAnsi="宋体" w:cs="宋体" w:eastAsia="宋体" w:hint="default"/>
                <w:spacing w:val="-103"/>
                <w:w w:val="100"/>
                <w:sz w:val="22"/>
                <w:szCs w:val="22"/>
              </w:rPr>
            </w:r>
            <w:r>
              <w:rPr>
                <w:rFonts w:ascii="宋体" w:hAnsi="宋体" w:cs="宋体" w:eastAsia="宋体" w:hint="default"/>
                <w:spacing w:val="3"/>
                <w:sz w:val="22"/>
                <w:szCs w:val="22"/>
              </w:rPr>
              <w:t>组的公允价值减去处置费用后的净额与相关资产</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6"/>
                <w:w w:val="100"/>
                <w:sz w:val="22"/>
                <w:szCs w:val="22"/>
              </w:rPr>
              <w:t>组预计未来现金流量的现值两者之中的较高者。为</w:t>
            </w:r>
            <w:r>
              <w:rPr>
                <w:rFonts w:ascii="宋体" w:hAnsi="宋体" w:cs="宋体" w:eastAsia="宋体" w:hint="default"/>
                <w:spacing w:val="-104"/>
                <w:w w:val="100"/>
                <w:sz w:val="22"/>
                <w:szCs w:val="22"/>
              </w:rPr>
              <w:t> </w:t>
            </w:r>
            <w:r>
              <w:rPr>
                <w:rFonts w:ascii="宋体" w:hAnsi="宋体" w:cs="宋体" w:eastAsia="宋体" w:hint="default"/>
                <w:spacing w:val="-104"/>
                <w:w w:val="100"/>
                <w:sz w:val="22"/>
                <w:szCs w:val="22"/>
              </w:rPr>
            </w:r>
            <w:r>
              <w:rPr>
                <w:rFonts w:ascii="宋体" w:hAnsi="宋体" w:cs="宋体" w:eastAsia="宋体" w:hint="default"/>
                <w:spacing w:val="-6"/>
                <w:w w:val="100"/>
                <w:sz w:val="22"/>
                <w:szCs w:val="22"/>
              </w:rPr>
              <w:t>评估相关资产组的可收回金额，管理层编制现金流</w:t>
            </w:r>
            <w:r>
              <w:rPr>
                <w:rFonts w:ascii="宋体" w:hAnsi="宋体" w:cs="宋体" w:eastAsia="宋体" w:hint="default"/>
                <w:spacing w:val="-103"/>
                <w:w w:val="100"/>
                <w:sz w:val="22"/>
                <w:szCs w:val="22"/>
              </w:rPr>
              <w:t> </w:t>
            </w:r>
            <w:r>
              <w:rPr>
                <w:rFonts w:ascii="宋体" w:hAnsi="宋体" w:cs="宋体" w:eastAsia="宋体" w:hint="default"/>
                <w:spacing w:val="-103"/>
                <w:w w:val="100"/>
                <w:sz w:val="22"/>
                <w:szCs w:val="22"/>
              </w:rPr>
            </w:r>
            <w:r>
              <w:rPr>
                <w:rFonts w:ascii="宋体" w:hAnsi="宋体" w:cs="宋体" w:eastAsia="宋体" w:hint="default"/>
                <w:spacing w:val="3"/>
                <w:sz w:val="22"/>
                <w:szCs w:val="22"/>
              </w:rPr>
              <w:t>量预测并采用未来预计现金流量折现的模型计算</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各相关资产组的未来现金流量现值。</w:t>
            </w:r>
          </w:p>
          <w:p>
            <w:pPr>
              <w:pStyle w:val="TableParagraph"/>
              <w:spacing w:line="300" w:lineRule="auto" w:before="60"/>
              <w:ind w:left="103" w:right="97"/>
              <w:jc w:val="both"/>
              <w:rPr>
                <w:rFonts w:ascii="宋体" w:hAnsi="宋体" w:cs="宋体" w:eastAsia="宋体" w:hint="default"/>
                <w:sz w:val="22"/>
                <w:szCs w:val="22"/>
              </w:rPr>
            </w:pPr>
            <w:r>
              <w:rPr>
                <w:rFonts w:ascii="宋体" w:hAnsi="宋体" w:cs="宋体" w:eastAsia="宋体" w:hint="default"/>
                <w:spacing w:val="3"/>
                <w:sz w:val="22"/>
                <w:szCs w:val="22"/>
              </w:rPr>
              <w:t>由于评估相关资产组可收回金额时使用了包含收</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6"/>
                <w:sz w:val="22"/>
                <w:szCs w:val="22"/>
              </w:rPr>
              <w:t>入增长率、预期毛利率、成本费用率及折现率等关</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pacing w:val="-6"/>
                <w:sz w:val="22"/>
                <w:szCs w:val="22"/>
              </w:rPr>
              <w:t>键参数，涉及大量假设和判断，同时考虑商誉对合</w:t>
            </w:r>
            <w:r>
              <w:rPr>
                <w:rFonts w:ascii="宋体" w:hAnsi="宋体" w:cs="宋体" w:eastAsia="宋体" w:hint="default"/>
                <w:spacing w:val="-82"/>
                <w:sz w:val="22"/>
                <w:szCs w:val="22"/>
              </w:rPr>
              <w:t> </w:t>
            </w:r>
            <w:r>
              <w:rPr>
                <w:rFonts w:ascii="宋体" w:hAnsi="宋体" w:cs="宋体" w:eastAsia="宋体" w:hint="default"/>
                <w:spacing w:val="-82"/>
                <w:sz w:val="22"/>
                <w:szCs w:val="22"/>
              </w:rPr>
            </w:r>
            <w:r>
              <w:rPr>
                <w:rFonts w:ascii="宋体" w:hAnsi="宋体" w:cs="宋体" w:eastAsia="宋体" w:hint="default"/>
                <w:spacing w:val="-6"/>
                <w:sz w:val="22"/>
                <w:szCs w:val="22"/>
              </w:rPr>
              <w:t>并财务报表整体的重要性，因此，我们将商誉减值</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z w:val="22"/>
                <w:szCs w:val="22"/>
              </w:rPr>
              <w:t>作为关键审计事项。</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5" w:right="0"/>
              <w:jc w:val="both"/>
              <w:rPr>
                <w:rFonts w:ascii="宋体" w:hAnsi="宋体" w:cs="宋体" w:eastAsia="宋体" w:hint="default"/>
                <w:sz w:val="22"/>
                <w:szCs w:val="22"/>
              </w:rPr>
            </w:pPr>
            <w:r>
              <w:rPr>
                <w:rFonts w:ascii="宋体" w:hAnsi="宋体" w:cs="宋体" w:eastAsia="宋体" w:hint="default"/>
                <w:spacing w:val="-5"/>
                <w:sz w:val="22"/>
                <w:szCs w:val="22"/>
              </w:rPr>
              <w:t>针对商誉减值测试，我们执行了以下审计程序：</w:t>
            </w:r>
          </w:p>
          <w:p>
            <w:pPr>
              <w:pStyle w:val="TableParagraph"/>
              <w:spacing w:line="297" w:lineRule="auto" w:before="113"/>
              <w:ind w:left="105" w:right="97"/>
              <w:jc w:val="both"/>
              <w:rPr>
                <w:rFonts w:ascii="宋体" w:hAnsi="宋体" w:cs="宋体" w:eastAsia="宋体" w:hint="default"/>
                <w:sz w:val="22"/>
                <w:szCs w:val="22"/>
              </w:rPr>
            </w:pPr>
            <w:r>
              <w:rPr>
                <w:rFonts w:ascii="宋体" w:hAnsi="宋体" w:cs="宋体" w:eastAsia="宋体" w:hint="default"/>
                <w:spacing w:val="-5"/>
                <w:sz w:val="22"/>
                <w:szCs w:val="22"/>
              </w:rPr>
              <w:t>（</w:t>
            </w:r>
            <w:r>
              <w:rPr>
                <w:rFonts w:ascii="宋体" w:hAnsi="宋体" w:cs="宋体" w:eastAsia="宋体" w:hint="default"/>
                <w:spacing w:val="-5"/>
                <w:sz w:val="22"/>
                <w:szCs w:val="22"/>
              </w:rPr>
              <w:t>1</w:t>
            </w:r>
            <w:r>
              <w:rPr>
                <w:rFonts w:ascii="宋体" w:hAnsi="宋体" w:cs="宋体" w:eastAsia="宋体" w:hint="default"/>
                <w:spacing w:val="-5"/>
                <w:sz w:val="22"/>
                <w:szCs w:val="22"/>
              </w:rPr>
              <w:t>）了解、测试和评估商誉减值相关的内部控</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z w:val="22"/>
                <w:szCs w:val="22"/>
              </w:rPr>
              <w:t>制；</w:t>
            </w:r>
          </w:p>
          <w:p>
            <w:pPr>
              <w:pStyle w:val="TableParagraph"/>
              <w:spacing w:line="300" w:lineRule="auto" w:before="62"/>
              <w:ind w:left="105" w:right="97"/>
              <w:jc w:val="both"/>
              <w:rPr>
                <w:rFonts w:ascii="宋体" w:hAnsi="宋体" w:cs="宋体" w:eastAsia="宋体" w:hint="default"/>
                <w:sz w:val="22"/>
                <w:szCs w:val="22"/>
              </w:rPr>
            </w:pPr>
            <w:r>
              <w:rPr>
                <w:rFonts w:ascii="宋体" w:hAnsi="宋体" w:cs="宋体" w:eastAsia="宋体" w:hint="default"/>
                <w:spacing w:val="-5"/>
                <w:sz w:val="22"/>
                <w:szCs w:val="22"/>
              </w:rPr>
              <w:t>（</w:t>
            </w:r>
            <w:r>
              <w:rPr>
                <w:rFonts w:ascii="宋体" w:hAnsi="宋体" w:cs="宋体" w:eastAsia="宋体" w:hint="default"/>
                <w:spacing w:val="-5"/>
                <w:sz w:val="22"/>
                <w:szCs w:val="22"/>
              </w:rPr>
              <w:t>2</w:t>
            </w:r>
            <w:r>
              <w:rPr>
                <w:rFonts w:ascii="宋体" w:hAnsi="宋体" w:cs="宋体" w:eastAsia="宋体" w:hint="default"/>
                <w:spacing w:val="-5"/>
                <w:sz w:val="22"/>
                <w:szCs w:val="22"/>
              </w:rPr>
              <w:t>）了解和评估管理层基于未来现金流量折现</w:t>
            </w:r>
            <w:r>
              <w:rPr>
                <w:rFonts w:ascii="宋体" w:hAnsi="宋体" w:cs="宋体" w:eastAsia="宋体" w:hint="default"/>
                <w:spacing w:val="-77"/>
                <w:sz w:val="22"/>
                <w:szCs w:val="22"/>
              </w:rPr>
              <w:t> </w:t>
            </w:r>
            <w:r>
              <w:rPr>
                <w:rFonts w:ascii="宋体" w:hAnsi="宋体" w:cs="宋体" w:eastAsia="宋体" w:hint="default"/>
                <w:spacing w:val="-77"/>
                <w:sz w:val="22"/>
                <w:szCs w:val="22"/>
              </w:rPr>
            </w:r>
            <w:r>
              <w:rPr>
                <w:rFonts w:ascii="宋体" w:hAnsi="宋体" w:cs="宋体" w:eastAsia="宋体" w:hint="default"/>
                <w:sz w:val="22"/>
                <w:szCs w:val="22"/>
              </w:rPr>
              <w:t>模型估计资产组可回收金额的方法的合理性和</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一致性；</w:t>
            </w:r>
          </w:p>
          <w:p>
            <w:pPr>
              <w:pStyle w:val="TableParagraph"/>
              <w:spacing w:line="297" w:lineRule="auto" w:before="58"/>
              <w:ind w:left="105" w:right="97"/>
              <w:jc w:val="both"/>
              <w:rPr>
                <w:rFonts w:ascii="宋体" w:hAnsi="宋体" w:cs="宋体" w:eastAsia="宋体" w:hint="default"/>
                <w:sz w:val="22"/>
                <w:szCs w:val="22"/>
              </w:rPr>
            </w:pPr>
            <w:r>
              <w:rPr>
                <w:rFonts w:ascii="宋体" w:hAnsi="宋体" w:cs="宋体" w:eastAsia="宋体" w:hint="default"/>
                <w:spacing w:val="-5"/>
                <w:sz w:val="22"/>
                <w:szCs w:val="22"/>
              </w:rPr>
              <w:t>（</w:t>
            </w:r>
            <w:r>
              <w:rPr>
                <w:rFonts w:ascii="宋体" w:hAnsi="宋体" w:cs="宋体" w:eastAsia="宋体" w:hint="default"/>
                <w:spacing w:val="-5"/>
                <w:sz w:val="22"/>
                <w:szCs w:val="22"/>
              </w:rPr>
              <w:t>3</w:t>
            </w:r>
            <w:r>
              <w:rPr>
                <w:rFonts w:ascii="宋体" w:hAnsi="宋体" w:cs="宋体" w:eastAsia="宋体" w:hint="default"/>
                <w:spacing w:val="-5"/>
                <w:sz w:val="22"/>
                <w:szCs w:val="22"/>
              </w:rPr>
              <w:t>）检查管理层提供的输入值的准确性和相关</w:t>
            </w:r>
            <w:r>
              <w:rPr>
                <w:rFonts w:ascii="宋体" w:hAnsi="宋体" w:cs="宋体" w:eastAsia="宋体" w:hint="default"/>
                <w:spacing w:val="-77"/>
                <w:sz w:val="22"/>
                <w:szCs w:val="22"/>
              </w:rPr>
              <w:t> </w:t>
            </w:r>
            <w:r>
              <w:rPr>
                <w:rFonts w:ascii="宋体" w:hAnsi="宋体" w:cs="宋体" w:eastAsia="宋体" w:hint="default"/>
                <w:spacing w:val="-77"/>
                <w:sz w:val="22"/>
                <w:szCs w:val="22"/>
              </w:rPr>
            </w:r>
            <w:r>
              <w:rPr>
                <w:rFonts w:ascii="宋体" w:hAnsi="宋体" w:cs="宋体" w:eastAsia="宋体" w:hint="default"/>
                <w:sz w:val="22"/>
                <w:szCs w:val="22"/>
              </w:rPr>
              <w:t>性；</w:t>
            </w:r>
          </w:p>
          <w:p>
            <w:pPr>
              <w:pStyle w:val="TableParagraph"/>
              <w:spacing w:line="300" w:lineRule="auto" w:before="62"/>
              <w:ind w:left="105" w:right="97"/>
              <w:jc w:val="both"/>
              <w:rPr>
                <w:rFonts w:ascii="宋体" w:hAnsi="宋体" w:cs="宋体" w:eastAsia="宋体" w:hint="default"/>
                <w:sz w:val="22"/>
                <w:szCs w:val="22"/>
              </w:rPr>
            </w:pPr>
            <w:r>
              <w:rPr>
                <w:rFonts w:ascii="宋体" w:hAnsi="宋体" w:cs="宋体" w:eastAsia="宋体" w:hint="default"/>
                <w:spacing w:val="-5"/>
                <w:sz w:val="22"/>
                <w:szCs w:val="22"/>
              </w:rPr>
              <w:t>（</w:t>
            </w:r>
            <w:r>
              <w:rPr>
                <w:rFonts w:ascii="宋体" w:hAnsi="宋体" w:cs="宋体" w:eastAsia="宋体" w:hint="default"/>
                <w:spacing w:val="-5"/>
                <w:sz w:val="22"/>
                <w:szCs w:val="22"/>
              </w:rPr>
              <w:t>4</w:t>
            </w:r>
            <w:r>
              <w:rPr>
                <w:rFonts w:ascii="宋体" w:hAnsi="宋体" w:cs="宋体" w:eastAsia="宋体" w:hint="default"/>
                <w:spacing w:val="-5"/>
                <w:sz w:val="22"/>
                <w:szCs w:val="22"/>
              </w:rPr>
              <w:t>）评估管理层于年末判断商誉减值采用的关</w:t>
            </w:r>
            <w:r>
              <w:rPr>
                <w:rFonts w:ascii="宋体" w:hAnsi="宋体" w:cs="宋体" w:eastAsia="宋体" w:hint="default"/>
                <w:spacing w:val="-77"/>
                <w:sz w:val="22"/>
                <w:szCs w:val="22"/>
              </w:rPr>
              <w:t> </w:t>
            </w:r>
            <w:r>
              <w:rPr>
                <w:rFonts w:ascii="宋体" w:hAnsi="宋体" w:cs="宋体" w:eastAsia="宋体" w:hint="default"/>
                <w:spacing w:val="-77"/>
                <w:sz w:val="22"/>
                <w:szCs w:val="22"/>
              </w:rPr>
            </w:r>
            <w:r>
              <w:rPr>
                <w:rFonts w:ascii="宋体" w:hAnsi="宋体" w:cs="宋体" w:eastAsia="宋体" w:hint="default"/>
                <w:sz w:val="22"/>
                <w:szCs w:val="22"/>
              </w:rPr>
              <w:t>键假设，包括：未来现金流量的预测、未来增</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长率和适用的折现率等相关假设，评价管理层</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关键假设的合理性。</w:t>
            </w:r>
          </w:p>
        </w:tc>
      </w:tr>
      <w:tr>
        <w:trPr>
          <w:trHeight w:val="372" w:hRule="exact"/>
        </w:trPr>
        <w:tc>
          <w:tcPr>
            <w:tcW w:w="9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1"/>
                <w:sz w:val="22"/>
                <w:szCs w:val="22"/>
              </w:rPr>
              <w:t> </w:t>
            </w:r>
            <w:r>
              <w:rPr>
                <w:rFonts w:ascii="宋体" w:hAnsi="宋体" w:cs="宋体" w:eastAsia="宋体" w:hint="default"/>
                <w:b/>
                <w:bCs/>
                <w:sz w:val="22"/>
                <w:szCs w:val="22"/>
              </w:rPr>
              <w:t>开发支出资本化事项</w:t>
            </w:r>
            <w:r>
              <w:rPr>
                <w:rFonts w:ascii="宋体" w:hAnsi="宋体" w:cs="宋体" w:eastAsia="宋体" w:hint="default"/>
                <w:sz w:val="22"/>
                <w:szCs w:val="22"/>
              </w:rPr>
            </w:r>
          </w:p>
        </w:tc>
      </w:tr>
      <w:tr>
        <w:trPr>
          <w:trHeight w:val="449"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r>
        <w:trPr>
          <w:trHeight w:val="5891"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0"/>
              <w:ind w:left="103" w:right="96"/>
              <w:jc w:val="both"/>
              <w:rPr>
                <w:rFonts w:ascii="宋体" w:hAnsi="宋体" w:cs="宋体" w:eastAsia="宋体" w:hint="default"/>
                <w:sz w:val="22"/>
                <w:szCs w:val="22"/>
              </w:rPr>
            </w:pPr>
            <w:r>
              <w:rPr>
                <w:rFonts w:ascii="宋体" w:hAnsi="宋体" w:cs="宋体" w:eastAsia="宋体" w:hint="default"/>
                <w:spacing w:val="-4"/>
                <w:sz w:val="22"/>
                <w:szCs w:val="22"/>
              </w:rPr>
              <w:t>如财务报表附注四、</w:t>
            </w:r>
            <w:r>
              <w:rPr>
                <w:rFonts w:ascii="宋体" w:hAnsi="宋体" w:cs="宋体" w:eastAsia="宋体" w:hint="default"/>
                <w:spacing w:val="-4"/>
                <w:sz w:val="22"/>
                <w:szCs w:val="22"/>
              </w:rPr>
              <w:t>17</w:t>
            </w:r>
            <w:r>
              <w:rPr>
                <w:rFonts w:ascii="宋体" w:hAnsi="宋体" w:cs="宋体" w:eastAsia="宋体" w:hint="default"/>
                <w:spacing w:val="-42"/>
                <w:sz w:val="22"/>
                <w:szCs w:val="22"/>
              </w:rPr>
              <w:t> </w:t>
            </w:r>
            <w:r>
              <w:rPr>
                <w:rFonts w:ascii="宋体" w:hAnsi="宋体" w:cs="宋体" w:eastAsia="宋体" w:hint="default"/>
                <w:spacing w:val="-5"/>
                <w:sz w:val="22"/>
                <w:szCs w:val="22"/>
              </w:rPr>
              <w:t>及附注六、</w:t>
            </w:r>
            <w:r>
              <w:rPr>
                <w:rFonts w:ascii="宋体" w:hAnsi="宋体" w:cs="宋体" w:eastAsia="宋体" w:hint="default"/>
                <w:spacing w:val="-5"/>
                <w:sz w:val="22"/>
                <w:szCs w:val="22"/>
              </w:rPr>
              <w:t>12/13</w:t>
            </w:r>
            <w:r>
              <w:rPr>
                <w:rFonts w:ascii="宋体" w:hAnsi="宋体" w:cs="宋体" w:eastAsia="宋体" w:hint="default"/>
                <w:spacing w:val="-42"/>
                <w:sz w:val="22"/>
                <w:szCs w:val="22"/>
              </w:rPr>
              <w:t> </w:t>
            </w:r>
            <w:r>
              <w:rPr>
                <w:rFonts w:ascii="宋体" w:hAnsi="宋体" w:cs="宋体" w:eastAsia="宋体" w:hint="default"/>
                <w:spacing w:val="-10"/>
                <w:sz w:val="22"/>
                <w:szCs w:val="22"/>
              </w:rPr>
              <w:t>所示，截</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至</w:t>
            </w:r>
            <w:r>
              <w:rPr>
                <w:rFonts w:ascii="宋体" w:hAnsi="宋体" w:cs="宋体" w:eastAsia="宋体" w:hint="default"/>
                <w:spacing w:val="-55"/>
                <w:sz w:val="22"/>
                <w:szCs w:val="22"/>
              </w:rPr>
              <w:t> </w:t>
            </w:r>
            <w:r>
              <w:rPr>
                <w:rFonts w:ascii="宋体" w:hAnsi="宋体" w:cs="宋体" w:eastAsia="宋体" w:hint="default"/>
                <w:sz w:val="22"/>
                <w:szCs w:val="22"/>
              </w:rPr>
              <w:t>2018</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z w:val="22"/>
                <w:szCs w:val="22"/>
              </w:rPr>
              <w:t>日，石基信息公司合并资产负</w:t>
            </w:r>
            <w:r>
              <w:rPr>
                <w:rFonts w:ascii="宋体" w:hAnsi="宋体" w:cs="宋体" w:eastAsia="宋体" w:hint="default"/>
                <w:w w:val="100"/>
                <w:sz w:val="22"/>
                <w:szCs w:val="22"/>
              </w:rPr>
              <w:t> </w:t>
            </w:r>
            <w:r>
              <w:rPr>
                <w:rFonts w:ascii="宋体" w:hAnsi="宋体" w:cs="宋体" w:eastAsia="宋体" w:hint="default"/>
                <w:sz w:val="22"/>
                <w:szCs w:val="22"/>
              </w:rPr>
              <w:t>债</w:t>
            </w:r>
            <w:r>
              <w:rPr>
                <w:rFonts w:ascii="宋体" w:hAnsi="宋体" w:cs="宋体" w:eastAsia="宋体" w:hint="default"/>
                <w:spacing w:val="-8"/>
                <w:sz w:val="22"/>
                <w:szCs w:val="22"/>
              </w:rPr>
              <w:t> </w:t>
            </w:r>
            <w:r>
              <w:rPr>
                <w:rFonts w:ascii="宋体" w:hAnsi="宋体" w:cs="宋体" w:eastAsia="宋体" w:hint="default"/>
                <w:sz w:val="22"/>
                <w:szCs w:val="22"/>
              </w:rPr>
              <w:t>表</w:t>
            </w:r>
            <w:r>
              <w:rPr>
                <w:rFonts w:ascii="宋体" w:hAnsi="宋体" w:cs="宋体" w:eastAsia="宋体" w:hint="default"/>
                <w:spacing w:val="-10"/>
                <w:sz w:val="22"/>
                <w:szCs w:val="22"/>
              </w:rPr>
              <w:t> </w:t>
            </w:r>
            <w:r>
              <w:rPr>
                <w:rFonts w:ascii="宋体" w:hAnsi="宋体" w:cs="宋体" w:eastAsia="宋体" w:hint="default"/>
                <w:sz w:val="22"/>
                <w:szCs w:val="22"/>
              </w:rPr>
              <w:t>中</w:t>
            </w:r>
            <w:r>
              <w:rPr>
                <w:rFonts w:ascii="宋体" w:hAnsi="宋体" w:cs="宋体" w:eastAsia="宋体" w:hint="default"/>
                <w:spacing w:val="-8"/>
                <w:sz w:val="22"/>
                <w:szCs w:val="22"/>
              </w:rPr>
              <w:t> </w:t>
            </w:r>
            <w:r>
              <w:rPr>
                <w:rFonts w:ascii="宋体" w:hAnsi="宋体" w:cs="宋体" w:eastAsia="宋体" w:hint="default"/>
                <w:sz w:val="22"/>
                <w:szCs w:val="22"/>
              </w:rPr>
              <w:t>期</w:t>
            </w:r>
            <w:r>
              <w:rPr>
                <w:rFonts w:ascii="宋体" w:hAnsi="宋体" w:cs="宋体" w:eastAsia="宋体" w:hint="default"/>
                <w:spacing w:val="-10"/>
                <w:sz w:val="22"/>
                <w:szCs w:val="22"/>
              </w:rPr>
              <w:t> </w:t>
            </w:r>
            <w:r>
              <w:rPr>
                <w:rFonts w:ascii="宋体" w:hAnsi="宋体" w:cs="宋体" w:eastAsia="宋体" w:hint="default"/>
                <w:sz w:val="22"/>
                <w:szCs w:val="22"/>
              </w:rPr>
              <w:t>末</w:t>
            </w:r>
            <w:r>
              <w:rPr>
                <w:rFonts w:ascii="宋体" w:hAnsi="宋体" w:cs="宋体" w:eastAsia="宋体" w:hint="default"/>
                <w:spacing w:val="-10"/>
                <w:sz w:val="22"/>
                <w:szCs w:val="22"/>
              </w:rPr>
              <w:t> </w:t>
            </w:r>
            <w:r>
              <w:rPr>
                <w:rFonts w:ascii="宋体" w:hAnsi="宋体" w:cs="宋体" w:eastAsia="宋体" w:hint="default"/>
                <w:sz w:val="22"/>
                <w:szCs w:val="22"/>
              </w:rPr>
              <w:t>开</w:t>
            </w:r>
            <w:r>
              <w:rPr>
                <w:rFonts w:ascii="宋体" w:hAnsi="宋体" w:cs="宋体" w:eastAsia="宋体" w:hint="default"/>
                <w:spacing w:val="-8"/>
                <w:sz w:val="22"/>
                <w:szCs w:val="22"/>
              </w:rPr>
              <w:t> </w:t>
            </w:r>
            <w:r>
              <w:rPr>
                <w:rFonts w:ascii="宋体" w:hAnsi="宋体" w:cs="宋体" w:eastAsia="宋体" w:hint="default"/>
                <w:sz w:val="22"/>
                <w:szCs w:val="22"/>
              </w:rPr>
              <w:t>发</w:t>
            </w:r>
            <w:r>
              <w:rPr>
                <w:rFonts w:ascii="宋体" w:hAnsi="宋体" w:cs="宋体" w:eastAsia="宋体" w:hint="default"/>
                <w:spacing w:val="-10"/>
                <w:sz w:val="22"/>
                <w:szCs w:val="22"/>
              </w:rPr>
              <w:t> </w:t>
            </w:r>
            <w:r>
              <w:rPr>
                <w:rFonts w:ascii="宋体" w:hAnsi="宋体" w:cs="宋体" w:eastAsia="宋体" w:hint="default"/>
                <w:sz w:val="22"/>
                <w:szCs w:val="22"/>
              </w:rPr>
              <w:t>支</w:t>
            </w:r>
            <w:r>
              <w:rPr>
                <w:rFonts w:ascii="宋体" w:hAnsi="宋体" w:cs="宋体" w:eastAsia="宋体" w:hint="default"/>
                <w:spacing w:val="-8"/>
                <w:sz w:val="22"/>
                <w:szCs w:val="22"/>
              </w:rPr>
              <w:t> </w:t>
            </w:r>
            <w:r>
              <w:rPr>
                <w:rFonts w:ascii="宋体" w:hAnsi="宋体" w:cs="宋体" w:eastAsia="宋体" w:hint="default"/>
                <w:sz w:val="22"/>
                <w:szCs w:val="22"/>
              </w:rPr>
              <w:t>出</w:t>
            </w:r>
            <w:r>
              <w:rPr>
                <w:rFonts w:ascii="宋体" w:hAnsi="宋体" w:cs="宋体" w:eastAsia="宋体" w:hint="default"/>
                <w:spacing w:val="-10"/>
                <w:sz w:val="22"/>
                <w:szCs w:val="22"/>
              </w:rPr>
              <w:t> </w:t>
            </w:r>
            <w:r>
              <w:rPr>
                <w:rFonts w:ascii="宋体" w:hAnsi="宋体" w:cs="宋体" w:eastAsia="宋体" w:hint="default"/>
                <w:sz w:val="22"/>
                <w:szCs w:val="22"/>
              </w:rPr>
              <w:t>资</w:t>
            </w:r>
            <w:r>
              <w:rPr>
                <w:rFonts w:ascii="宋体" w:hAnsi="宋体" w:cs="宋体" w:eastAsia="宋体" w:hint="default"/>
                <w:spacing w:val="-8"/>
                <w:sz w:val="22"/>
                <w:szCs w:val="22"/>
              </w:rPr>
              <w:t> </w:t>
            </w:r>
            <w:r>
              <w:rPr>
                <w:rFonts w:ascii="宋体" w:hAnsi="宋体" w:cs="宋体" w:eastAsia="宋体" w:hint="default"/>
                <w:sz w:val="22"/>
                <w:szCs w:val="22"/>
              </w:rPr>
              <w:t>本</w:t>
            </w:r>
            <w:r>
              <w:rPr>
                <w:rFonts w:ascii="宋体" w:hAnsi="宋体" w:cs="宋体" w:eastAsia="宋体" w:hint="default"/>
                <w:spacing w:val="-10"/>
                <w:sz w:val="22"/>
                <w:szCs w:val="22"/>
              </w:rPr>
              <w:t> </w:t>
            </w:r>
            <w:r>
              <w:rPr>
                <w:rFonts w:ascii="宋体" w:hAnsi="宋体" w:cs="宋体" w:eastAsia="宋体" w:hint="default"/>
                <w:sz w:val="22"/>
                <w:szCs w:val="22"/>
              </w:rPr>
              <w:t>化</w:t>
            </w:r>
            <w:r>
              <w:rPr>
                <w:rFonts w:ascii="宋体" w:hAnsi="宋体" w:cs="宋体" w:eastAsia="宋体" w:hint="default"/>
                <w:spacing w:val="-10"/>
                <w:sz w:val="22"/>
                <w:szCs w:val="22"/>
              </w:rPr>
              <w:t> </w:t>
            </w:r>
            <w:r>
              <w:rPr>
                <w:rFonts w:ascii="宋体" w:hAnsi="宋体" w:cs="宋体" w:eastAsia="宋体" w:hint="default"/>
                <w:sz w:val="22"/>
                <w:szCs w:val="22"/>
              </w:rPr>
              <w:t>余</w:t>
            </w:r>
            <w:r>
              <w:rPr>
                <w:rFonts w:ascii="宋体" w:hAnsi="宋体" w:cs="宋体" w:eastAsia="宋体" w:hint="default"/>
                <w:spacing w:val="-8"/>
                <w:sz w:val="22"/>
                <w:szCs w:val="22"/>
              </w:rPr>
              <w:t> </w:t>
            </w:r>
            <w:r>
              <w:rPr>
                <w:rFonts w:ascii="宋体" w:hAnsi="宋体" w:cs="宋体" w:eastAsia="宋体" w:hint="default"/>
                <w:sz w:val="22"/>
                <w:szCs w:val="22"/>
              </w:rPr>
              <w:t>额</w:t>
            </w:r>
            <w:r>
              <w:rPr>
                <w:rFonts w:ascii="宋体" w:hAnsi="宋体" w:cs="宋体" w:eastAsia="宋体" w:hint="default"/>
                <w:spacing w:val="-10"/>
                <w:sz w:val="22"/>
                <w:szCs w:val="22"/>
              </w:rPr>
              <w:t> </w:t>
            </w:r>
            <w:r>
              <w:rPr>
                <w:rFonts w:ascii="宋体" w:hAnsi="宋体" w:cs="宋体" w:eastAsia="宋体" w:hint="default"/>
                <w:sz w:val="22"/>
                <w:szCs w:val="22"/>
              </w:rPr>
              <w:t>为</w:t>
            </w:r>
            <w:r>
              <w:rPr>
                <w:rFonts w:ascii="宋体" w:hAnsi="宋体" w:cs="宋体" w:eastAsia="宋体" w:hint="default"/>
                <w:w w:val="100"/>
                <w:sz w:val="22"/>
                <w:szCs w:val="22"/>
              </w:rPr>
              <w:t> </w:t>
            </w:r>
            <w:r>
              <w:rPr>
                <w:rFonts w:ascii="宋体" w:hAnsi="宋体" w:cs="宋体" w:eastAsia="宋体" w:hint="default"/>
                <w:sz w:val="22"/>
                <w:szCs w:val="22"/>
              </w:rPr>
              <w:t>13,383,741.22</w:t>
            </w:r>
            <w:r>
              <w:rPr>
                <w:rFonts w:ascii="宋体" w:hAnsi="宋体" w:cs="宋体" w:eastAsia="宋体" w:hint="default"/>
                <w:spacing w:val="-31"/>
                <w:sz w:val="22"/>
                <w:szCs w:val="22"/>
              </w:rPr>
              <w:t> </w:t>
            </w:r>
            <w:r>
              <w:rPr>
                <w:rFonts w:ascii="宋体" w:hAnsi="宋体" w:cs="宋体" w:eastAsia="宋体" w:hint="default"/>
                <w:spacing w:val="-5"/>
                <w:sz w:val="22"/>
                <w:szCs w:val="22"/>
              </w:rPr>
              <w:t>元，本年研发完成转入无形资产金</w:t>
            </w:r>
          </w:p>
          <w:p>
            <w:pPr>
              <w:pStyle w:val="TableParagraph"/>
              <w:spacing w:line="240" w:lineRule="auto" w:before="17"/>
              <w:ind w:left="103" w:right="0"/>
              <w:jc w:val="left"/>
              <w:rPr>
                <w:rFonts w:ascii="宋体" w:hAnsi="宋体" w:cs="宋体" w:eastAsia="宋体" w:hint="default"/>
                <w:sz w:val="22"/>
                <w:szCs w:val="22"/>
              </w:rPr>
            </w:pPr>
            <w:r>
              <w:rPr>
                <w:rFonts w:ascii="宋体" w:hAnsi="宋体" w:cs="宋体" w:eastAsia="宋体" w:hint="default"/>
                <w:sz w:val="22"/>
                <w:szCs w:val="22"/>
              </w:rPr>
              <w:t>额为</w:t>
            </w:r>
            <w:r>
              <w:rPr>
                <w:rFonts w:ascii="宋体" w:hAnsi="宋体" w:cs="宋体" w:eastAsia="宋体" w:hint="default"/>
                <w:spacing w:val="-53"/>
                <w:sz w:val="22"/>
                <w:szCs w:val="22"/>
              </w:rPr>
              <w:t> </w:t>
            </w:r>
            <w:r>
              <w:rPr>
                <w:rFonts w:ascii="宋体" w:hAnsi="宋体" w:cs="宋体" w:eastAsia="宋体" w:hint="default"/>
                <w:sz w:val="22"/>
                <w:szCs w:val="22"/>
              </w:rPr>
              <w:t>238,070,545.86</w:t>
            </w:r>
            <w:r>
              <w:rPr>
                <w:rFonts w:ascii="宋体" w:hAnsi="宋体" w:cs="宋体" w:eastAsia="宋体" w:hint="default"/>
                <w:spacing w:val="-54"/>
                <w:sz w:val="22"/>
                <w:szCs w:val="22"/>
              </w:rPr>
              <w:t> </w:t>
            </w:r>
            <w:r>
              <w:rPr>
                <w:rFonts w:ascii="宋体" w:hAnsi="宋体" w:cs="宋体" w:eastAsia="宋体" w:hint="default"/>
                <w:sz w:val="22"/>
                <w:szCs w:val="22"/>
              </w:rPr>
              <w:t>元，本年研发支出资本化金</w:t>
            </w:r>
          </w:p>
          <w:p>
            <w:pPr>
              <w:pStyle w:val="TableParagraph"/>
              <w:spacing w:line="240" w:lineRule="auto" w:before="69"/>
              <w:ind w:left="103" w:right="0"/>
              <w:jc w:val="left"/>
              <w:rPr>
                <w:rFonts w:ascii="宋体" w:hAnsi="宋体" w:cs="宋体" w:eastAsia="宋体" w:hint="default"/>
                <w:sz w:val="22"/>
                <w:szCs w:val="22"/>
              </w:rPr>
            </w:pPr>
            <w:r>
              <w:rPr>
                <w:rFonts w:ascii="宋体" w:hAnsi="宋体" w:cs="宋体" w:eastAsia="宋体" w:hint="default"/>
                <w:sz w:val="22"/>
                <w:szCs w:val="22"/>
              </w:rPr>
              <w:t>额为</w:t>
            </w:r>
            <w:r>
              <w:rPr>
                <w:rFonts w:ascii="宋体" w:hAnsi="宋体" w:cs="宋体" w:eastAsia="宋体" w:hint="default"/>
                <w:spacing w:val="-54"/>
                <w:sz w:val="22"/>
                <w:szCs w:val="22"/>
              </w:rPr>
              <w:t> </w:t>
            </w:r>
            <w:r>
              <w:rPr>
                <w:rFonts w:ascii="宋体" w:hAnsi="宋体" w:cs="宋体" w:eastAsia="宋体" w:hint="default"/>
                <w:sz w:val="22"/>
                <w:szCs w:val="22"/>
              </w:rPr>
              <w:t>178,719,469.17</w:t>
            </w:r>
            <w:r>
              <w:rPr>
                <w:rFonts w:ascii="宋体" w:hAnsi="宋体" w:cs="宋体" w:eastAsia="宋体" w:hint="default"/>
                <w:spacing w:val="-54"/>
                <w:sz w:val="22"/>
                <w:szCs w:val="22"/>
              </w:rPr>
              <w:t> </w:t>
            </w:r>
            <w:r>
              <w:rPr>
                <w:rFonts w:ascii="宋体" w:hAnsi="宋体" w:cs="宋体" w:eastAsia="宋体" w:hint="default"/>
                <w:spacing w:val="-3"/>
                <w:sz w:val="22"/>
                <w:szCs w:val="22"/>
              </w:rPr>
              <w:t>元。</w:t>
            </w:r>
            <w:r>
              <w:rPr>
                <w:rFonts w:ascii="宋体" w:hAnsi="宋体" w:cs="宋体" w:eastAsia="宋体" w:hint="default"/>
                <w:sz w:val="22"/>
                <w:szCs w:val="22"/>
              </w:rPr>
            </w:r>
          </w:p>
          <w:p>
            <w:pPr>
              <w:pStyle w:val="TableParagraph"/>
              <w:spacing w:line="300" w:lineRule="auto" w:before="115"/>
              <w:ind w:left="103" w:right="-2"/>
              <w:jc w:val="left"/>
              <w:rPr>
                <w:rFonts w:ascii="宋体" w:hAnsi="宋体" w:cs="宋体" w:eastAsia="宋体" w:hint="default"/>
                <w:sz w:val="22"/>
                <w:szCs w:val="22"/>
              </w:rPr>
            </w:pPr>
            <w:r>
              <w:rPr>
                <w:rFonts w:ascii="宋体" w:hAnsi="宋体" w:cs="宋体" w:eastAsia="宋体" w:hint="default"/>
                <w:spacing w:val="3"/>
                <w:sz w:val="22"/>
                <w:szCs w:val="22"/>
              </w:rPr>
              <w:t>石基信息公司作为计算机应用服务行业中的软件</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pacing w:val="-6"/>
                <w:w w:val="100"/>
                <w:sz w:val="22"/>
                <w:szCs w:val="22"/>
              </w:rPr>
              <w:t>开发企业，公司的主导核心技术主要由自主研发形</w:t>
            </w:r>
            <w:r>
              <w:rPr>
                <w:rFonts w:ascii="宋体" w:hAnsi="宋体" w:cs="宋体" w:eastAsia="宋体" w:hint="default"/>
                <w:spacing w:val="-106"/>
                <w:w w:val="100"/>
                <w:sz w:val="22"/>
                <w:szCs w:val="22"/>
              </w:rPr>
              <w:t> </w:t>
            </w:r>
            <w:r>
              <w:rPr>
                <w:rFonts w:ascii="宋体" w:hAnsi="宋体" w:cs="宋体" w:eastAsia="宋体" w:hint="default"/>
                <w:spacing w:val="-106"/>
                <w:w w:val="100"/>
                <w:sz w:val="22"/>
                <w:szCs w:val="22"/>
              </w:rPr>
            </w:r>
            <w:r>
              <w:rPr>
                <w:rFonts w:ascii="宋体" w:hAnsi="宋体" w:cs="宋体" w:eastAsia="宋体" w:hint="default"/>
                <w:spacing w:val="-1"/>
                <w:sz w:val="22"/>
                <w:szCs w:val="22"/>
              </w:rPr>
              <w:t>成，其研发活动相关内部控制是否满足核算要求，</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pacing w:val="-6"/>
                <w:w w:val="100"/>
                <w:sz w:val="22"/>
                <w:szCs w:val="22"/>
              </w:rPr>
              <w:t>开发支出是否符合资本化条件，对合并财务报表经</w:t>
            </w:r>
            <w:r>
              <w:rPr>
                <w:rFonts w:ascii="宋体" w:hAnsi="宋体" w:cs="宋体" w:eastAsia="宋体" w:hint="default"/>
                <w:spacing w:val="-101"/>
                <w:w w:val="100"/>
                <w:sz w:val="22"/>
                <w:szCs w:val="22"/>
              </w:rPr>
              <w:t> </w:t>
            </w:r>
            <w:r>
              <w:rPr>
                <w:rFonts w:ascii="宋体" w:hAnsi="宋体" w:cs="宋体" w:eastAsia="宋体" w:hint="default"/>
                <w:spacing w:val="-101"/>
                <w:w w:val="100"/>
                <w:sz w:val="22"/>
                <w:szCs w:val="22"/>
              </w:rPr>
            </w:r>
            <w:r>
              <w:rPr>
                <w:rFonts w:ascii="宋体" w:hAnsi="宋体" w:cs="宋体" w:eastAsia="宋体" w:hint="default"/>
                <w:spacing w:val="-6"/>
                <w:sz w:val="22"/>
                <w:szCs w:val="22"/>
              </w:rPr>
              <w:t>营成果具有重大影响，因此，我们将开发支出资本</w:t>
            </w:r>
            <w:r>
              <w:rPr>
                <w:rFonts w:ascii="宋体" w:hAnsi="宋体" w:cs="宋体" w:eastAsia="宋体" w:hint="default"/>
                <w:spacing w:val="-82"/>
                <w:sz w:val="22"/>
                <w:szCs w:val="22"/>
              </w:rPr>
              <w:t> </w:t>
            </w:r>
            <w:r>
              <w:rPr>
                <w:rFonts w:ascii="宋体" w:hAnsi="宋体" w:cs="宋体" w:eastAsia="宋体" w:hint="default"/>
                <w:spacing w:val="-82"/>
                <w:sz w:val="22"/>
                <w:szCs w:val="22"/>
              </w:rPr>
            </w:r>
            <w:r>
              <w:rPr>
                <w:rFonts w:ascii="宋体" w:hAnsi="宋体" w:cs="宋体" w:eastAsia="宋体" w:hint="default"/>
                <w:sz w:val="22"/>
                <w:szCs w:val="22"/>
              </w:rPr>
              <w:t>化事项作为关键审计事项。</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0"/>
              <w:ind w:left="105" w:right="97"/>
              <w:jc w:val="both"/>
              <w:rPr>
                <w:rFonts w:ascii="宋体" w:hAnsi="宋体" w:cs="宋体" w:eastAsia="宋体" w:hint="default"/>
                <w:sz w:val="22"/>
                <w:szCs w:val="22"/>
              </w:rPr>
            </w:pPr>
            <w:r>
              <w:rPr>
                <w:rFonts w:ascii="宋体" w:hAnsi="宋体" w:cs="宋体" w:eastAsia="宋体" w:hint="default"/>
                <w:sz w:val="22"/>
                <w:szCs w:val="22"/>
              </w:rPr>
              <w:t>针对开发支出资本化事项，我们执行了以下主</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要审计程序：</w:t>
            </w:r>
          </w:p>
          <w:p>
            <w:pPr>
              <w:pStyle w:val="TableParagraph"/>
              <w:spacing w:line="300" w:lineRule="auto" w:before="60"/>
              <w:ind w:left="105" w:right="92"/>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 </w:t>
            </w:r>
            <w:r>
              <w:rPr>
                <w:rFonts w:ascii="宋体" w:hAnsi="宋体" w:cs="宋体" w:eastAsia="宋体" w:hint="default"/>
                <w:spacing w:val="2"/>
                <w:sz w:val="22"/>
                <w:szCs w:val="22"/>
              </w:rPr>
              <w:t>评价与开发支出相关的关键内部控制</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制度；</w:t>
            </w:r>
          </w:p>
          <w:p>
            <w:pPr>
              <w:pStyle w:val="TableParagraph"/>
              <w:spacing w:line="300" w:lineRule="auto" w:before="17"/>
              <w:ind w:left="105" w:right="92"/>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 </w:t>
            </w:r>
            <w:r>
              <w:rPr>
                <w:rFonts w:ascii="宋体" w:hAnsi="宋体" w:cs="宋体" w:eastAsia="宋体" w:hint="default"/>
                <w:spacing w:val="2"/>
                <w:sz w:val="22"/>
                <w:szCs w:val="22"/>
              </w:rPr>
              <w:t>检查研发项目支出的发生及归集，检</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查各项目的立项、可研、预算、阶段性进度报</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告、开发工作跟踪记录表等文件；</w:t>
            </w:r>
          </w:p>
          <w:p>
            <w:pPr>
              <w:pStyle w:val="TableParagraph"/>
              <w:tabs>
                <w:tab w:pos="945" w:val="left" w:leader="none"/>
              </w:tabs>
              <w:spacing w:line="300" w:lineRule="auto" w:before="17"/>
              <w:ind w:left="105" w:right="-11"/>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tab/>
            </w:r>
            <w:r>
              <w:rPr>
                <w:rFonts w:ascii="宋体" w:hAnsi="宋体" w:cs="宋体" w:eastAsia="宋体" w:hint="default"/>
                <w:spacing w:val="2"/>
                <w:sz w:val="22"/>
                <w:szCs w:val="22"/>
              </w:rPr>
              <w:t>对主要研发项目执行访谈程序，并结</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z w:val="22"/>
                <w:szCs w:val="22"/>
              </w:rPr>
              <w:t>合研发项目的各阶段进度及审批报告了解及检</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5"/>
                <w:sz w:val="22"/>
                <w:szCs w:val="22"/>
              </w:rPr>
              <w:t>查研发项目的开发内容、技术要求、产品市场、</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z w:val="22"/>
                <w:szCs w:val="22"/>
              </w:rPr>
              <w:t>开发进度、收益实现方式等情况；</w:t>
            </w:r>
          </w:p>
          <w:p>
            <w:pPr>
              <w:pStyle w:val="TableParagraph"/>
              <w:spacing w:line="300" w:lineRule="auto" w:before="17"/>
              <w:ind w:left="105" w:right="99"/>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94"/>
                <w:sz w:val="22"/>
                <w:szCs w:val="22"/>
              </w:rPr>
              <w:t> </w:t>
            </w:r>
            <w:r>
              <w:rPr>
                <w:rFonts w:ascii="宋体" w:hAnsi="宋体" w:cs="宋体" w:eastAsia="宋体" w:hint="default"/>
                <w:spacing w:val="18"/>
                <w:sz w:val="22"/>
                <w:szCs w:val="22"/>
              </w:rPr>
              <w:t>根据对研发项目的上述相关资料检</w:t>
            </w:r>
            <w:r>
              <w:rPr>
                <w:rFonts w:ascii="宋体" w:hAnsi="宋体" w:cs="宋体" w:eastAsia="宋体" w:hint="default"/>
                <w:w w:val="100"/>
                <w:sz w:val="22"/>
                <w:szCs w:val="22"/>
              </w:rPr>
              <w:t> </w:t>
            </w:r>
            <w:r>
              <w:rPr>
                <w:rFonts w:ascii="宋体" w:hAnsi="宋体" w:cs="宋体" w:eastAsia="宋体" w:hint="default"/>
                <w:sz w:val="22"/>
                <w:szCs w:val="22"/>
              </w:rPr>
              <w:t>查，评价石基信息公司各项目研究阶段与开发</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阶段划分的合理性、及开发支出资本化核算的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准确性；</w:t>
            </w:r>
          </w:p>
          <w:p>
            <w:pPr>
              <w:pStyle w:val="TableParagraph"/>
              <w:spacing w:line="240" w:lineRule="auto" w:before="55"/>
              <w:ind w:left="105" w:right="0"/>
              <w:jc w:val="both"/>
              <w:rPr>
                <w:rFonts w:ascii="宋体" w:hAnsi="宋体" w:cs="宋体" w:eastAsia="宋体" w:hint="default"/>
                <w:sz w:val="22"/>
                <w:szCs w:val="22"/>
              </w:rPr>
            </w:pPr>
            <w:r>
              <w:rPr>
                <w:rFonts w:ascii="宋体" w:hAnsi="宋体" w:cs="宋体" w:eastAsia="宋体" w:hint="default"/>
                <w:spacing w:val="-5"/>
                <w:sz w:val="22"/>
                <w:szCs w:val="22"/>
              </w:rPr>
              <w:t>（</w:t>
            </w:r>
            <w:r>
              <w:rPr>
                <w:rFonts w:ascii="宋体" w:hAnsi="宋体" w:cs="宋体" w:eastAsia="宋体" w:hint="default"/>
                <w:spacing w:val="-5"/>
                <w:sz w:val="22"/>
                <w:szCs w:val="22"/>
              </w:rPr>
              <w:t>5</w:t>
            </w:r>
            <w:r>
              <w:rPr>
                <w:rFonts w:ascii="宋体" w:hAnsi="宋体" w:cs="宋体" w:eastAsia="宋体" w:hint="default"/>
                <w:spacing w:val="-5"/>
                <w:sz w:val="22"/>
                <w:szCs w:val="22"/>
              </w:rPr>
              <w:t>）对研发完成结转无形资产的项目检查相关</w:t>
            </w:r>
          </w:p>
        </w:tc>
      </w:tr>
    </w:tbl>
    <w:p>
      <w:pPr>
        <w:spacing w:after="0" w:line="240" w:lineRule="auto"/>
        <w:jc w:val="both"/>
        <w:rPr>
          <w:rFonts w:ascii="宋体" w:hAnsi="宋体" w:cs="宋体" w:eastAsia="宋体" w:hint="default"/>
          <w:sz w:val="22"/>
          <w:szCs w:val="22"/>
        </w:rPr>
        <w:sectPr>
          <w:footerReference w:type="default" r:id="rId38"/>
          <w:pgSz w:w="11910" w:h="16840"/>
          <w:pgMar w:footer="980" w:header="877" w:top="1100" w:bottom="1160" w:left="980" w:right="0"/>
          <w:pgNumType w:start="101"/>
        </w:sectPr>
      </w:pPr>
    </w:p>
    <w:p>
      <w:pPr>
        <w:spacing w:line="240" w:lineRule="auto" w:before="6"/>
        <w:rPr>
          <w:rFonts w:ascii="Times New Roman" w:hAnsi="Times New Roman" w:cs="Times New Roman" w:eastAsia="Times New Roman" w:hint="default"/>
          <w:sz w:val="27"/>
          <w:szCs w:val="27"/>
        </w:rPr>
      </w:pPr>
    </w:p>
    <w:p>
      <w:pPr>
        <w:spacing w:line="1171" w:lineRule="exact"/>
        <w:ind w:left="14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pict>
          <v:group style="width:480.95pt;height:58.6pt;mso-position-horizontal-relative:char;mso-position-vertical-relative:line" coordorigin="0,0" coordsize="9619,1172">
            <v:group style="position:absolute;left:10;top:10;width:4943;height:2" coordorigin="10,10" coordsize="4943,2">
              <v:shape style="position:absolute;left:10;top:10;width:4943;height:2" coordorigin="10,10" coordsize="4943,0" path="m10,10l4952,10e" filled="false" stroked="true" strokeweight=".48pt" strokecolor="#000000">
                <v:path arrowok="t"/>
              </v:shape>
            </v:group>
            <v:group style="position:absolute;left:4962;top:10;width:4648;height:2" coordorigin="4962,10" coordsize="4648,2">
              <v:shape style="position:absolute;left:4962;top:10;width:4648;height:2" coordorigin="4962,10" coordsize="4648,0" path="m4962,10l9609,10e" filled="false" stroked="true" strokeweight=".48pt" strokecolor="#000000">
                <v:path arrowok="t"/>
              </v:shape>
            </v:group>
            <v:group style="position:absolute;left:5;top:5;width:2;height:1162" coordorigin="5,5" coordsize="2,1162">
              <v:shape style="position:absolute;left:5;top:5;width:2;height:1162" coordorigin="5,5" coordsize="0,1162" path="m5,5l5,1167e" filled="false" stroked="true" strokeweight=".48pt" strokecolor="#000000">
                <v:path arrowok="t"/>
              </v:shape>
            </v:group>
            <v:group style="position:absolute;left:10;top:1162;width:4943;height:2" coordorigin="10,1162" coordsize="4943,2">
              <v:shape style="position:absolute;left:10;top:1162;width:4943;height:2" coordorigin="10,1162" coordsize="4943,0" path="m10,1162l4952,1162e" filled="false" stroked="true" strokeweight=".48pt" strokecolor="#000000">
                <v:path arrowok="t"/>
              </v:shape>
            </v:group>
            <v:group style="position:absolute;left:4957;top:5;width:2;height:1162" coordorigin="4957,5" coordsize="2,1162">
              <v:shape style="position:absolute;left:4957;top:5;width:2;height:1162" coordorigin="4957,5" coordsize="0,1162" path="m4957,5l4957,1167e" filled="false" stroked="true" strokeweight=".48001pt" strokecolor="#000000">
                <v:path arrowok="t"/>
              </v:shape>
            </v:group>
            <v:group style="position:absolute;left:4962;top:1162;width:4648;height:2" coordorigin="4962,1162" coordsize="4648,2">
              <v:shape style="position:absolute;left:4962;top:1162;width:4648;height:2" coordorigin="4962,1162" coordsize="4648,0" path="m4962,1162l9609,1162e" filled="false" stroked="true" strokeweight=".48pt" strokecolor="#000000">
                <v:path arrowok="t"/>
              </v:shape>
            </v:group>
            <v:group style="position:absolute;left:9614;top:5;width:2;height:1162" coordorigin="9614,5" coordsize="2,1162">
              <v:shape style="position:absolute;left:9614;top:5;width:2;height:1162" coordorigin="9614,5" coordsize="0,1162" path="m9614,5l9614,1167e" filled="false" stroked="true" strokeweight=".47998pt" strokecolor="#000000">
                <v:path arrowok="t"/>
              </v:shape>
              <v:shape style="position:absolute;left:4957;top:10;width:4657;height:1153" type="#_x0000_t202" filled="false" stroked="false">
                <v:textbox inset="0,0,0,0">
                  <w:txbxContent>
                    <w:p>
                      <w:pPr>
                        <w:spacing w:line="300" w:lineRule="auto" w:before="36"/>
                        <w:ind w:left="110" w:right="104" w:firstLine="0"/>
                        <w:jc w:val="both"/>
                        <w:rPr>
                          <w:rFonts w:ascii="宋体" w:hAnsi="宋体" w:cs="宋体" w:eastAsia="宋体" w:hint="default"/>
                          <w:sz w:val="22"/>
                          <w:szCs w:val="22"/>
                        </w:rPr>
                      </w:pPr>
                      <w:r>
                        <w:rPr>
                          <w:rFonts w:ascii="宋体" w:hAnsi="宋体" w:cs="宋体" w:eastAsia="宋体" w:hint="default"/>
                          <w:sz w:val="22"/>
                          <w:szCs w:val="22"/>
                        </w:rPr>
                        <w:t>的结项报告并了解相关软件产品著作权证的申</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请进度情况，据此判断石基信息公司研发项目</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开发支出停止资本化时点的合理性。</w:t>
                      </w:r>
                    </w:p>
                  </w:txbxContent>
                </v:textbox>
                <w10:wrap type="none"/>
              </v:shape>
            </v:group>
          </v:group>
        </w:pict>
      </w:r>
      <w:r>
        <w:rPr>
          <w:rFonts w:ascii="Times New Roman" w:hAnsi="Times New Roman" w:cs="Times New Roman" w:eastAsia="Times New Roman" w:hint="default"/>
          <w:position w:val="-22"/>
          <w:sz w:val="20"/>
          <w:szCs w:val="20"/>
        </w:rPr>
      </w:r>
    </w:p>
    <w:p>
      <w:pPr>
        <w:spacing w:line="240" w:lineRule="auto" w:before="9"/>
        <w:rPr>
          <w:rFonts w:ascii="Times New Roman" w:hAnsi="Times New Roman" w:cs="Times New Roman" w:eastAsia="Times New Roman" w:hint="default"/>
          <w:sz w:val="15"/>
          <w:szCs w:val="15"/>
        </w:rPr>
      </w:pPr>
    </w:p>
    <w:p>
      <w:pPr>
        <w:pStyle w:val="Heading5"/>
        <w:spacing w:line="240" w:lineRule="auto" w:before="32"/>
        <w:ind w:right="1133"/>
        <w:jc w:val="left"/>
        <w:rPr>
          <w:b w:val="0"/>
          <w:bCs w:val="0"/>
        </w:rPr>
      </w:pPr>
      <w:r>
        <w:rPr/>
        <w:t>四、</w:t>
      </w:r>
      <w:r>
        <w:rPr>
          <w:spacing w:val="-74"/>
        </w:rPr>
        <w:t> </w:t>
      </w:r>
      <w:r>
        <w:rPr/>
        <w:t>其他信息</w:t>
      </w:r>
      <w:r>
        <w:rPr>
          <w:b w:val="0"/>
          <w:bCs w:val="0"/>
        </w:rPr>
      </w:r>
    </w:p>
    <w:p>
      <w:pPr>
        <w:spacing w:line="240" w:lineRule="auto" w:before="9"/>
        <w:rPr>
          <w:rFonts w:ascii="宋体" w:hAnsi="宋体" w:cs="宋体" w:eastAsia="宋体" w:hint="default"/>
          <w:b/>
          <w:bCs/>
          <w:sz w:val="29"/>
          <w:szCs w:val="29"/>
        </w:rPr>
      </w:pPr>
    </w:p>
    <w:p>
      <w:pPr>
        <w:pStyle w:val="Heading6"/>
        <w:spacing w:line="297" w:lineRule="auto"/>
        <w:ind w:right="1190"/>
        <w:jc w:val="left"/>
      </w:pPr>
      <w:r>
        <w:rPr/>
        <w:t>管理层对其他信息负责。其他信息包括石基信息公司</w:t>
      </w:r>
      <w:r>
        <w:rPr>
          <w:spacing w:val="-57"/>
        </w:rPr>
        <w:t> </w:t>
      </w:r>
      <w:r>
        <w:rPr>
          <w:rFonts w:ascii="宋体" w:hAnsi="宋体" w:cs="宋体" w:eastAsia="宋体" w:hint="default"/>
        </w:rPr>
        <w:t>2018</w:t>
      </w:r>
      <w:r>
        <w:rPr>
          <w:rFonts w:ascii="宋体" w:hAnsi="宋体" w:cs="宋体" w:eastAsia="宋体" w:hint="default"/>
          <w:spacing w:val="-58"/>
        </w:rPr>
        <w:t> </w:t>
      </w:r>
      <w:r>
        <w:rPr/>
        <w:t>年年度报告中涵盖的信息，但不包括</w:t>
      </w:r>
      <w:r>
        <w:rPr>
          <w:w w:val="100"/>
        </w:rPr>
        <w:t> </w:t>
      </w:r>
      <w:r>
        <w:rPr/>
        <w:t>财务报表和我们的审计报告。</w:t>
      </w:r>
    </w:p>
    <w:p>
      <w:pPr>
        <w:spacing w:line="240" w:lineRule="auto" w:before="7"/>
        <w:rPr>
          <w:rFonts w:ascii="宋体" w:hAnsi="宋体" w:cs="宋体" w:eastAsia="宋体" w:hint="default"/>
          <w:sz w:val="25"/>
          <w:szCs w:val="25"/>
        </w:rPr>
      </w:pPr>
    </w:p>
    <w:p>
      <w:pPr>
        <w:pStyle w:val="Heading6"/>
        <w:spacing w:line="297" w:lineRule="auto"/>
        <w:ind w:right="1133"/>
        <w:jc w:val="left"/>
      </w:pPr>
      <w:r>
        <w:rPr>
          <w:spacing w:val="-2"/>
        </w:rPr>
        <w:t>我们对财务报表发表的审计意见不涵盖其他信息，我们也不对其他信息发表任何形式的鉴证结</w:t>
      </w:r>
      <w:r>
        <w:rPr>
          <w:spacing w:val="-3"/>
          <w:w w:val="100"/>
        </w:rPr>
        <w:t> </w:t>
      </w:r>
      <w:r>
        <w:rPr/>
        <w:t>论。</w:t>
      </w:r>
    </w:p>
    <w:p>
      <w:pPr>
        <w:spacing w:line="240" w:lineRule="auto" w:before="7"/>
        <w:rPr>
          <w:rFonts w:ascii="宋体" w:hAnsi="宋体" w:cs="宋体" w:eastAsia="宋体" w:hint="default"/>
          <w:sz w:val="25"/>
          <w:szCs w:val="25"/>
        </w:rPr>
      </w:pPr>
    </w:p>
    <w:p>
      <w:pPr>
        <w:pStyle w:val="Heading6"/>
        <w:spacing w:line="297" w:lineRule="auto"/>
        <w:ind w:right="1133"/>
        <w:jc w:val="left"/>
      </w:pPr>
      <w:r>
        <w:rPr>
          <w:spacing w:val="-2"/>
        </w:rPr>
        <w:t>结合我们对财务报表的审计，我们的责任是阅读其他信息，在此过程中，考虑其他信息是否与财</w:t>
      </w:r>
      <w:r>
        <w:rPr>
          <w:w w:val="100"/>
        </w:rPr>
        <w:t> </w:t>
      </w:r>
      <w:r>
        <w:rPr/>
        <w:t>务报表或我们在审计过程中了解到的情况存在重大不一致或者似乎存在重大错报。</w:t>
      </w:r>
    </w:p>
    <w:p>
      <w:pPr>
        <w:spacing w:line="240" w:lineRule="auto" w:before="7"/>
        <w:rPr>
          <w:rFonts w:ascii="宋体" w:hAnsi="宋体" w:cs="宋体" w:eastAsia="宋体" w:hint="default"/>
          <w:sz w:val="25"/>
          <w:szCs w:val="25"/>
        </w:rPr>
      </w:pPr>
    </w:p>
    <w:p>
      <w:pPr>
        <w:pStyle w:val="Heading6"/>
        <w:spacing w:line="297" w:lineRule="auto"/>
        <w:ind w:right="0"/>
        <w:jc w:val="left"/>
      </w:pPr>
      <w:r>
        <w:rPr>
          <w:spacing w:val="-5"/>
        </w:rPr>
        <w:t>基于我们已执行的工作，如果我们确定其他信息存在重大错报，我们应当报告该事实。在这方面，</w:t>
      </w:r>
      <w:r>
        <w:rPr>
          <w:w w:val="100"/>
        </w:rPr>
        <w:t> </w:t>
      </w:r>
      <w:r>
        <w:rPr/>
        <w:t>我们无任何事项需要报告。</w:t>
      </w:r>
    </w:p>
    <w:p>
      <w:pPr>
        <w:spacing w:line="240" w:lineRule="auto" w:before="2"/>
        <w:rPr>
          <w:rFonts w:ascii="宋体" w:hAnsi="宋体" w:cs="宋体" w:eastAsia="宋体" w:hint="default"/>
          <w:sz w:val="16"/>
          <w:szCs w:val="16"/>
        </w:rPr>
      </w:pPr>
    </w:p>
    <w:p>
      <w:pPr>
        <w:pStyle w:val="Heading5"/>
        <w:spacing w:line="240" w:lineRule="auto"/>
        <w:ind w:right="1133"/>
        <w:jc w:val="left"/>
        <w:rPr>
          <w:b w:val="0"/>
          <w:bCs w:val="0"/>
        </w:rPr>
      </w:pPr>
      <w:r>
        <w:rPr/>
        <w:t>五、</w:t>
      </w:r>
      <w:r>
        <w:rPr>
          <w:spacing w:val="-74"/>
        </w:rPr>
        <w:t> </w:t>
      </w:r>
      <w:r>
        <w:rPr/>
        <w:t>管理层和治理层对财务报表的责任</w:t>
      </w:r>
      <w:r>
        <w:rPr>
          <w:b w:val="0"/>
          <w:bCs w:val="0"/>
        </w:rPr>
      </w:r>
    </w:p>
    <w:p>
      <w:pPr>
        <w:spacing w:line="240" w:lineRule="auto" w:before="7"/>
        <w:rPr>
          <w:rFonts w:ascii="宋体" w:hAnsi="宋体" w:cs="宋体" w:eastAsia="宋体" w:hint="default"/>
          <w:b/>
          <w:bCs/>
          <w:sz w:val="29"/>
          <w:szCs w:val="29"/>
        </w:rPr>
      </w:pPr>
    </w:p>
    <w:p>
      <w:pPr>
        <w:pStyle w:val="Heading6"/>
        <w:spacing w:line="297" w:lineRule="auto"/>
        <w:ind w:right="1133"/>
        <w:jc w:val="left"/>
      </w:pPr>
      <w:r>
        <w:rPr>
          <w:spacing w:val="-2"/>
        </w:rPr>
        <w:t>管理层负责按照企业会计准则的规定编制财务报表，使其实现公允反映，并设计、执行和维护必</w:t>
      </w:r>
      <w:r>
        <w:rPr>
          <w:w w:val="100"/>
        </w:rPr>
        <w:t> </w:t>
      </w:r>
      <w:r>
        <w:rPr/>
        <w:t>要的内部控制，以使财务报表不存在由于舞弊或错误导致的重大错报。</w:t>
      </w:r>
    </w:p>
    <w:p>
      <w:pPr>
        <w:spacing w:line="240" w:lineRule="auto" w:before="7"/>
        <w:rPr>
          <w:rFonts w:ascii="宋体" w:hAnsi="宋体" w:cs="宋体" w:eastAsia="宋体" w:hint="default"/>
          <w:sz w:val="25"/>
          <w:szCs w:val="25"/>
        </w:rPr>
      </w:pPr>
    </w:p>
    <w:p>
      <w:pPr>
        <w:pStyle w:val="Heading6"/>
        <w:spacing w:line="240" w:lineRule="auto"/>
        <w:ind w:left="592" w:right="0" w:firstLine="0"/>
        <w:jc w:val="left"/>
      </w:pPr>
      <w:r>
        <w:rPr/>
        <w:t>在编制财务报表时，管理层负责评估石基信息公司的持续经营能力，披露与持续经营相关的事项</w:t>
      </w:r>
    </w:p>
    <w:p>
      <w:pPr>
        <w:pStyle w:val="Heading6"/>
        <w:spacing w:line="297" w:lineRule="auto" w:before="72"/>
        <w:ind w:right="1124" w:firstLine="0"/>
        <w:jc w:val="left"/>
      </w:pPr>
      <w:r>
        <w:rPr>
          <w:spacing w:val="-2"/>
          <w:w w:val="100"/>
        </w:rPr>
        <w:t>（如适用），并运用持续经营假设，除非管理层计划清算石基信息公司、终止运营或别无其他现实的</w:t>
      </w:r>
      <w:r>
        <w:rPr>
          <w:spacing w:val="-100"/>
          <w:w w:val="100"/>
        </w:rPr>
        <w:t> </w:t>
      </w:r>
      <w:r>
        <w:rPr>
          <w:spacing w:val="-100"/>
          <w:w w:val="100"/>
        </w:rPr>
      </w:r>
      <w:r>
        <w:rPr/>
        <w:t>选择。</w:t>
      </w:r>
    </w:p>
    <w:p>
      <w:pPr>
        <w:spacing w:line="240" w:lineRule="auto" w:before="7"/>
        <w:rPr>
          <w:rFonts w:ascii="宋体" w:hAnsi="宋体" w:cs="宋体" w:eastAsia="宋体" w:hint="default"/>
          <w:sz w:val="25"/>
          <w:szCs w:val="25"/>
        </w:rPr>
      </w:pPr>
    </w:p>
    <w:p>
      <w:pPr>
        <w:spacing w:line="458" w:lineRule="auto" w:before="0"/>
        <w:ind w:left="594" w:right="5534" w:hanging="3"/>
        <w:jc w:val="left"/>
        <w:rPr>
          <w:rFonts w:ascii="宋体" w:hAnsi="宋体" w:cs="宋体" w:eastAsia="宋体" w:hint="default"/>
          <w:sz w:val="22"/>
          <w:szCs w:val="22"/>
        </w:rPr>
      </w:pPr>
      <w:r>
        <w:rPr>
          <w:rFonts w:ascii="宋体" w:hAnsi="宋体" w:cs="宋体" w:eastAsia="宋体" w:hint="default"/>
          <w:spacing w:val="-1"/>
          <w:sz w:val="22"/>
          <w:szCs w:val="22"/>
        </w:rPr>
        <w:t>治理层负责监督石基信息公司的财务报告过程。</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b/>
          <w:bCs/>
          <w:sz w:val="22"/>
          <w:szCs w:val="22"/>
        </w:rPr>
        <w:t>六、</w:t>
      </w:r>
      <w:r>
        <w:rPr>
          <w:rFonts w:ascii="宋体" w:hAnsi="宋体" w:cs="宋体" w:eastAsia="宋体" w:hint="default"/>
          <w:b/>
          <w:bCs/>
          <w:spacing w:val="-74"/>
          <w:sz w:val="22"/>
          <w:szCs w:val="22"/>
        </w:rPr>
        <w:t> </w:t>
      </w:r>
      <w:r>
        <w:rPr>
          <w:rFonts w:ascii="宋体" w:hAnsi="宋体" w:cs="宋体" w:eastAsia="宋体" w:hint="default"/>
          <w:b/>
          <w:bCs/>
          <w:sz w:val="22"/>
          <w:szCs w:val="22"/>
        </w:rPr>
        <w:t>注册会计师对财务报表审计的责任</w:t>
      </w:r>
      <w:r>
        <w:rPr>
          <w:rFonts w:ascii="宋体" w:hAnsi="宋体" w:cs="宋体" w:eastAsia="宋体" w:hint="default"/>
          <w:sz w:val="22"/>
          <w:szCs w:val="22"/>
        </w:rPr>
      </w:r>
    </w:p>
    <w:p>
      <w:pPr>
        <w:pStyle w:val="Heading6"/>
        <w:spacing w:line="300" w:lineRule="auto" w:before="186"/>
        <w:ind w:right="1131"/>
        <w:jc w:val="both"/>
      </w:pPr>
      <w:r>
        <w:rPr>
          <w:spacing w:val="-2"/>
        </w:rPr>
        <w:t>我们的目标是对财务报表整体是否不存在由于舞弊或错误导致的重大错报获取合理保证，并出具</w:t>
      </w:r>
      <w:r>
        <w:rPr>
          <w:w w:val="100"/>
        </w:rPr>
        <w:t> </w:t>
      </w:r>
      <w:r>
        <w:rPr>
          <w:spacing w:val="-2"/>
        </w:rPr>
        <w:t>包含审计意见的审计报告。合理保证是高水平的保证，但并不能保证按照审计准则执行的审计在某一</w:t>
      </w:r>
      <w:r>
        <w:rPr>
          <w:spacing w:val="-70"/>
        </w:rPr>
        <w:t> </w:t>
      </w:r>
      <w:r>
        <w:rPr>
          <w:spacing w:val="-70"/>
        </w:rPr>
      </w:r>
      <w:r>
        <w:rPr>
          <w:spacing w:val="-2"/>
        </w:rPr>
        <w:t>重大错报存在时总能发现。错报可能由于舞弊或错误导致，如果合理预期错报单独或汇总起来可能影</w:t>
      </w:r>
      <w:r>
        <w:rPr>
          <w:spacing w:val="-70"/>
        </w:rPr>
        <w:t> </w:t>
      </w:r>
      <w:r>
        <w:rPr>
          <w:spacing w:val="-70"/>
        </w:rPr>
      </w:r>
      <w:r>
        <w:rPr/>
        <w:t>响财务报表使用者依据财务报表作出的经济决策，则通常认为错报是重大的。</w:t>
      </w:r>
    </w:p>
    <w:p>
      <w:pPr>
        <w:spacing w:line="240" w:lineRule="auto" w:before="5"/>
        <w:rPr>
          <w:rFonts w:ascii="宋体" w:hAnsi="宋体" w:cs="宋体" w:eastAsia="宋体" w:hint="default"/>
          <w:sz w:val="25"/>
          <w:szCs w:val="25"/>
        </w:rPr>
      </w:pPr>
    </w:p>
    <w:p>
      <w:pPr>
        <w:pStyle w:val="Heading6"/>
        <w:spacing w:line="297" w:lineRule="auto"/>
        <w:ind w:right="1133"/>
        <w:jc w:val="left"/>
      </w:pPr>
      <w:r>
        <w:rPr>
          <w:spacing w:val="-2"/>
        </w:rPr>
        <w:t>在按照审计准则执行审计工作的过程中，我们运用职业判断，并保持职业怀疑。同时，我们也执</w:t>
      </w:r>
      <w:r>
        <w:rPr>
          <w:w w:val="100"/>
        </w:rPr>
        <w:t> </w:t>
      </w:r>
      <w:r>
        <w:rPr/>
        <w:t>行以下工作：</w:t>
      </w:r>
    </w:p>
    <w:p>
      <w:pPr>
        <w:spacing w:line="240" w:lineRule="auto" w:before="6"/>
        <w:rPr>
          <w:rFonts w:ascii="宋体" w:hAnsi="宋体" w:cs="宋体" w:eastAsia="宋体" w:hint="default"/>
          <w:sz w:val="25"/>
          <w:szCs w:val="25"/>
        </w:rPr>
      </w:pPr>
    </w:p>
    <w:p>
      <w:pPr>
        <w:pStyle w:val="Heading6"/>
        <w:tabs>
          <w:tab w:pos="1413" w:val="left" w:leader="none"/>
        </w:tabs>
        <w:spacing w:line="300" w:lineRule="auto"/>
        <w:ind w:right="1023"/>
        <w:jc w:val="left"/>
      </w:pPr>
      <w:r>
        <w:rPr/>
        <w:t>（</w:t>
      </w:r>
      <w:r>
        <w:rPr>
          <w:rFonts w:ascii="宋体" w:hAnsi="宋体" w:cs="宋体" w:eastAsia="宋体" w:hint="default"/>
        </w:rPr>
        <w:t>1</w:t>
      </w:r>
      <w:r>
        <w:rPr/>
        <w:t>）</w:t>
        <w:tab/>
        <w:t>识别和评估由于舞弊或错误导致的财务报表重大错报风险，设计和实施审计程序以应对</w:t>
      </w:r>
      <w:r>
        <w:rPr>
          <w:w w:val="100"/>
        </w:rPr>
        <w:t> </w:t>
      </w:r>
      <w:r>
        <w:rPr>
          <w:spacing w:val="-5"/>
        </w:rPr>
        <w:t>这些风险，并获取充分、适当的审计证据，作为发表审计意见的基础。由于舞弊可能涉及串通、伪造、</w:t>
      </w:r>
    </w:p>
    <w:p>
      <w:pPr>
        <w:spacing w:after="0" w:line="300" w:lineRule="auto"/>
        <w:jc w:val="left"/>
        <w:sectPr>
          <w:pgSz w:w="11910" w:h="16840"/>
          <w:pgMar w:header="877" w:footer="980" w:top="1100" w:bottom="1160" w:left="980" w:right="0"/>
        </w:sectPr>
      </w:pPr>
    </w:p>
    <w:p>
      <w:pPr>
        <w:spacing w:line="240" w:lineRule="auto" w:before="6"/>
        <w:rPr>
          <w:rFonts w:ascii="宋体" w:hAnsi="宋体" w:cs="宋体" w:eastAsia="宋体" w:hint="default"/>
          <w:sz w:val="24"/>
          <w:szCs w:val="24"/>
        </w:rPr>
      </w:pPr>
    </w:p>
    <w:p>
      <w:pPr>
        <w:pStyle w:val="Heading6"/>
        <w:spacing w:line="300" w:lineRule="auto" w:before="32"/>
        <w:ind w:left="312" w:right="1129" w:firstLine="0"/>
        <w:jc w:val="left"/>
      </w:pPr>
      <w:r>
        <w:rPr>
          <w:spacing w:val="-2"/>
        </w:rPr>
        <w:t>故意遗漏、虚假陈述或凌驾于内部控制之上，未能发现由于舞弊导致的重大错报的风险高于未能发现</w:t>
      </w:r>
      <w:r>
        <w:rPr>
          <w:spacing w:val="-70"/>
        </w:rPr>
        <w:t> </w:t>
      </w:r>
      <w:r>
        <w:rPr>
          <w:spacing w:val="-70"/>
        </w:rPr>
      </w:r>
      <w:r>
        <w:rPr/>
        <w:t>由于错误导致的重大错报的风险。</w:t>
      </w:r>
    </w:p>
    <w:p>
      <w:pPr>
        <w:spacing w:line="240" w:lineRule="auto" w:before="2"/>
        <w:rPr>
          <w:rFonts w:ascii="宋体" w:hAnsi="宋体" w:cs="宋体" w:eastAsia="宋体" w:hint="default"/>
          <w:sz w:val="25"/>
          <w:szCs w:val="25"/>
        </w:rPr>
      </w:pPr>
    </w:p>
    <w:p>
      <w:pPr>
        <w:pStyle w:val="Heading6"/>
        <w:tabs>
          <w:tab w:pos="1573" w:val="left" w:leader="none"/>
        </w:tabs>
        <w:spacing w:line="240" w:lineRule="auto"/>
        <w:ind w:left="752" w:right="1129" w:firstLine="0"/>
        <w:jc w:val="left"/>
      </w:pPr>
      <w:r>
        <w:rPr/>
        <w:t>（</w:t>
      </w:r>
      <w:r>
        <w:rPr>
          <w:rFonts w:ascii="宋体" w:hAnsi="宋体" w:cs="宋体" w:eastAsia="宋体" w:hint="default"/>
        </w:rPr>
        <w:t>2</w:t>
      </w:r>
      <w:r>
        <w:rPr/>
        <w:t>）</w:t>
        <w:tab/>
        <w:t>了解与审计相关的内部控制，以设计恰当的审计程序。</w:t>
      </w:r>
    </w:p>
    <w:p>
      <w:pPr>
        <w:spacing w:line="240" w:lineRule="auto" w:before="5"/>
        <w:rPr>
          <w:rFonts w:ascii="宋体" w:hAnsi="宋体" w:cs="宋体" w:eastAsia="宋体" w:hint="default"/>
          <w:sz w:val="29"/>
          <w:szCs w:val="29"/>
        </w:rPr>
      </w:pPr>
    </w:p>
    <w:p>
      <w:pPr>
        <w:pStyle w:val="Heading6"/>
        <w:tabs>
          <w:tab w:pos="1573" w:val="left" w:leader="none"/>
        </w:tabs>
        <w:spacing w:line="240" w:lineRule="auto"/>
        <w:ind w:left="752" w:right="1129" w:firstLine="0"/>
        <w:jc w:val="left"/>
      </w:pPr>
      <w:r>
        <w:rPr/>
        <w:t>（</w:t>
      </w:r>
      <w:r>
        <w:rPr>
          <w:rFonts w:ascii="宋体" w:hAnsi="宋体" w:cs="宋体" w:eastAsia="宋体" w:hint="default"/>
        </w:rPr>
        <w:t>3</w:t>
      </w:r>
      <w:r>
        <w:rPr/>
        <w:t>）</w:t>
        <w:tab/>
        <w:t>评价管理层选用会计政策的恰当性和作出会计估计及相关披露的合理性。</w:t>
      </w:r>
    </w:p>
    <w:p>
      <w:pPr>
        <w:spacing w:line="240" w:lineRule="auto" w:before="5"/>
        <w:rPr>
          <w:rFonts w:ascii="宋体" w:hAnsi="宋体" w:cs="宋体" w:eastAsia="宋体" w:hint="default"/>
          <w:sz w:val="29"/>
          <w:szCs w:val="29"/>
        </w:rPr>
      </w:pPr>
    </w:p>
    <w:p>
      <w:pPr>
        <w:pStyle w:val="Heading6"/>
        <w:spacing w:line="300" w:lineRule="auto"/>
        <w:ind w:left="312" w:right="1128"/>
        <w:jc w:val="both"/>
      </w:pPr>
      <w:r>
        <w:rPr/>
        <w:t>（</w:t>
      </w:r>
      <w:r>
        <w:rPr>
          <w:rFonts w:ascii="宋体" w:hAnsi="宋体" w:cs="宋体" w:eastAsia="宋体" w:hint="default"/>
        </w:rPr>
        <w:t>4</w:t>
      </w:r>
      <w:r>
        <w:rPr/>
        <w:t>）</w:t>
      </w:r>
      <w:r>
        <w:rPr>
          <w:spacing w:val="70"/>
        </w:rPr>
        <w:t> </w:t>
      </w:r>
      <w:r>
        <w:rPr/>
        <w:t>对管理层使用持续经营假设的恰当性得出结论。同时，根据获取的审计证据，就可能导</w:t>
      </w:r>
      <w:r>
        <w:rPr>
          <w:w w:val="100"/>
        </w:rPr>
        <w:t> </w:t>
      </w:r>
      <w:r>
        <w:rPr>
          <w:spacing w:val="-2"/>
        </w:rPr>
        <w:t>致对石基信息公司持续经营能力产生重大疑虑的事项或情况是否存在重大不确定性得出结论。如果我</w:t>
      </w:r>
      <w:r>
        <w:rPr>
          <w:spacing w:val="-74"/>
        </w:rPr>
        <w:t> </w:t>
      </w:r>
      <w:r>
        <w:rPr>
          <w:spacing w:val="-74"/>
        </w:rPr>
      </w:r>
      <w:r>
        <w:rPr>
          <w:spacing w:val="-2"/>
        </w:rPr>
        <w:t>们得出结论认为存在重大不确定性，审计准则要求我们在审计报告中提请报表使用者注意财务报表中</w:t>
      </w:r>
      <w:r>
        <w:rPr>
          <w:spacing w:val="-73"/>
        </w:rPr>
        <w:t> </w:t>
      </w:r>
      <w:r>
        <w:rPr>
          <w:spacing w:val="-73"/>
        </w:rPr>
      </w:r>
      <w:r>
        <w:rPr>
          <w:spacing w:val="-2"/>
        </w:rPr>
        <w:t>的相关披露；如果披露不充分，我们应当发表非无保留意见。我们的结论基于截至审计报告日可获得</w:t>
      </w:r>
      <w:r>
        <w:rPr>
          <w:spacing w:val="-67"/>
        </w:rPr>
        <w:t> </w:t>
      </w:r>
      <w:r>
        <w:rPr>
          <w:spacing w:val="-67"/>
        </w:rPr>
      </w:r>
      <w:r>
        <w:rPr/>
        <w:t>的信息。然而，未来的事项或情况可能导致石基信息公司不能持续经营。</w:t>
      </w:r>
    </w:p>
    <w:p>
      <w:pPr>
        <w:spacing w:line="240" w:lineRule="auto" w:before="3"/>
        <w:rPr>
          <w:rFonts w:ascii="宋体" w:hAnsi="宋体" w:cs="宋体" w:eastAsia="宋体" w:hint="default"/>
          <w:sz w:val="25"/>
          <w:szCs w:val="25"/>
        </w:rPr>
      </w:pPr>
    </w:p>
    <w:p>
      <w:pPr>
        <w:pStyle w:val="Heading6"/>
        <w:tabs>
          <w:tab w:pos="1573" w:val="left" w:leader="none"/>
        </w:tabs>
        <w:spacing w:line="300" w:lineRule="auto"/>
        <w:ind w:left="312" w:right="1129"/>
        <w:jc w:val="left"/>
      </w:pPr>
      <w:r>
        <w:rPr>
          <w:w w:val="100"/>
        </w:rPr>
        <w:t>（</w:t>
      </w:r>
      <w:r>
        <w:rPr>
          <w:rFonts w:ascii="宋体" w:hAnsi="宋体" w:cs="宋体" w:eastAsia="宋体" w:hint="default"/>
          <w:w w:val="100"/>
        </w:rPr>
        <w:t>5</w:t>
      </w:r>
      <w:r>
        <w:rPr>
          <w:w w:val="100"/>
        </w:rPr>
        <w:t>）</w:t>
        <w:tab/>
      </w:r>
      <w:r>
        <w:rPr>
          <w:spacing w:val="-7"/>
          <w:w w:val="100"/>
        </w:rPr>
        <w:t>评价财务报表的总体列报、结构和内容（包括披露），并评价财务报表是否公允反映相关</w:t>
      </w:r>
      <w:r>
        <w:rPr>
          <w:w w:val="100"/>
        </w:rPr>
        <w:t> </w:t>
      </w:r>
      <w:r>
        <w:rPr/>
        <w:t>交易和事项。</w:t>
      </w:r>
    </w:p>
    <w:p>
      <w:pPr>
        <w:spacing w:line="240" w:lineRule="auto" w:before="2"/>
        <w:rPr>
          <w:rFonts w:ascii="宋体" w:hAnsi="宋体" w:cs="宋体" w:eastAsia="宋体" w:hint="default"/>
          <w:sz w:val="25"/>
          <w:szCs w:val="25"/>
        </w:rPr>
      </w:pPr>
    </w:p>
    <w:p>
      <w:pPr>
        <w:pStyle w:val="Heading6"/>
        <w:tabs>
          <w:tab w:pos="1573" w:val="left" w:leader="none"/>
        </w:tabs>
        <w:spacing w:line="300" w:lineRule="auto"/>
        <w:ind w:left="312" w:right="1129"/>
        <w:jc w:val="left"/>
      </w:pPr>
      <w:r>
        <w:rPr/>
        <w:t>（</w:t>
      </w:r>
      <w:r>
        <w:rPr>
          <w:rFonts w:ascii="宋体" w:hAnsi="宋体" w:cs="宋体" w:eastAsia="宋体" w:hint="default"/>
        </w:rPr>
        <w:t>6</w:t>
      </w:r>
      <w:r>
        <w:rPr/>
        <w:t>）</w:t>
        <w:tab/>
      </w:r>
      <w:r>
        <w:rPr>
          <w:spacing w:val="-1"/>
        </w:rPr>
        <w:t>就石基信息公司中实体或业务活动的财务信息获取充分、适当的审计证据，以对财务报</w:t>
      </w:r>
      <w:r>
        <w:rPr>
          <w:w w:val="100"/>
        </w:rPr>
        <w:t> </w:t>
      </w:r>
      <w:r>
        <w:rPr/>
        <w:t>表发表审计意见。我们负责指导、监督和执行集团审计，并对审计意见承担全部责任。</w:t>
      </w:r>
    </w:p>
    <w:p>
      <w:pPr>
        <w:spacing w:line="240" w:lineRule="auto" w:before="2"/>
        <w:rPr>
          <w:rFonts w:ascii="宋体" w:hAnsi="宋体" w:cs="宋体" w:eastAsia="宋体" w:hint="default"/>
          <w:sz w:val="25"/>
          <w:szCs w:val="25"/>
        </w:rPr>
      </w:pPr>
    </w:p>
    <w:p>
      <w:pPr>
        <w:pStyle w:val="Heading6"/>
        <w:spacing w:line="297" w:lineRule="auto"/>
        <w:ind w:left="312" w:right="1129"/>
        <w:jc w:val="left"/>
      </w:pPr>
      <w:r>
        <w:rPr>
          <w:spacing w:val="-2"/>
        </w:rPr>
        <w:t>我们与治理层就计划的审计范围、时间安排和重大审计发现等事项进行沟通，包括沟通我们在审</w:t>
      </w:r>
      <w:r>
        <w:rPr>
          <w:w w:val="100"/>
        </w:rPr>
        <w:t> </w:t>
      </w:r>
      <w:r>
        <w:rPr/>
        <w:t>计中识别出的值得关注的内部控制缺陷。</w:t>
      </w:r>
    </w:p>
    <w:p>
      <w:pPr>
        <w:spacing w:line="240" w:lineRule="auto" w:before="7"/>
        <w:rPr>
          <w:rFonts w:ascii="宋体" w:hAnsi="宋体" w:cs="宋体" w:eastAsia="宋体" w:hint="default"/>
          <w:sz w:val="25"/>
          <w:szCs w:val="25"/>
        </w:rPr>
      </w:pPr>
    </w:p>
    <w:p>
      <w:pPr>
        <w:pStyle w:val="Heading6"/>
        <w:spacing w:line="297" w:lineRule="auto"/>
        <w:ind w:left="312" w:right="1129"/>
        <w:jc w:val="left"/>
      </w:pPr>
      <w:r>
        <w:rPr>
          <w:spacing w:val="-2"/>
        </w:rPr>
        <w:t>我们还就已遵守与独立性相关的职业道德要求向治理层提供声明，并与治理层沟通可能被合理认</w:t>
      </w:r>
      <w:r>
        <w:rPr>
          <w:w w:val="100"/>
        </w:rPr>
        <w:t> </w:t>
      </w:r>
      <w:r>
        <w:rPr>
          <w:spacing w:val="-5"/>
          <w:w w:val="100"/>
        </w:rPr>
        <w:t>为影响我们独立性的所有关系和其他事项，以及相关的防范措施（如适用）。</w:t>
      </w:r>
    </w:p>
    <w:p>
      <w:pPr>
        <w:spacing w:line="240" w:lineRule="auto" w:before="7"/>
        <w:rPr>
          <w:rFonts w:ascii="宋体" w:hAnsi="宋体" w:cs="宋体" w:eastAsia="宋体" w:hint="default"/>
          <w:sz w:val="25"/>
          <w:szCs w:val="25"/>
        </w:rPr>
      </w:pPr>
    </w:p>
    <w:p>
      <w:pPr>
        <w:pStyle w:val="Heading6"/>
        <w:spacing w:line="300" w:lineRule="auto"/>
        <w:ind w:left="312" w:right="0"/>
        <w:jc w:val="left"/>
      </w:pPr>
      <w:r>
        <w:rPr>
          <w:spacing w:val="-2"/>
        </w:rPr>
        <w:t>从与治理层沟通过的事项中，我们确定哪些事项对本期财务报表审计最为重要，因而构成关键审</w:t>
      </w:r>
      <w:r>
        <w:rPr>
          <w:w w:val="100"/>
        </w:rPr>
        <w:t> </w:t>
      </w:r>
      <w:r>
        <w:rPr>
          <w:spacing w:val="-5"/>
        </w:rPr>
        <w:t>计事项。我们在审计报告中描述这些事项，除非法律法规禁止公开披露这些事项，或在极少数情形下，</w:t>
      </w:r>
      <w:r>
        <w:rPr>
          <w:spacing w:val="-49"/>
        </w:rPr>
        <w:t> </w:t>
      </w:r>
      <w:r>
        <w:rPr>
          <w:spacing w:val="-49"/>
        </w:rPr>
      </w:r>
      <w:r>
        <w:rPr>
          <w:spacing w:val="-2"/>
        </w:rPr>
        <w:t>如果合理预期在审计报告中沟通某事项造成的负面后果超过在公众利益方面产生的益处，我们确定不</w:t>
      </w:r>
      <w:r>
        <w:rPr>
          <w:spacing w:val="-73"/>
        </w:rPr>
        <w:t> </w:t>
      </w:r>
      <w:r>
        <w:rPr>
          <w:spacing w:val="-73"/>
        </w:rPr>
      </w:r>
      <w:r>
        <w:rPr/>
        <w:t>应在审计报告中沟通该事项。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4365"/>
        <w:gridCol w:w="2824"/>
      </w:tblGrid>
      <w:tr>
        <w:trPr>
          <w:trHeight w:val="1324" w:hRule="exact"/>
        </w:trPr>
        <w:tc>
          <w:tcPr>
            <w:tcW w:w="436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9"/>
              <w:jc w:val="center"/>
              <w:rPr>
                <w:rFonts w:ascii="宋体" w:hAnsi="宋体" w:cs="宋体" w:eastAsia="宋体" w:hint="default"/>
                <w:sz w:val="22"/>
                <w:szCs w:val="22"/>
              </w:rPr>
            </w:pPr>
            <w:r>
              <w:rPr>
                <w:rFonts w:ascii="宋体" w:hAnsi="宋体" w:cs="宋体" w:eastAsia="宋体" w:hint="default"/>
                <w:sz w:val="22"/>
                <w:szCs w:val="22"/>
              </w:rPr>
              <w:t>信永中和会计师事务所</w:t>
            </w:r>
            <w:r>
              <w:rPr>
                <w:rFonts w:ascii="宋体" w:hAnsi="宋体" w:cs="宋体" w:eastAsia="宋体" w:hint="default"/>
                <w:sz w:val="22"/>
                <w:szCs w:val="22"/>
              </w:rPr>
              <w:t>(</w:t>
            </w:r>
            <w:r>
              <w:rPr>
                <w:rFonts w:ascii="宋体" w:hAnsi="宋体" w:cs="宋体" w:eastAsia="宋体" w:hint="default"/>
                <w:sz w:val="22"/>
                <w:szCs w:val="22"/>
              </w:rPr>
              <w:t>特殊普通合伙</w:t>
            </w:r>
            <w:r>
              <w:rPr>
                <w:rFonts w:ascii="宋体" w:hAnsi="宋体" w:cs="宋体" w:eastAsia="宋体" w:hint="default"/>
                <w:sz w:val="22"/>
                <w:szCs w:val="22"/>
              </w:rPr>
              <w:t>)</w:t>
            </w:r>
          </w:p>
        </w:tc>
        <w:tc>
          <w:tcPr>
            <w:tcW w:w="2824" w:type="dxa"/>
            <w:tcBorders>
              <w:top w:val="nil" w:sz="6" w:space="0" w:color="auto"/>
              <w:left w:val="nil" w:sz="6" w:space="0" w:color="auto"/>
              <w:bottom w:val="nil" w:sz="6" w:space="0" w:color="auto"/>
              <w:right w:val="nil" w:sz="6" w:space="0" w:color="auto"/>
            </w:tcBorders>
          </w:tcPr>
          <w:p>
            <w:pPr>
              <w:pStyle w:val="TableParagraph"/>
              <w:spacing w:line="221" w:lineRule="exact"/>
              <w:ind w:left="419" w:right="0"/>
              <w:jc w:val="left"/>
              <w:rPr>
                <w:rFonts w:ascii="宋体" w:hAnsi="宋体" w:cs="宋体" w:eastAsia="宋体" w:hint="default"/>
                <w:sz w:val="22"/>
                <w:szCs w:val="22"/>
              </w:rPr>
            </w:pPr>
            <w:r>
              <w:rPr>
                <w:rFonts w:ascii="宋体" w:hAnsi="宋体" w:cs="宋体" w:eastAsia="宋体" w:hint="default"/>
                <w:sz w:val="22"/>
                <w:szCs w:val="22"/>
              </w:rPr>
              <w:t>中国注册会计师：</w:t>
            </w: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19" w:right="0"/>
              <w:jc w:val="left"/>
              <w:rPr>
                <w:rFonts w:ascii="宋体" w:hAnsi="宋体" w:cs="宋体" w:eastAsia="宋体" w:hint="default"/>
                <w:sz w:val="22"/>
                <w:szCs w:val="22"/>
              </w:rPr>
            </w:pPr>
            <w:r>
              <w:rPr>
                <w:rFonts w:ascii="宋体" w:hAnsi="宋体" w:cs="宋体" w:eastAsia="宋体" w:hint="default"/>
                <w:sz w:val="22"/>
                <w:szCs w:val="22"/>
              </w:rPr>
              <w:t>（项目合伙人）</w:t>
            </w:r>
          </w:p>
        </w:tc>
      </w:tr>
      <w:tr>
        <w:trPr>
          <w:trHeight w:val="1225" w:hRule="exact"/>
        </w:trPr>
        <w:tc>
          <w:tcPr>
            <w:tcW w:w="4365" w:type="dxa"/>
            <w:tcBorders>
              <w:top w:val="nil" w:sz="6" w:space="0" w:color="auto"/>
              <w:left w:val="nil" w:sz="6" w:space="0" w:color="auto"/>
              <w:bottom w:val="nil" w:sz="6" w:space="0" w:color="auto"/>
              <w:right w:val="nil" w:sz="6" w:space="0" w:color="auto"/>
            </w:tcBorders>
          </w:tcPr>
          <w:p>
            <w:pP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9" w:right="0"/>
              <w:jc w:val="left"/>
              <w:rPr>
                <w:rFonts w:ascii="宋体" w:hAnsi="宋体" w:cs="宋体" w:eastAsia="宋体" w:hint="default"/>
                <w:sz w:val="22"/>
                <w:szCs w:val="22"/>
              </w:rPr>
            </w:pPr>
            <w:r>
              <w:rPr>
                <w:rFonts w:ascii="宋体" w:hAnsi="宋体" w:cs="宋体" w:eastAsia="宋体" w:hint="default"/>
                <w:sz w:val="22"/>
                <w:szCs w:val="22"/>
              </w:rPr>
              <w:t>中国注册会计师：</w:t>
            </w:r>
          </w:p>
        </w:tc>
      </w:tr>
      <w:tr>
        <w:trPr>
          <w:trHeight w:val="631" w:hRule="exact"/>
        </w:trPr>
        <w:tc>
          <w:tcPr>
            <w:tcW w:w="43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6"/>
                <w:szCs w:val="26"/>
              </w:rPr>
            </w:pPr>
          </w:p>
          <w:p>
            <w:pPr>
              <w:pStyle w:val="TableParagraph"/>
              <w:tabs>
                <w:tab w:pos="839" w:val="left" w:leader="none"/>
              </w:tabs>
              <w:spacing w:line="240" w:lineRule="auto"/>
              <w:ind w:right="98"/>
              <w:jc w:val="center"/>
              <w:rPr>
                <w:rFonts w:ascii="宋体" w:hAnsi="宋体" w:cs="宋体" w:eastAsia="宋体" w:hint="default"/>
                <w:sz w:val="22"/>
                <w:szCs w:val="22"/>
              </w:rPr>
            </w:pPr>
            <w:r>
              <w:rPr>
                <w:rFonts w:ascii="宋体" w:hAnsi="宋体" w:cs="宋体" w:eastAsia="宋体" w:hint="default"/>
                <w:sz w:val="22"/>
                <w:szCs w:val="22"/>
              </w:rPr>
              <w:t>中国</w:t>
              <w:tab/>
              <w:t>北京</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419" w:right="0"/>
              <w:jc w:val="left"/>
              <w:rPr>
                <w:rFonts w:ascii="宋体" w:hAnsi="宋体" w:cs="宋体" w:eastAsia="宋体" w:hint="default"/>
                <w:sz w:val="22"/>
                <w:szCs w:val="22"/>
              </w:rPr>
            </w:pPr>
            <w:r>
              <w:rPr>
                <w:rFonts w:ascii="宋体" w:hAnsi="宋体" w:cs="宋体" w:eastAsia="宋体" w:hint="default"/>
                <w:sz w:val="22"/>
                <w:szCs w:val="22"/>
              </w:rPr>
              <w:t>二○一九年四月十九日</w:t>
            </w:r>
          </w:p>
        </w:tc>
      </w:tr>
    </w:tbl>
    <w:p>
      <w:pPr>
        <w:spacing w:after="0" w:line="240" w:lineRule="auto"/>
        <w:jc w:val="left"/>
        <w:rPr>
          <w:rFonts w:ascii="宋体" w:hAnsi="宋体" w:cs="宋体" w:eastAsia="宋体" w:hint="default"/>
          <w:sz w:val="22"/>
          <w:szCs w:val="22"/>
        </w:rPr>
        <w:sectPr>
          <w:pgSz w:w="11910" w:h="16840"/>
          <w:pgMar w:header="877" w:footer="980" w:top="1100" w:bottom="1160" w:left="820" w:right="0"/>
        </w:sectPr>
      </w:pPr>
    </w:p>
    <w:p>
      <w:pPr>
        <w:spacing w:line="240" w:lineRule="auto" w:before="9"/>
        <w:rPr>
          <w:rFonts w:ascii="宋体" w:hAnsi="宋体" w:cs="宋体" w:eastAsia="宋体" w:hint="default"/>
          <w:sz w:val="19"/>
          <w:szCs w:val="19"/>
        </w:rPr>
      </w:pPr>
    </w:p>
    <w:p>
      <w:pPr>
        <w:pStyle w:val="Heading3"/>
        <w:spacing w:line="240" w:lineRule="auto" w:before="26"/>
        <w:ind w:right="1133"/>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7"/>
        <w:spacing w:line="240" w:lineRule="auto" w:before="118"/>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编制单位：北京中长石基信息技术股份有限公司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933" w:space="143"/>
            <w:col w:w="1641" w:space="3203"/>
            <w:col w:w="201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5,767,644,803.85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1,714,961,087.82</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466,671,002.88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441,935,740.87</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701,358.65</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465,204,002.88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441,234,382.22</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50,454,415.43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56,015,619.49</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112,994,984.90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59,938,225.32</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67,159,836.82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191,892.43</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332,529,942.87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271,557,513.71</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231,560,986.58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1,519,206,353.74</w:t>
            </w:r>
          </w:p>
        </w:tc>
      </w:tr>
      <w:tr>
        <w:trPr>
          <w:trHeight w:val="404"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6,961,856,136.51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4,063,614,540.95</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3,206,655.79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63,144,486.17</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426,420,725.56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353,173,204.23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52,245,113.70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56,328,348.58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320,198,940.86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328,105,170.26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80,128,551.80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52,062,798.61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665,367,512.13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420,020,093.50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13,383,741.22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72,734,817.91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1,628,798,365.20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1,308,452,845.56</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2,481,770.53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3,558,700.55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56,667,961.64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48,829,569.24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17,500,000.00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3,266,399,338.43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2,723,910,034.61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10,228,255,474.94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6,787,524,575.56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16,384,830.73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150,108,230.72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259,116,046.33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543,299,282.84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524,427,735.62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164,160,629.06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97,730,575.25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180,858,297.95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87,565,813.01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255,058,287.34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114,200,855.20</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2,962,485.74</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192,051.65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2,373,958.82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2,081,250.00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31,500,000.00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1,295,758,029.56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1,133,299,814.96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208,467,614.63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121,540.00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2,277,410.00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1,396,700.29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1,066,666.67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456,666.67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38,998,207.74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40,888,366.88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40,186,414.41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253,486,758.47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1,335,944,443.97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1,386,786,573.43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1,066,903,353.00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1,066,788,753.00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4,074,082,072.08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1,658,040,546.24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303,673,134.85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18,809,655.67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38,278,825.78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38,278,825.78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2,826,287,929.62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2,469,484,345.23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8,309,225,315.33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5,251,402,125.92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583,085,715.64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149,335,876.21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8,892,311,030.97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5,400,738,002.13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10,228,255,474.94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6,787,524,575.56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9"/>
        <w:rPr>
          <w:rFonts w:ascii="Times New Roman" w:hAnsi="Times New Roman" w:cs="Times New Roman" w:eastAsia="Times New Roman" w:hint="default"/>
          <w:sz w:val="24"/>
          <w:szCs w:val="24"/>
        </w:rPr>
      </w:pPr>
    </w:p>
    <w:p>
      <w:pPr>
        <w:tabs>
          <w:tab w:pos="3578" w:val="left" w:leader="none"/>
          <w:tab w:pos="7721" w:val="left" w:leader="none"/>
        </w:tabs>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r>
      <w:r>
        <w:rPr>
          <w:rFonts w:ascii="宋体" w:hAnsi="宋体" w:cs="宋体" w:eastAsia="宋体" w:hint="default"/>
          <w:spacing w:val="-1"/>
          <w:sz w:val="18"/>
          <w:szCs w:val="18"/>
        </w:rPr>
        <w:t>主管会计工作负责人：赖德源</w:t>
        <w:tab/>
      </w:r>
      <w:r>
        <w:rPr>
          <w:rFonts w:ascii="宋体" w:hAnsi="宋体" w:cs="宋体" w:eastAsia="宋体" w:hint="default"/>
          <w:sz w:val="18"/>
          <w:szCs w:val="18"/>
        </w:rPr>
        <w:t>会计机构负责人：李天达</w:t>
      </w:r>
    </w:p>
    <w:p>
      <w:pPr>
        <w:spacing w:line="240" w:lineRule="auto" w:before="0"/>
        <w:rPr>
          <w:rFonts w:ascii="宋体" w:hAnsi="宋体" w:cs="宋体" w:eastAsia="宋体" w:hint="default"/>
          <w:sz w:val="18"/>
          <w:szCs w:val="18"/>
        </w:rPr>
      </w:pPr>
    </w:p>
    <w:p>
      <w:pPr>
        <w:pStyle w:val="Heading7"/>
        <w:spacing w:line="240" w:lineRule="auto" w:before="120"/>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0"/>
        <w:gridCol w:w="2567"/>
        <w:gridCol w:w="2482"/>
      </w:tblGrid>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8,596,869.32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405,784,707.78</w:t>
            </w: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67"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67"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5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52,890,217.90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35,762,072.00</w:t>
            </w:r>
          </w:p>
        </w:tc>
      </w:tr>
      <w:tr>
        <w:trPr>
          <w:trHeight w:val="404"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567"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52,890,217.90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35,762,072.00</w:t>
            </w: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918,663.30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3,206,293.60</w:t>
            </w: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2,240,499,194.73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551,375,472.39</w:t>
            </w: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567"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51,998,479.31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51,998,479.31</w:t>
            </w: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146,306,435.69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116,575,476.09</w:t>
            </w: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567"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67"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20,617,512.82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525,144,978.71</w:t>
            </w: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2,469,828,893.76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1,637,849,000.57</w:t>
            </w: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67"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67"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67"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2,335,763,176.09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2,971,615,240.28</w:t>
            </w: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67"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88,967,122.65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92,124,359.82</w:t>
            </w: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67"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67"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67"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4,968,950.30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7,058,283.79</w:t>
            </w: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67"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67"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19,793,505.78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6,200,272.72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17,500,000.00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2,466,992,754.82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3,094,498,156.61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4,936,821,648.58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4,732,347,157.18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249,931,566.39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171,306,803.42</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136,043,101.42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171,539,911.61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35,140,725.36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25,740,058.33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2,855,269.33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664,863.03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1,148,476,137.56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869,775,485.58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2,081,250.00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31,500,000.00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1,574,528,050.06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1,270,527,121.97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2,081,250.00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2,081,250.00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1,574,528,050.06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1,272,608,371.97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1,066,903,353.00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1,066,788,753.00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1,695,060,742.80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1,667,484,765.75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125,916,678.51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125,916,678.51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474,412,824.21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599,548,587.95</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3,362,293,598.52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3,459,738,785.21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4,936,821,648.58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4,732,347,157.18</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1223" w:firstLine="0"/>
        <w:jc w:val="right"/>
        <w:rPr>
          <w:rFonts w:ascii="宋体" w:hAnsi="宋体" w:cs="宋体" w:eastAsia="宋体" w:hint="default"/>
          <w:sz w:val="18"/>
          <w:szCs w:val="18"/>
        </w:rPr>
      </w:pPr>
      <w:r>
        <w:rPr>
          <w:rFonts w:ascii="宋体" w:hAnsi="宋体" w:cs="宋体" w:eastAsia="宋体" w:hint="default"/>
          <w:sz w:val="18"/>
          <w:szCs w:val="18"/>
        </w:rPr>
        <w:t>法定代表人：李仲初</w:t>
        <w:tab/>
      </w:r>
      <w:r>
        <w:rPr>
          <w:rFonts w:ascii="宋体" w:hAnsi="宋体" w:cs="宋体" w:eastAsia="宋体" w:hint="default"/>
          <w:spacing w:val="-1"/>
          <w:sz w:val="18"/>
          <w:szCs w:val="18"/>
        </w:rPr>
        <w:t>主管会计工作负责人：赖德源</w:t>
        <w:tab/>
      </w:r>
      <w:r>
        <w:rPr>
          <w:rFonts w:ascii="宋体" w:hAnsi="宋体" w:cs="宋体" w:eastAsia="宋体" w:hint="default"/>
          <w:sz w:val="18"/>
          <w:szCs w:val="18"/>
        </w:rPr>
        <w:t>会计机构负责人：李天达</w:t>
      </w:r>
    </w:p>
    <w:p>
      <w:pPr>
        <w:spacing w:line="240" w:lineRule="auto" w:before="0"/>
        <w:rPr>
          <w:rFonts w:ascii="宋体" w:hAnsi="宋体" w:cs="宋体" w:eastAsia="宋体" w:hint="default"/>
          <w:sz w:val="18"/>
          <w:szCs w:val="18"/>
        </w:rPr>
      </w:pPr>
    </w:p>
    <w:p>
      <w:pPr>
        <w:pStyle w:val="Heading7"/>
        <w:spacing w:line="240" w:lineRule="auto" w:before="120"/>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3,097,519,391.45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2,961,186,590.64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3,097,519,391.45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2,961,186,590.64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2,655,233,938.61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2,610,379,985.76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1,706,536,829.15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1,639,529,519.46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24,528,142.02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22,300,529.18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228,948,212.59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188,605,905.77</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550,565,348.16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518,418,205.11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259,042,966.97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199,668,174.15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-159,430,270.20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-910,076.63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8,360,083.93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2,225,074.32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08"/>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154,317,154.66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36,514,455.38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45,042,709.92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42,767,728.72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102,233,475.40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93,685,498.83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57,312,272.19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52,277,471.11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2,280,197.96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10,092,854.41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142,972.55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17,169.97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601,974,172.98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496,786,744.79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8,119,946.48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4,904,270.87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2,964,395.63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17,336,291.26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607,129,723.83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484,354,724.40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64,468,697.91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59,390,579.09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542,661,025.92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424,964,145.31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71"/>
              <w:jc w:val="right"/>
              <w:rPr>
                <w:rFonts w:ascii="宋体" w:hAnsi="宋体" w:cs="宋体" w:eastAsia="宋体" w:hint="default"/>
                <w:sz w:val="18"/>
                <w:szCs w:val="18"/>
              </w:rPr>
            </w:pPr>
            <w:r>
              <w:rPr>
                <w:rFonts w:ascii="宋体" w:hAnsi="宋体" w:cs="宋体" w:eastAsia="宋体" w:hint="default"/>
                <w:spacing w:val="-1"/>
                <w:sz w:val="18"/>
                <w:szCs w:val="18"/>
              </w:rPr>
              <w:t>（一）持续经营净利润（净亏损以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542,661,025.92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424,964,145.31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71"/>
              <w:jc w:val="right"/>
              <w:rPr>
                <w:rFonts w:ascii="宋体" w:hAnsi="宋体" w:cs="宋体" w:eastAsia="宋体" w:hint="default"/>
                <w:sz w:val="18"/>
                <w:szCs w:val="18"/>
              </w:rPr>
            </w:pPr>
            <w:r>
              <w:rPr>
                <w:rFonts w:ascii="宋体" w:hAnsi="宋体" w:cs="宋体" w:eastAsia="宋体" w:hint="default"/>
                <w:spacing w:val="-1"/>
                <w:sz w:val="18"/>
                <w:szCs w:val="18"/>
              </w:rPr>
              <w:t>（二）终止经营净利润（净亏损以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463,482,459.69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419,028,697.62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79,178,566.23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5,935,447.69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284,863,479.18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10,404,801.01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284,863,479.18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10,404,801.01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284,863,479.18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10,404,801.01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-467,690.14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924,614.26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285,331,169.32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9,480,186.75</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9"/>
          <w:pgSz w:w="11910" w:h="16840"/>
          <w:pgMar w:footer="980" w:header="877" w:top="1100" w:bottom="1160" w:left="980" w:right="0"/>
          <w:pgNumType w:start="11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827,524,505.10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435,368,946.32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748,345,938.87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429,433,498.63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79,178,566.23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5,935,447.69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0.43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0.39</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0.39</w:t>
            </w:r>
          </w:p>
        </w:tc>
      </w:tr>
    </w:tbl>
    <w:p>
      <w:pPr>
        <w:tabs>
          <w:tab w:pos="3578" w:val="left" w:leader="none"/>
          <w:tab w:pos="7721" w:val="left" w:leader="none"/>
        </w:tabs>
        <w:spacing w:line="595" w:lineRule="auto" w:before="49"/>
        <w:ind w:left="152" w:right="1223"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 </w:t>
      </w:r>
      <w:r>
        <w:rPr>
          <w:rFonts w:ascii="宋体" w:hAnsi="宋体" w:cs="宋体" w:eastAsia="宋体" w:hint="default"/>
          <w:spacing w:val="-3"/>
          <w:sz w:val="18"/>
          <w:szCs w:val="18"/>
        </w:rPr>
        <w:t>元。 </w:t>
      </w:r>
      <w:r>
        <w:rPr>
          <w:rFonts w:ascii="宋体" w:hAnsi="宋体" w:cs="宋体" w:eastAsia="宋体" w:hint="default"/>
          <w:sz w:val="18"/>
          <w:szCs w:val="18"/>
        </w:rPr>
        <w:t>法定代表人：李仲初</w:t>
        <w:tab/>
      </w:r>
      <w:r>
        <w:rPr>
          <w:rFonts w:ascii="宋体" w:hAnsi="宋体" w:cs="宋体" w:eastAsia="宋体" w:hint="default"/>
          <w:spacing w:val="-1"/>
          <w:sz w:val="18"/>
          <w:szCs w:val="18"/>
        </w:rPr>
        <w:t>主管会计工作负责人：赖德源</w:t>
        <w:tab/>
      </w:r>
      <w:r>
        <w:rPr>
          <w:rFonts w:ascii="宋体" w:hAnsi="宋体" w:cs="宋体" w:eastAsia="宋体" w:hint="default"/>
          <w:sz w:val="18"/>
          <w:szCs w:val="18"/>
        </w:rPr>
        <w:t>会计机构负责人：李天达</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548,748,659.47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408,374,133.68</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382,674,637.48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265,790,148.02</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3,956,423.31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3,186,461.23</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26,904,480.81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19,966,913.22</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127,815,950.08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134,612,956.48</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49,252,040.00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46,074,845.12</w:t>
            </w:r>
          </w:p>
        </w:tc>
      </w:tr>
      <w:tr>
        <w:trPr>
          <w:trHeight w:val="404"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-10,069,763.50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-14,677,227.81</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12,208,092.10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16,258,833.97</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91,477,482.74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25,463,010.21</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17,558,713.22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16,831,417.62</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70,563,626.40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259,534,205.94</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0"/>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5,972,433.31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6,768,160.73</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51"/>
              <w:jc w:val="right"/>
              <w:rPr>
                <w:rFonts w:ascii="宋体" w:hAnsi="宋体" w:cs="宋体" w:eastAsia="宋体" w:hint="default"/>
                <w:sz w:val="18"/>
                <w:szCs w:val="18"/>
              </w:rPr>
            </w:pPr>
            <w:r>
              <w:rPr>
                <w:rFonts w:ascii="宋体" w:hAnsi="宋体" w:cs="宋体" w:eastAsia="宋体" w:hint="default"/>
                <w:spacing w:val="-1"/>
                <w:sz w:val="18"/>
                <w:szCs w:val="18"/>
              </w:rPr>
              <w:t>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-35,140,251.83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204,322,650.77</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5,544,155.17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85,921.09</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23,617.86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98,736.72</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-29,619,714.52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204,309,835.14</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-11,162,826.08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-6,082,365.37</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-18,456,888.44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210,392,200.51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71"/>
              <w:jc w:val="right"/>
              <w:rPr>
                <w:rFonts w:ascii="宋体" w:hAnsi="宋体" w:cs="宋体" w:eastAsia="宋体" w:hint="default"/>
                <w:sz w:val="18"/>
                <w:szCs w:val="18"/>
              </w:rPr>
            </w:pPr>
            <w:r>
              <w:rPr>
                <w:rFonts w:ascii="宋体" w:hAnsi="宋体" w:cs="宋体" w:eastAsia="宋体" w:hint="default"/>
                <w:spacing w:val="-1"/>
                <w:sz w:val="18"/>
                <w:szCs w:val="18"/>
              </w:rPr>
              <w:t>（一）持续经营净利润（净亏损以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-18,456,888.44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210,392,200.51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71"/>
              <w:jc w:val="right"/>
              <w:rPr>
                <w:rFonts w:ascii="宋体" w:hAnsi="宋体" w:cs="宋体" w:eastAsia="宋体" w:hint="default"/>
                <w:sz w:val="18"/>
                <w:szCs w:val="18"/>
              </w:rPr>
            </w:pPr>
            <w:r>
              <w:rPr>
                <w:rFonts w:ascii="宋体" w:hAnsi="宋体" w:cs="宋体" w:eastAsia="宋体" w:hint="default"/>
                <w:spacing w:val="-1"/>
                <w:sz w:val="18"/>
                <w:szCs w:val="18"/>
              </w:rPr>
              <w:t>（二）终止经营净利润（净亏损以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-18,456,888.44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210,392,200.51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tabs>
          <w:tab w:pos="3425" w:val="left" w:leader="none"/>
          <w:tab w:pos="7568" w:val="left" w:leader="none"/>
        </w:tabs>
        <w:spacing w:before="44"/>
        <w:ind w:left="0" w:right="1223" w:firstLine="0"/>
        <w:jc w:val="right"/>
        <w:rPr>
          <w:rFonts w:ascii="宋体" w:hAnsi="宋体" w:cs="宋体" w:eastAsia="宋体" w:hint="default"/>
          <w:sz w:val="18"/>
          <w:szCs w:val="18"/>
        </w:rPr>
      </w:pPr>
      <w:r>
        <w:rPr>
          <w:rFonts w:ascii="宋体" w:hAnsi="宋体" w:cs="宋体" w:eastAsia="宋体" w:hint="default"/>
          <w:sz w:val="18"/>
          <w:szCs w:val="18"/>
        </w:rPr>
        <w:t>法定代表人：李仲初</w:t>
        <w:tab/>
      </w:r>
      <w:r>
        <w:rPr>
          <w:rFonts w:ascii="宋体" w:hAnsi="宋体" w:cs="宋体" w:eastAsia="宋体" w:hint="default"/>
          <w:spacing w:val="-1"/>
          <w:sz w:val="18"/>
          <w:szCs w:val="18"/>
        </w:rPr>
        <w:t>主管会计工作负责人：赖德源</w:t>
        <w:tab/>
      </w:r>
      <w:r>
        <w:rPr>
          <w:rFonts w:ascii="宋体" w:hAnsi="宋体" w:cs="宋体" w:eastAsia="宋体" w:hint="default"/>
          <w:sz w:val="18"/>
          <w:szCs w:val="18"/>
        </w:rPr>
        <w:t>会计机构负责人：李天达</w:t>
      </w:r>
    </w:p>
    <w:p>
      <w:pPr>
        <w:spacing w:line="240" w:lineRule="auto" w:before="0"/>
        <w:rPr>
          <w:rFonts w:ascii="宋体" w:hAnsi="宋体" w:cs="宋体" w:eastAsia="宋体" w:hint="default"/>
          <w:sz w:val="18"/>
          <w:szCs w:val="18"/>
        </w:rPr>
      </w:pPr>
    </w:p>
    <w:p>
      <w:pPr>
        <w:pStyle w:val="Heading7"/>
        <w:spacing w:line="240" w:lineRule="auto" w:before="118"/>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4"/>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260" w:right="0"/>
              <w:jc w:val="left"/>
              <w:rPr>
                <w:rFonts w:ascii="Times New Roman" w:hAnsi="Times New Roman" w:cs="Times New Roman" w:eastAsia="Times New Roman" w:hint="default"/>
                <w:sz w:val="18"/>
                <w:szCs w:val="18"/>
              </w:rPr>
            </w:pPr>
            <w:r>
              <w:rPr>
                <w:rFonts w:ascii="Times New Roman"/>
                <w:sz w:val="18"/>
              </w:rPr>
              <w:t>3,457,959,141.17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8" w:right="0"/>
              <w:jc w:val="left"/>
              <w:rPr>
                <w:rFonts w:ascii="Times New Roman" w:hAnsi="Times New Roman" w:cs="Times New Roman" w:eastAsia="Times New Roman" w:hint="default"/>
                <w:sz w:val="18"/>
                <w:szCs w:val="18"/>
              </w:rPr>
            </w:pPr>
            <w:r>
              <w:rPr>
                <w:rFonts w:ascii="Times New Roman"/>
                <w:sz w:val="18"/>
              </w:rPr>
              <w:t>3,234,253,554.81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30"/>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30"/>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17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 资产净增加额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94,533,088.21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96,774,473.68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106,178,462.04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55,712,981.88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3,658,670,691.42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3,386,741,010.37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1,942,866,512.74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1,848,715,654.20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715,015,080.34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544,403,636.32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267,013,880.54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270,340,857.74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234,435,709.33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210,218,631.89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3,159,331,182.95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2,873,678,780.15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499,339,508.47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513,062,230.22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3,483,724,222.00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3,404,680,000.00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57,488,780.81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34,423,368.41</w:t>
            </w: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处置固定资产、无形资产和其他长期资产收回的现金</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123,586.54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65,553.04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169,918,871.00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123,750,000.00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4,700,000.00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3,665,086,589.35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3,613,787,792.45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pacing w:val="-1"/>
                <w:sz w:val="18"/>
                <w:szCs w:val="18"/>
              </w:rPr>
              <w:t>购建固定资产、无形资产和其他长期资产支付的现金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237,825,452.74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183,110,115.67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2,268,473,187.35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4,808,032,198.36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328,893,860.13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252,942,951.01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4,700,000.00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2,839,892,500.22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5,244,085,265.04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825,194,089.13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-1,630,297,472.59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222,287,536.94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3,285,579,167.01</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3,285,579,167.01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242,287,536.94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227,034,352.53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14,717,406.43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127,476,473.49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60,136,624.44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15,240,000.00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222,767,253.75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354,510,826.02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297,621,284.62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2,931,068,340.99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-55,333,747.68</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49,495,823.99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1,332,628.12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4,305,097,762.58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-1,171,236,361.93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1,453,842,343.47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2,625,078,705.40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5,758,940,106.05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1,453,842,343.47</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1223" w:firstLine="0"/>
        <w:jc w:val="right"/>
        <w:rPr>
          <w:rFonts w:ascii="宋体" w:hAnsi="宋体" w:cs="宋体" w:eastAsia="宋体" w:hint="default"/>
          <w:sz w:val="18"/>
          <w:szCs w:val="18"/>
        </w:rPr>
      </w:pPr>
      <w:r>
        <w:rPr>
          <w:rFonts w:ascii="宋体" w:hAnsi="宋体" w:cs="宋体" w:eastAsia="宋体" w:hint="default"/>
          <w:sz w:val="18"/>
          <w:szCs w:val="18"/>
        </w:rPr>
        <w:t>法定代表人：李仲初</w:t>
        <w:tab/>
      </w:r>
      <w:r>
        <w:rPr>
          <w:rFonts w:ascii="宋体" w:hAnsi="宋体" w:cs="宋体" w:eastAsia="宋体" w:hint="default"/>
          <w:spacing w:val="-1"/>
          <w:sz w:val="18"/>
          <w:szCs w:val="18"/>
        </w:rPr>
        <w:t>主管会计工作负责人：赖德源</w:t>
        <w:tab/>
      </w:r>
      <w:r>
        <w:rPr>
          <w:rFonts w:ascii="宋体" w:hAnsi="宋体" w:cs="宋体" w:eastAsia="宋体" w:hint="default"/>
          <w:sz w:val="18"/>
          <w:szCs w:val="18"/>
        </w:rPr>
        <w:t>会计机构负责人：李天达</w:t>
      </w:r>
    </w:p>
    <w:p>
      <w:pPr>
        <w:spacing w:line="240" w:lineRule="auto" w:before="0"/>
        <w:rPr>
          <w:rFonts w:ascii="宋体" w:hAnsi="宋体" w:cs="宋体" w:eastAsia="宋体" w:hint="default"/>
          <w:sz w:val="18"/>
          <w:szCs w:val="18"/>
        </w:rPr>
      </w:pPr>
    </w:p>
    <w:p>
      <w:pPr>
        <w:pStyle w:val="Heading7"/>
        <w:spacing w:line="240" w:lineRule="auto" w:before="120"/>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4"/>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516,115,587.10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455,956,596.72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15,994,386.26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17,375,286.51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422,325,443.10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67,226,552.67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954,435,416.46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540,558,435.90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346,769,574.94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286,962,708.12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90,745,232.51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86,090,419.58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23,251,487.81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36,006,922.50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1,314,307,403.24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642,440,150.38</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1,775,073,698.50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1,051,500,200.58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-820,638,282.04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-510,941,764.68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1,090,000,000.00</w:t>
            </w:r>
          </w:p>
        </w:tc>
      </w:tr>
      <w:tr>
        <w:trPr>
          <w:trHeight w:val="41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67,054,753.09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243,134,285.21</w:t>
            </w:r>
          </w:p>
        </w:tc>
      </w:tr>
      <w:tr>
        <w:trPr>
          <w:trHeight w:val="38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处置固定资产、无形资产和其他长期资产收回的现金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36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1,067,054,753.09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1,333,134,285.21</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
                <w:sz w:val="18"/>
                <w:szCs w:val="18"/>
              </w:rPr>
              <w:t>购建固定资产、无形资产和其他长期资产支付的现金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1,905,121.71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560,647.56</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535,020,312.50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1,814,020,312.50</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536,925,434.21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1,824,580,960.06</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530,129,318.88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-491,446,674.85</w:t>
            </w:r>
          </w:p>
        </w:tc>
      </w:tr>
      <w:tr>
        <w:trPr>
          <w:trHeight w:val="404"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222,487,253.75</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222,487,253.75</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106,678,875.30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42,671,550.12</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222,487,253.75</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106,678,875.30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265,158,803.87</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115,808,378.45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-265,158,803.87</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-174,700,584.71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-1,267,547,243.40</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183,297,454.03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1,450,844,697.43</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8,596,869.32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183,297,454.03</w:t>
            </w:r>
          </w:p>
        </w:tc>
      </w:tr>
    </w:tbl>
    <w:p>
      <w:pPr>
        <w:spacing w:line="240" w:lineRule="auto" w:before="2"/>
        <w:rPr>
          <w:rFonts w:ascii="宋体" w:hAnsi="宋体" w:cs="宋体" w:eastAsia="宋体" w:hint="default"/>
          <w:sz w:val="20"/>
          <w:szCs w:val="20"/>
        </w:rPr>
      </w:pPr>
    </w:p>
    <w:p>
      <w:pPr>
        <w:tabs>
          <w:tab w:pos="3578" w:val="left" w:leader="none"/>
          <w:tab w:pos="7721" w:val="left" w:leader="none"/>
        </w:tabs>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r>
      <w:r>
        <w:rPr>
          <w:rFonts w:ascii="宋体" w:hAnsi="宋体" w:cs="宋体" w:eastAsia="宋体" w:hint="default"/>
          <w:spacing w:val="-1"/>
          <w:sz w:val="18"/>
          <w:szCs w:val="18"/>
        </w:rPr>
        <w:t>主管会计工作负责人：赖德源</w:t>
        <w:tab/>
      </w:r>
      <w:r>
        <w:rPr>
          <w:rFonts w:ascii="宋体" w:hAnsi="宋体" w:cs="宋体" w:eastAsia="宋体" w:hint="default"/>
          <w:sz w:val="18"/>
          <w:szCs w:val="18"/>
        </w:rPr>
        <w:t>会计机构负责人：李天达</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7"/>
        <w:spacing w:line="240" w:lineRule="auto"/>
        <w:ind w:left="140" w:right="267"/>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40" w:right="267"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23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415"/>
        <w:gridCol w:w="1408"/>
        <w:gridCol w:w="427"/>
        <w:gridCol w:w="425"/>
        <w:gridCol w:w="425"/>
        <w:gridCol w:w="1419"/>
        <w:gridCol w:w="566"/>
        <w:gridCol w:w="1274"/>
        <w:gridCol w:w="569"/>
        <w:gridCol w:w="1275"/>
        <w:gridCol w:w="566"/>
        <w:gridCol w:w="1418"/>
        <w:gridCol w:w="1277"/>
        <w:gridCol w:w="1414"/>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1246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415" w:type="dxa"/>
            <w:vMerge/>
            <w:tcBorders>
              <w:left w:val="single" w:sz="4" w:space="0" w:color="000000"/>
              <w:bottom w:val="single" w:sz="4" w:space="0" w:color="FFFFFF"/>
              <w:right w:val="single" w:sz="4" w:space="0" w:color="000000"/>
            </w:tcBorders>
            <w:shd w:val="clear" w:color="auto" w:fill="D2D2D2"/>
          </w:tcPr>
          <w:p>
            <w:pPr/>
          </w:p>
        </w:tc>
        <w:tc>
          <w:tcPr>
            <w:tcW w:w="9773"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414" w:type="dxa"/>
            <w:vMerge w:val="restart"/>
            <w:tcBorders>
              <w:top w:val="single" w:sz="4" w:space="0" w:color="000000"/>
              <w:left w:val="single" w:sz="4" w:space="0" w:color="000000"/>
              <w:right w:val="single" w:sz="4" w:space="0" w:color="000000"/>
            </w:tcBorders>
            <w:shd w:val="clear" w:color="auto" w:fill="D2D2D2"/>
          </w:tcPr>
          <w:p>
            <w:pPr/>
          </w:p>
        </w:tc>
      </w:tr>
      <w:tr>
        <w:trPr>
          <w:trHeight w:val="206" w:hRule="exact"/>
        </w:trPr>
        <w:tc>
          <w:tcPr>
            <w:tcW w:w="141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vMerge w:val="restart"/>
            <w:tcBorders>
              <w:top w:val="single" w:sz="4" w:space="0" w:color="FFFFFF"/>
              <w:left w:val="single" w:sz="4" w:space="0" w:color="000000"/>
              <w:right w:val="single" w:sz="4" w:space="0" w:color="000000"/>
            </w:tcBorders>
            <w:shd w:val="clear" w:color="auto" w:fill="D2D2D2"/>
          </w:tcPr>
          <w:p>
            <w:pPr/>
          </w:p>
        </w:tc>
        <w:tc>
          <w:tcPr>
            <w:tcW w:w="1277"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9" w:type="dxa"/>
            <w:vMerge w:val="restart"/>
            <w:tcBorders>
              <w:top w:val="single" w:sz="4" w:space="0" w:color="FFFFFF"/>
              <w:left w:val="single" w:sz="4" w:space="0" w:color="000000"/>
              <w:right w:val="single" w:sz="4" w:space="0" w:color="000000"/>
            </w:tcBorders>
            <w:shd w:val="clear" w:color="auto" w:fill="D2D2D2"/>
          </w:tcPr>
          <w:p>
            <w:pPr/>
          </w:p>
        </w:tc>
        <w:tc>
          <w:tcPr>
            <w:tcW w:w="566" w:type="dxa"/>
            <w:tcBorders>
              <w:top w:val="single" w:sz="4" w:space="0" w:color="FFFFFF"/>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FFFFFF"/>
              <w:left w:val="single" w:sz="4" w:space="0" w:color="000000"/>
              <w:right w:val="single" w:sz="4" w:space="0" w:color="000000"/>
            </w:tcBorders>
            <w:shd w:val="clear" w:color="auto" w:fill="D2D2D2"/>
          </w:tcPr>
          <w:p>
            <w:pPr/>
          </w:p>
        </w:tc>
        <w:tc>
          <w:tcPr>
            <w:tcW w:w="569" w:type="dxa"/>
            <w:tcBorders>
              <w:top w:val="single" w:sz="4" w:space="0" w:color="FFFFFF"/>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FFFFFF"/>
              <w:left w:val="single" w:sz="4" w:space="0" w:color="000000"/>
              <w:right w:val="single" w:sz="4" w:space="0" w:color="000000"/>
            </w:tcBorders>
            <w:shd w:val="clear" w:color="auto" w:fill="D2D2D2"/>
          </w:tcPr>
          <w:p>
            <w:pPr/>
          </w:p>
        </w:tc>
        <w:tc>
          <w:tcPr>
            <w:tcW w:w="566"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4"/>
              <w:ind w:left="98" w:right="9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8" w:type="dxa"/>
            <w:vMerge w:val="restart"/>
            <w:tcBorders>
              <w:top w:val="single" w:sz="4" w:space="0" w:color="FFFFFF"/>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4" w:type="dxa"/>
            <w:vMerge/>
            <w:tcBorders>
              <w:left w:val="single" w:sz="4" w:space="0" w:color="000000"/>
              <w:bottom w:val="nil" w:sz="6" w:space="0" w:color="auto"/>
              <w:right w:val="single" w:sz="4" w:space="0" w:color="000000"/>
            </w:tcBorders>
            <w:shd w:val="clear" w:color="auto" w:fill="D2D2D2"/>
          </w:tcPr>
          <w:p>
            <w:pPr/>
          </w:p>
        </w:tc>
      </w:tr>
      <w:tr>
        <w:trPr>
          <w:trHeight w:val="175" w:hRule="exact"/>
        </w:trPr>
        <w:tc>
          <w:tcPr>
            <w:tcW w:w="1415" w:type="dxa"/>
            <w:vMerge/>
            <w:tcBorders>
              <w:left w:val="single" w:sz="4" w:space="0" w:color="000000"/>
              <w:bottom w:val="single" w:sz="4" w:space="0" w:color="FFFFFF"/>
              <w:right w:val="single" w:sz="4" w:space="0" w:color="000000"/>
            </w:tcBorders>
            <w:shd w:val="clear" w:color="auto" w:fill="D2D2D2"/>
          </w:tcPr>
          <w:p>
            <w:pPr/>
          </w:p>
        </w:tc>
        <w:tc>
          <w:tcPr>
            <w:tcW w:w="1408" w:type="dxa"/>
            <w:vMerge/>
            <w:tcBorders>
              <w:left w:val="single" w:sz="4" w:space="0" w:color="000000"/>
              <w:bottom w:val="single" w:sz="4" w:space="0" w:color="FFFFFF"/>
              <w:right w:val="single" w:sz="4" w:space="0" w:color="000000"/>
            </w:tcBorders>
            <w:shd w:val="clear" w:color="auto" w:fill="D2D2D2"/>
          </w:tcPr>
          <w:p>
            <w:pPr/>
          </w:p>
        </w:tc>
        <w:tc>
          <w:tcPr>
            <w:tcW w:w="1277" w:type="dxa"/>
            <w:gridSpan w:val="3"/>
            <w:vMerge/>
            <w:tcBorders>
              <w:left w:val="single" w:sz="4" w:space="0" w:color="000000"/>
              <w:bottom w:val="single" w:sz="4" w:space="0" w:color="FFFFFF"/>
              <w:right w:val="single" w:sz="4" w:space="0" w:color="000000"/>
            </w:tcBorders>
            <w:shd w:val="clear" w:color="auto" w:fill="D2D2D2"/>
          </w:tcPr>
          <w:p>
            <w:pPr/>
          </w:p>
        </w:tc>
        <w:tc>
          <w:tcPr>
            <w:tcW w:w="1419" w:type="dxa"/>
            <w:vMerge/>
            <w:tcBorders>
              <w:left w:val="single" w:sz="4" w:space="0" w:color="000000"/>
              <w:bottom w:val="single" w:sz="4" w:space="0" w:color="FFFFFF"/>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95" w:right="23"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1274" w:type="dxa"/>
            <w:vMerge/>
            <w:tcBorders>
              <w:left w:val="single" w:sz="4" w:space="0" w:color="000000"/>
              <w:bottom w:val="nil" w:sz="6" w:space="0" w:color="auto"/>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0"/>
              <w:ind w:left="98" w:right="9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5"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69"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7" w:hRule="exact"/>
        </w:trPr>
        <w:tc>
          <w:tcPr>
            <w:tcW w:w="1415" w:type="dxa"/>
            <w:vMerge w:val="restart"/>
            <w:tcBorders>
              <w:top w:val="single" w:sz="4" w:space="0" w:color="FFFFFF"/>
              <w:left w:val="single" w:sz="4" w:space="0" w:color="000000"/>
              <w:right w:val="single" w:sz="4" w:space="0" w:color="000000"/>
            </w:tcBorders>
            <w:shd w:val="clear" w:color="auto" w:fill="D2D2D2"/>
          </w:tcPr>
          <w:p>
            <w:pPr/>
          </w:p>
        </w:tc>
        <w:tc>
          <w:tcPr>
            <w:tcW w:w="140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7"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2"/>
              <w:ind w:left="117" w:right="2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2"/>
              <w:ind w:left="115" w:right="2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5" w:type="dxa"/>
            <w:tcBorders>
              <w:top w:val="single" w:sz="4" w:space="0" w:color="FFFFFF"/>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34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69" w:type="dxa"/>
            <w:vMerge/>
            <w:tcBorders>
              <w:left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6"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7" w:type="dxa"/>
            <w:vMerge/>
            <w:tcBorders>
              <w:left w:val="single" w:sz="4" w:space="0" w:color="000000"/>
              <w:bottom w:val="nil" w:sz="6" w:space="0" w:color="auto"/>
              <w:right w:val="single" w:sz="4" w:space="0" w:color="000000"/>
            </w:tcBorders>
            <w:shd w:val="clear" w:color="auto" w:fill="D2D2D2"/>
          </w:tcPr>
          <w:p>
            <w:pPr/>
          </w:p>
        </w:tc>
        <w:tc>
          <w:tcPr>
            <w:tcW w:w="1414"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1415" w:type="dxa"/>
            <w:vMerge/>
            <w:tcBorders>
              <w:left w:val="single" w:sz="4" w:space="0" w:color="000000"/>
              <w:right w:val="single" w:sz="4" w:space="0" w:color="000000"/>
            </w:tcBorders>
            <w:shd w:val="clear" w:color="auto" w:fill="D2D2D2"/>
          </w:tcPr>
          <w:p>
            <w:pPr/>
          </w:p>
        </w:tc>
        <w:tc>
          <w:tcPr>
            <w:tcW w:w="1408"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414" w:type="dxa"/>
            <w:vMerge w:val="restart"/>
            <w:tcBorders>
              <w:top w:val="nil" w:sz="6" w:space="0" w:color="auto"/>
              <w:left w:val="single" w:sz="4" w:space="0" w:color="000000"/>
              <w:right w:val="single" w:sz="4" w:space="0" w:color="000000"/>
            </w:tcBorders>
            <w:shd w:val="clear" w:color="auto" w:fill="D2D2D2"/>
          </w:tcPr>
          <w:p>
            <w:pPr/>
          </w:p>
        </w:tc>
      </w:tr>
      <w:tr>
        <w:trPr>
          <w:trHeight w:val="178" w:hRule="exact"/>
        </w:trPr>
        <w:tc>
          <w:tcPr>
            <w:tcW w:w="1415" w:type="dxa"/>
            <w:vMerge/>
            <w:tcBorders>
              <w:left w:val="single" w:sz="4" w:space="0" w:color="000000"/>
              <w:right w:val="single" w:sz="4" w:space="0" w:color="000000"/>
            </w:tcBorders>
            <w:shd w:val="clear" w:color="auto" w:fill="D2D2D2"/>
          </w:tcPr>
          <w:p>
            <w:pPr/>
          </w:p>
        </w:tc>
        <w:tc>
          <w:tcPr>
            <w:tcW w:w="1408" w:type="dxa"/>
            <w:vMerge w:val="restart"/>
            <w:tcBorders>
              <w:top w:val="nil" w:sz="6" w:space="0" w:color="auto"/>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4" w:type="dxa"/>
            <w:vMerge/>
            <w:tcBorders>
              <w:left w:val="single" w:sz="4" w:space="0" w:color="000000"/>
              <w:right w:val="single" w:sz="4" w:space="0" w:color="000000"/>
            </w:tcBorders>
            <w:shd w:val="clear" w:color="auto" w:fill="D2D2D2"/>
          </w:tcPr>
          <w:p>
            <w:pPr/>
          </w:p>
        </w:tc>
      </w:tr>
      <w:tr>
        <w:trPr>
          <w:trHeight w:val="193"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1408"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5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140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1,066,788,753.00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1,658,040,546.24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18,809,655.67</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38,278,825.78</w:t>
            </w:r>
          </w:p>
        </w:tc>
        <w:tc>
          <w:tcPr>
            <w:tcW w:w="566" w:type="dxa"/>
            <w:tcBorders>
              <w:top w:val="single" w:sz="21" w:space="0" w:color="D2D2D2"/>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2,469,484,345.23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149,335,876.21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5,400,738,002.13</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1408" w:type="dxa"/>
            <w:tcBorders>
              <w:top w:val="single" w:sz="4" w:space="0" w:color="000000"/>
              <w:left w:val="single" w:sz="9"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408" w:type="dxa"/>
            <w:tcBorders>
              <w:top w:val="single" w:sz="4" w:space="0" w:color="000000"/>
              <w:left w:val="single" w:sz="9"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1408" w:type="dxa"/>
            <w:tcBorders>
              <w:top w:val="single" w:sz="4" w:space="0" w:color="000000"/>
              <w:left w:val="single" w:sz="9"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8" w:type="dxa"/>
            <w:tcBorders>
              <w:top w:val="single" w:sz="4" w:space="0" w:color="000000"/>
              <w:left w:val="single" w:sz="9"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140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1,066,788,753.00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1,658,040,546.24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18,809,655.67</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38,278,825.78</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2,469,484,345.23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149,335,876.21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5,400,738,002.13</w:t>
            </w:r>
          </w:p>
        </w:tc>
      </w:tr>
      <w:tr>
        <w:trPr>
          <w:trHeight w:val="1027"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140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114,600.00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2,416,041,525.84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284,863,479.18</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356,803,584.39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433,749,839.43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3,491,573,028.84</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1408" w:type="dxa"/>
            <w:tcBorders>
              <w:top w:val="single" w:sz="4" w:space="0" w:color="000000"/>
              <w:left w:val="single" w:sz="9"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284,863,479.18</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463,482,459.69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79,178,566.23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827,524,505.10</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140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114,600.00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2,416,041,525.84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354,571,273.20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2,770,727,399.04</w:t>
            </w: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w:t>
            </w:r>
          </w:p>
        </w:tc>
        <w:tc>
          <w:tcPr>
            <w:tcW w:w="1408" w:type="dxa"/>
            <w:tcBorders>
              <w:top w:val="single" w:sz="4" w:space="0" w:color="000000"/>
              <w:left w:val="single" w:sz="9"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0"/>
          <w:footerReference w:type="default" r:id="rId41"/>
          <w:pgSz w:w="16840" w:h="11910" w:orient="landscape"/>
          <w:pgMar w:header="867" w:footer="980" w:top="1060" w:bottom="1160" w:left="1300" w:right="1300"/>
          <w:pgNumType w:start="116"/>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38"/>
        <w:gridCol w:w="1397"/>
        <w:gridCol w:w="427"/>
        <w:gridCol w:w="425"/>
        <w:gridCol w:w="425"/>
        <w:gridCol w:w="1419"/>
        <w:gridCol w:w="566"/>
        <w:gridCol w:w="1274"/>
        <w:gridCol w:w="569"/>
        <w:gridCol w:w="1275"/>
        <w:gridCol w:w="566"/>
        <w:gridCol w:w="1418"/>
        <w:gridCol w:w="1277"/>
        <w:gridCol w:w="1414"/>
      </w:tblGrid>
      <w:tr>
        <w:trPr>
          <w:trHeight w:val="377" w:hRule="exact"/>
        </w:trPr>
        <w:tc>
          <w:tcPr>
            <w:tcW w:w="143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397"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1275"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414"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61" w:right="0"/>
              <w:jc w:val="left"/>
              <w:rPr>
                <w:rFonts w:ascii="Times New Roman" w:hAnsi="Times New Roman" w:cs="Times New Roman" w:eastAsia="Times New Roman" w:hint="default"/>
                <w:sz w:val="18"/>
                <w:szCs w:val="18"/>
              </w:rPr>
            </w:pPr>
            <w:r>
              <w:rPr>
                <w:rFonts w:ascii="Times New Roman"/>
                <w:sz w:val="18"/>
              </w:rPr>
              <w:t>114,600.00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27,575,977.05</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27,690,577.05</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2,388,465,548.79</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354,571,273.20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2,743,036,821.99</w:t>
            </w: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-106,678,875.30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-106,678,875.30</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-106,678,875.30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-106,678,875.30</w:t>
            </w: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20" w:right="132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38"/>
        <w:gridCol w:w="1397"/>
        <w:gridCol w:w="427"/>
        <w:gridCol w:w="425"/>
        <w:gridCol w:w="425"/>
        <w:gridCol w:w="1419"/>
        <w:gridCol w:w="566"/>
        <w:gridCol w:w="1274"/>
        <w:gridCol w:w="569"/>
        <w:gridCol w:w="1275"/>
        <w:gridCol w:w="566"/>
        <w:gridCol w:w="1418"/>
        <w:gridCol w:w="1277"/>
        <w:gridCol w:w="1414"/>
      </w:tblGrid>
      <w:tr>
        <w:trPr>
          <w:trHeight w:val="418" w:hRule="exact"/>
        </w:trPr>
        <w:tc>
          <w:tcPr>
            <w:tcW w:w="143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97"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1275"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414"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1,066,903,353.00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4,074,082,072.08</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left"/>
              <w:rPr>
                <w:rFonts w:ascii="Times New Roman" w:hAnsi="Times New Roman" w:cs="Times New Roman" w:eastAsia="Times New Roman" w:hint="default"/>
                <w:sz w:val="18"/>
                <w:szCs w:val="18"/>
              </w:rPr>
            </w:pPr>
            <w:r>
              <w:rPr>
                <w:rFonts w:ascii="Times New Roman"/>
                <w:sz w:val="18"/>
              </w:rPr>
              <w:t>303,673,134.85</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6" w:right="0"/>
              <w:jc w:val="left"/>
              <w:rPr>
                <w:rFonts w:ascii="Times New Roman" w:hAnsi="Times New Roman" w:cs="Times New Roman" w:eastAsia="Times New Roman" w:hint="default"/>
                <w:sz w:val="18"/>
                <w:szCs w:val="18"/>
              </w:rPr>
            </w:pPr>
            <w:r>
              <w:rPr>
                <w:rFonts w:ascii="Times New Roman"/>
                <w:sz w:val="18"/>
              </w:rPr>
              <w:t>38,278,825.78</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2,826,287,929.62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left"/>
              <w:rPr>
                <w:rFonts w:ascii="Times New Roman" w:hAnsi="Times New Roman" w:cs="Times New Roman" w:eastAsia="Times New Roman" w:hint="default"/>
                <w:sz w:val="18"/>
                <w:szCs w:val="18"/>
              </w:rPr>
            </w:pPr>
            <w:r>
              <w:rPr>
                <w:rFonts w:ascii="Times New Roman"/>
                <w:sz w:val="18"/>
              </w:rPr>
              <w:t>583,085,715.64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8,892,311,030.97</w:t>
            </w:r>
          </w:p>
        </w:tc>
      </w:tr>
    </w:tbl>
    <w:p>
      <w:pPr>
        <w:spacing w:before="49"/>
        <w:ind w:left="12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31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414"/>
        <w:gridCol w:w="1694"/>
        <w:gridCol w:w="566"/>
        <w:gridCol w:w="425"/>
        <w:gridCol w:w="425"/>
        <w:gridCol w:w="1560"/>
        <w:gridCol w:w="566"/>
        <w:gridCol w:w="1135"/>
        <w:gridCol w:w="425"/>
        <w:gridCol w:w="1133"/>
        <w:gridCol w:w="569"/>
        <w:gridCol w:w="1416"/>
        <w:gridCol w:w="1277"/>
        <w:gridCol w:w="1445"/>
      </w:tblGrid>
      <w:tr>
        <w:trPr>
          <w:trHeight w:val="404" w:hRule="exact"/>
        </w:trPr>
        <w:tc>
          <w:tcPr>
            <w:tcW w:w="1414" w:type="dxa"/>
            <w:vMerge w:val="restart"/>
            <w:tcBorders>
              <w:top w:val="single" w:sz="4" w:space="0" w:color="000000"/>
              <w:left w:val="single" w:sz="4" w:space="0" w:color="000000"/>
              <w:right w:val="single" w:sz="4" w:space="0" w:color="000000"/>
            </w:tcBorders>
            <w:shd w:val="clear" w:color="auto" w:fill="D2D2D2"/>
          </w:tcPr>
          <w:p>
            <w:pPr/>
          </w:p>
        </w:tc>
        <w:tc>
          <w:tcPr>
            <w:tcW w:w="1263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6" w:hRule="exact"/>
        </w:trPr>
        <w:tc>
          <w:tcPr>
            <w:tcW w:w="1414" w:type="dxa"/>
            <w:vMerge/>
            <w:tcBorders>
              <w:left w:val="single" w:sz="4" w:space="0" w:color="000000"/>
              <w:bottom w:val="nil" w:sz="6" w:space="0" w:color="auto"/>
              <w:right w:val="single" w:sz="4" w:space="0" w:color="000000"/>
            </w:tcBorders>
            <w:shd w:val="clear" w:color="auto" w:fill="D2D2D2"/>
          </w:tcPr>
          <w:p>
            <w:pPr/>
          </w:p>
        </w:tc>
        <w:tc>
          <w:tcPr>
            <w:tcW w:w="991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445"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14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94"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60" w:type="dxa"/>
            <w:vMerge w:val="restart"/>
            <w:tcBorders>
              <w:top w:val="single" w:sz="4" w:space="0" w:color="000000"/>
              <w:left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98" w:right="98"/>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45"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414" w:type="dxa"/>
            <w:vMerge/>
            <w:tcBorders>
              <w:left w:val="single" w:sz="4" w:space="0" w:color="000000"/>
              <w:bottom w:val="nil" w:sz="6" w:space="0" w:color="auto"/>
              <w:right w:val="single" w:sz="4" w:space="0" w:color="000000"/>
            </w:tcBorders>
            <w:shd w:val="clear" w:color="auto" w:fill="D2D2D2"/>
          </w:tcPr>
          <w:p>
            <w:pPr/>
          </w:p>
        </w:tc>
        <w:tc>
          <w:tcPr>
            <w:tcW w:w="1694" w:type="dxa"/>
            <w:vMerge/>
            <w:tcBorders>
              <w:left w:val="single" w:sz="4" w:space="0" w:color="000000"/>
              <w:bottom w:val="nil" w:sz="6" w:space="0" w:color="auto"/>
              <w:right w:val="single" w:sz="4" w:space="0" w:color="000000"/>
            </w:tcBorders>
            <w:shd w:val="clear" w:color="auto" w:fill="D2D2D2"/>
          </w:tcPr>
          <w:p>
            <w:pPr/>
          </w:p>
        </w:tc>
        <w:tc>
          <w:tcPr>
            <w:tcW w:w="1417" w:type="dxa"/>
            <w:gridSpan w:val="3"/>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98" w:right="19"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472"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6" w:right="2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3"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8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8" w:hRule="exact"/>
        </w:trPr>
        <w:tc>
          <w:tcPr>
            <w:tcW w:w="1414" w:type="dxa"/>
            <w:vMerge w:val="restart"/>
            <w:tcBorders>
              <w:top w:val="nil" w:sz="6" w:space="0" w:color="auto"/>
              <w:left w:val="single" w:sz="4" w:space="0" w:color="000000"/>
              <w:right w:val="single" w:sz="4" w:space="0" w:color="000000"/>
            </w:tcBorders>
            <w:shd w:val="clear" w:color="auto" w:fill="D2D2D2"/>
          </w:tcPr>
          <w:p>
            <w:pPr/>
          </w:p>
        </w:tc>
        <w:tc>
          <w:tcPr>
            <w:tcW w:w="16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2"/>
              <w:ind w:left="187"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2"/>
              <w:ind w:left="115" w:right="2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9"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7" w:type="dxa"/>
            <w:vMerge/>
            <w:tcBorders>
              <w:left w:val="single" w:sz="4" w:space="0" w:color="000000"/>
              <w:bottom w:val="nil" w:sz="6" w:space="0" w:color="auto"/>
              <w:right w:val="single" w:sz="4" w:space="0" w:color="000000"/>
            </w:tcBorders>
            <w:shd w:val="clear" w:color="auto" w:fill="D2D2D2"/>
          </w:tcPr>
          <w:p>
            <w:pPr/>
          </w:p>
        </w:tc>
        <w:tc>
          <w:tcPr>
            <w:tcW w:w="1445" w:type="dxa"/>
            <w:vMerge/>
            <w:tcBorders>
              <w:left w:val="single" w:sz="4" w:space="0" w:color="000000"/>
              <w:bottom w:val="nil" w:sz="6" w:space="0" w:color="auto"/>
              <w:right w:val="single" w:sz="4" w:space="0" w:color="000000"/>
            </w:tcBorders>
            <w:shd w:val="clear" w:color="auto" w:fill="D2D2D2"/>
          </w:tcPr>
          <w:p>
            <w:pPr/>
          </w:p>
        </w:tc>
      </w:tr>
      <w:tr>
        <w:trPr>
          <w:trHeight w:val="194" w:hRule="exact"/>
        </w:trPr>
        <w:tc>
          <w:tcPr>
            <w:tcW w:w="1414"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445"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1414" w:type="dxa"/>
            <w:vMerge/>
            <w:tcBorders>
              <w:left w:val="single" w:sz="4" w:space="0" w:color="000000"/>
              <w:right w:val="single" w:sz="4" w:space="0" w:color="000000"/>
            </w:tcBorders>
            <w:shd w:val="clear" w:color="auto" w:fill="D2D2D2"/>
          </w:tcPr>
          <w:p>
            <w:pPr/>
          </w:p>
        </w:tc>
        <w:tc>
          <w:tcPr>
            <w:tcW w:w="1694"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45" w:type="dxa"/>
            <w:vMerge/>
            <w:tcBorders>
              <w:left w:val="single" w:sz="4" w:space="0" w:color="000000"/>
              <w:right w:val="single" w:sz="4" w:space="0" w:color="000000"/>
            </w:tcBorders>
            <w:shd w:val="clear" w:color="auto" w:fill="D2D2D2"/>
          </w:tcPr>
          <w:p>
            <w:pPr/>
          </w:p>
        </w:tc>
      </w:tr>
      <w:tr>
        <w:trPr>
          <w:trHeight w:val="184" w:hRule="exact"/>
        </w:trPr>
        <w:tc>
          <w:tcPr>
            <w:tcW w:w="1414" w:type="dxa"/>
            <w:vMerge/>
            <w:tcBorders>
              <w:left w:val="single" w:sz="4" w:space="0" w:color="000000"/>
              <w:bottom w:val="single" w:sz="4" w:space="0" w:color="000000"/>
              <w:right w:val="single" w:sz="4" w:space="0" w:color="000000"/>
            </w:tcBorders>
            <w:shd w:val="clear" w:color="auto" w:fill="D2D2D2"/>
          </w:tcPr>
          <w:p>
            <w:pPr/>
          </w:p>
        </w:tc>
        <w:tc>
          <w:tcPr>
            <w:tcW w:w="1694"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4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16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1,066,788,753.00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1,617,721,001.67</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8,404,854.66</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17,239,605.73</w:t>
            </w:r>
          </w:p>
        </w:tc>
        <w:tc>
          <w:tcPr>
            <w:tcW w:w="569" w:type="dxa"/>
            <w:tcBorders>
              <w:top w:val="single" w:sz="22" w:space="0" w:color="D2D2D2"/>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2,229,233,489.44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188,427,353.79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5,127,815,058.29</w:t>
            </w:r>
          </w:p>
        </w:tc>
      </w:tr>
      <w:tr>
        <w:trPr>
          <w:trHeight w:val="713"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1694" w:type="dxa"/>
            <w:tcBorders>
              <w:top w:val="single" w:sz="4" w:space="0" w:color="000000"/>
              <w:left w:val="single" w:sz="10"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694" w:type="dxa"/>
            <w:tcBorders>
              <w:top w:val="single" w:sz="4" w:space="0" w:color="000000"/>
              <w:left w:val="single" w:sz="10"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1694" w:type="dxa"/>
            <w:tcBorders>
              <w:top w:val="single" w:sz="4" w:space="0" w:color="000000"/>
              <w:left w:val="single" w:sz="10"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4" w:type="dxa"/>
            <w:tcBorders>
              <w:top w:val="single" w:sz="4" w:space="0" w:color="000000"/>
              <w:left w:val="single" w:sz="10"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16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1,066,788,753.00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1,617,721,001.67</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8,404,854.66</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17,239,605.73</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2,229,233,489.44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188,427,353.79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5,127,815,058.29</w:t>
            </w:r>
          </w:p>
        </w:tc>
      </w:tr>
      <w:tr>
        <w:trPr>
          <w:trHeight w:val="1028"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1694" w:type="dxa"/>
            <w:tcBorders>
              <w:top w:val="single" w:sz="4" w:space="0" w:color="000000"/>
              <w:left w:val="single" w:sz="10"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40,319,544.57</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10,404,801.01</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21,039,220.05</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240,250,855.79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-39,091,477.58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272,922,943.84</w:t>
            </w:r>
          </w:p>
        </w:tc>
      </w:tr>
      <w:tr>
        <w:trPr>
          <w:trHeight w:val="401"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pacing w:val="-8"/>
                <w:sz w:val="18"/>
                <w:szCs w:val="18"/>
              </w:rPr>
              <w:t>（一）综合收益总</w:t>
            </w:r>
          </w:p>
        </w:tc>
        <w:tc>
          <w:tcPr>
            <w:tcW w:w="1694" w:type="dxa"/>
            <w:tcBorders>
              <w:top w:val="single" w:sz="4" w:space="0" w:color="000000"/>
              <w:left w:val="single" w:sz="10"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10,404,801.01</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419,028,697.62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5,935,447.69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435,368,946.32</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20" w:right="122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38"/>
        <w:gridCol w:w="1682"/>
        <w:gridCol w:w="566"/>
        <w:gridCol w:w="425"/>
        <w:gridCol w:w="425"/>
        <w:gridCol w:w="1560"/>
        <w:gridCol w:w="566"/>
        <w:gridCol w:w="1135"/>
        <w:gridCol w:w="425"/>
        <w:gridCol w:w="1133"/>
        <w:gridCol w:w="569"/>
        <w:gridCol w:w="1416"/>
        <w:gridCol w:w="1277"/>
        <w:gridCol w:w="1445"/>
      </w:tblGrid>
      <w:tr>
        <w:trPr>
          <w:trHeight w:val="377" w:hRule="exact"/>
        </w:trPr>
        <w:tc>
          <w:tcPr>
            <w:tcW w:w="143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82"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445"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168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40,319,544.57</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-115,067,071.66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-29,786,925.27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-104,534,452.36</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168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68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68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28,816,192.60</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28,816,192.60</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8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11,503,351.97</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-115,067,071.66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-32,286,925.27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-135,850,644.96</w:t>
            </w: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8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21,039,220.05</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-63,710,770.17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-15,240,000.00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-57,911,550.12</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68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21,039,220.05</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-21,039,220.05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168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168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-42,671,550.12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-15,240,000.00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-57,911,550.12</w:t>
            </w: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8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168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68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68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68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20" w:right="122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38"/>
        <w:gridCol w:w="1682"/>
        <w:gridCol w:w="566"/>
        <w:gridCol w:w="425"/>
        <w:gridCol w:w="425"/>
        <w:gridCol w:w="1560"/>
        <w:gridCol w:w="566"/>
        <w:gridCol w:w="1135"/>
        <w:gridCol w:w="425"/>
        <w:gridCol w:w="1133"/>
        <w:gridCol w:w="569"/>
        <w:gridCol w:w="1416"/>
        <w:gridCol w:w="1277"/>
        <w:gridCol w:w="1445"/>
      </w:tblGrid>
      <w:tr>
        <w:trPr>
          <w:trHeight w:val="1042" w:hRule="exact"/>
        </w:trPr>
        <w:tc>
          <w:tcPr>
            <w:tcW w:w="143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1682"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445"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68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8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68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68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8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1,066,788,753.00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1,658,040,546.24</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18,809,655.67</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38,278,825.78</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2" w:right="0"/>
              <w:jc w:val="left"/>
              <w:rPr>
                <w:rFonts w:ascii="Times New Roman" w:hAnsi="Times New Roman" w:cs="Times New Roman" w:eastAsia="Times New Roman" w:hint="default"/>
                <w:sz w:val="18"/>
                <w:szCs w:val="18"/>
              </w:rPr>
            </w:pPr>
            <w:r>
              <w:rPr>
                <w:rFonts w:ascii="Times New Roman"/>
                <w:sz w:val="18"/>
              </w:rPr>
              <w:t>2,469,484,345.23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left"/>
              <w:rPr>
                <w:rFonts w:ascii="Times New Roman" w:hAnsi="Times New Roman" w:cs="Times New Roman" w:eastAsia="Times New Roman" w:hint="default"/>
                <w:sz w:val="18"/>
                <w:szCs w:val="18"/>
              </w:rPr>
            </w:pPr>
            <w:r>
              <w:rPr>
                <w:rFonts w:ascii="Times New Roman"/>
                <w:sz w:val="18"/>
              </w:rPr>
              <w:t>149,335,876.21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1" w:right="0"/>
              <w:jc w:val="left"/>
              <w:rPr>
                <w:rFonts w:ascii="Times New Roman" w:hAnsi="Times New Roman" w:cs="Times New Roman" w:eastAsia="Times New Roman" w:hint="default"/>
                <w:sz w:val="18"/>
                <w:szCs w:val="18"/>
              </w:rPr>
            </w:pPr>
            <w:r>
              <w:rPr>
                <w:rFonts w:ascii="Times New Roman"/>
                <w:sz w:val="18"/>
              </w:rPr>
              <w:t>5,400,738,002.13</w:t>
            </w:r>
          </w:p>
        </w:tc>
      </w:tr>
    </w:tbl>
    <w:p>
      <w:pPr>
        <w:spacing w:line="240" w:lineRule="auto" w:before="11"/>
        <w:rPr>
          <w:rFonts w:ascii="Times New Roman" w:hAnsi="Times New Roman" w:cs="Times New Roman" w:eastAsia="Times New Roman" w:hint="default"/>
          <w:sz w:val="22"/>
          <w:szCs w:val="22"/>
        </w:rPr>
      </w:pPr>
    </w:p>
    <w:p>
      <w:pPr>
        <w:tabs>
          <w:tab w:pos="3545" w:val="left" w:leader="none"/>
          <w:tab w:pos="7688" w:val="left" w:leader="none"/>
        </w:tabs>
        <w:spacing w:before="44"/>
        <w:ind w:left="120" w:right="0"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r>
      <w:r>
        <w:rPr>
          <w:rFonts w:ascii="宋体" w:hAnsi="宋体" w:cs="宋体" w:eastAsia="宋体" w:hint="default"/>
          <w:spacing w:val="-1"/>
          <w:sz w:val="18"/>
          <w:szCs w:val="18"/>
        </w:rPr>
        <w:t>主管会计工作负责人：赖德源</w:t>
        <w:tab/>
      </w:r>
      <w:r>
        <w:rPr>
          <w:rFonts w:ascii="宋体" w:hAnsi="宋体" w:cs="宋体" w:eastAsia="宋体" w:hint="default"/>
          <w:sz w:val="18"/>
          <w:szCs w:val="18"/>
        </w:rPr>
        <w:t>会计机构负责人：李天达</w:t>
      </w:r>
    </w:p>
    <w:p>
      <w:pPr>
        <w:spacing w:line="240" w:lineRule="auto" w:before="0"/>
        <w:rPr>
          <w:rFonts w:ascii="宋体" w:hAnsi="宋体" w:cs="宋体" w:eastAsia="宋体" w:hint="default"/>
          <w:sz w:val="18"/>
          <w:szCs w:val="18"/>
        </w:rPr>
      </w:pPr>
    </w:p>
    <w:p>
      <w:pPr>
        <w:pStyle w:val="Heading7"/>
        <w:spacing w:line="240" w:lineRule="auto" w:before="120"/>
        <w:ind w:left="120"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2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31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2304"/>
        <w:gridCol w:w="1507"/>
        <w:gridCol w:w="665"/>
        <w:gridCol w:w="667"/>
        <w:gridCol w:w="665"/>
        <w:gridCol w:w="1495"/>
        <w:gridCol w:w="797"/>
        <w:gridCol w:w="799"/>
        <w:gridCol w:w="797"/>
        <w:gridCol w:w="1361"/>
        <w:gridCol w:w="1421"/>
        <w:gridCol w:w="1498"/>
      </w:tblGrid>
      <w:tr>
        <w:trPr>
          <w:trHeight w:val="398" w:hRule="exact"/>
        </w:trPr>
        <w:tc>
          <w:tcPr>
            <w:tcW w:w="23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9" w:hRule="exact"/>
        </w:trPr>
        <w:tc>
          <w:tcPr>
            <w:tcW w:w="23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3" w:right="35"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304" w:type="dxa"/>
            <w:vMerge/>
            <w:tcBorders>
              <w:left w:val="single" w:sz="4" w:space="0" w:color="000000"/>
              <w:bottom w:val="nil" w:sz="6" w:space="0" w:color="auto"/>
              <w:right w:val="single" w:sz="4" w:space="0" w:color="000000"/>
            </w:tcBorders>
            <w:shd w:val="clear" w:color="auto" w:fill="D2D2D2"/>
          </w:tcPr>
          <w:p>
            <w:pPr/>
          </w:p>
        </w:tc>
        <w:tc>
          <w:tcPr>
            <w:tcW w:w="15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14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2304" w:type="dxa"/>
            <w:vMerge w:val="restart"/>
            <w:tcBorders>
              <w:top w:val="nil" w:sz="6" w:space="0" w:color="auto"/>
              <w:left w:val="single" w:sz="4" w:space="0" w:color="000000"/>
              <w:right w:val="single" w:sz="4" w:space="0" w:color="000000"/>
            </w:tcBorders>
            <w:shd w:val="clear" w:color="auto" w:fill="D2D2D2"/>
          </w:tcPr>
          <w:p>
            <w:pPr/>
          </w:p>
        </w:tc>
        <w:tc>
          <w:tcPr>
            <w:tcW w:w="1507"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1361" w:type="dxa"/>
            <w:vMerge/>
            <w:tcBorders>
              <w:left w:val="single" w:sz="4" w:space="0" w:color="000000"/>
              <w:bottom w:val="nil" w:sz="6" w:space="0" w:color="auto"/>
              <w:right w:val="single" w:sz="4" w:space="0" w:color="000000"/>
            </w:tcBorders>
            <w:shd w:val="clear" w:color="auto" w:fill="D2D2D2"/>
          </w:tcPr>
          <w:p>
            <w:pPr/>
          </w:p>
        </w:tc>
        <w:tc>
          <w:tcPr>
            <w:tcW w:w="1421" w:type="dxa"/>
            <w:vMerge/>
            <w:tcBorders>
              <w:left w:val="single" w:sz="4" w:space="0" w:color="000000"/>
              <w:bottom w:val="nil" w:sz="6" w:space="0" w:color="auto"/>
              <w:right w:val="single" w:sz="4" w:space="0" w:color="000000"/>
            </w:tcBorders>
            <w:shd w:val="clear" w:color="auto" w:fill="D2D2D2"/>
          </w:tcPr>
          <w:p>
            <w:pPr/>
          </w:p>
        </w:tc>
        <w:tc>
          <w:tcPr>
            <w:tcW w:w="14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304" w:type="dxa"/>
            <w:vMerge/>
            <w:tcBorders>
              <w:left w:val="single" w:sz="4" w:space="0" w:color="000000"/>
              <w:bottom w:val="single" w:sz="4" w:space="0" w:color="000000"/>
              <w:right w:val="single" w:sz="4" w:space="0" w:color="000000"/>
            </w:tcBorders>
            <w:shd w:val="clear" w:color="auto" w:fill="D2D2D2"/>
          </w:tcPr>
          <w:p>
            <w:pPr/>
          </w:p>
        </w:tc>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49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1,066,788,753.00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1,667,484,765.75</w:t>
            </w:r>
          </w:p>
        </w:tc>
        <w:tc>
          <w:tcPr>
            <w:tcW w:w="797" w:type="dxa"/>
            <w:tcBorders>
              <w:top w:val="single" w:sz="18" w:space="0" w:color="D2D2D2"/>
              <w:left w:val="single" w:sz="4" w:space="0" w:color="000000"/>
              <w:bottom w:val="single" w:sz="4" w:space="0" w:color="000000"/>
              <w:right w:val="single" w:sz="4" w:space="0" w:color="000000"/>
            </w:tcBorders>
          </w:tcPr>
          <w:p>
            <w:pPr/>
          </w:p>
        </w:tc>
        <w:tc>
          <w:tcPr>
            <w:tcW w:w="799" w:type="dxa"/>
            <w:tcBorders>
              <w:top w:val="single" w:sz="18" w:space="0" w:color="D2D2D2"/>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125,916,678.51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599,548,587.95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3,459,738,785.21</w:t>
            </w:r>
          </w:p>
        </w:tc>
      </w:tr>
      <w:tr>
        <w:trPr>
          <w:trHeight w:val="403"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07"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07"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7"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1,066,788,753.00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1,667,484,765.75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125,916,678.51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599,548,587.95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3,459,738,785.21</w:t>
            </w:r>
          </w:p>
        </w:tc>
      </w:tr>
      <w:tr>
        <w:trPr>
          <w:trHeight w:val="403"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w:t>
            </w:r>
          </w:p>
        </w:tc>
        <w:tc>
          <w:tcPr>
            <w:tcW w:w="15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27,575,977.05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-125,135,763.74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-97,445,186.69</w:t>
            </w:r>
          </w:p>
        </w:tc>
      </w:tr>
    </w:tbl>
    <w:p>
      <w:pPr>
        <w:spacing w:after="0" w:line="240" w:lineRule="auto"/>
        <w:jc w:val="right"/>
        <w:rPr>
          <w:rFonts w:ascii="Times New Roman" w:hAnsi="Times New Roman" w:cs="Times New Roman" w:eastAsia="Times New Roman" w:hint="default"/>
          <w:sz w:val="18"/>
          <w:szCs w:val="18"/>
        </w:rPr>
        <w:sectPr>
          <w:footerReference w:type="default" r:id="rId42"/>
          <w:pgSz w:w="16840" w:h="11910" w:orient="landscape"/>
          <w:pgMar w:footer="980" w:header="867" w:top="1060" w:bottom="1160" w:left="1320" w:right="1220"/>
          <w:pgNumType w:start="12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328"/>
        <w:gridCol w:w="1495"/>
        <w:gridCol w:w="665"/>
        <w:gridCol w:w="667"/>
        <w:gridCol w:w="665"/>
        <w:gridCol w:w="1495"/>
        <w:gridCol w:w="797"/>
        <w:gridCol w:w="799"/>
        <w:gridCol w:w="797"/>
        <w:gridCol w:w="1361"/>
        <w:gridCol w:w="1421"/>
        <w:gridCol w:w="1498"/>
      </w:tblGrid>
      <w:tr>
        <w:trPr>
          <w:trHeight w:val="377" w:hRule="exact"/>
        </w:trPr>
        <w:tc>
          <w:tcPr>
            <w:tcW w:w="232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5"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667"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495" w:type="dxa"/>
            <w:tcBorders>
              <w:top w:val="single" w:sz="15" w:space="0" w:color="000000"/>
              <w:left w:val="single" w:sz="4" w:space="0" w:color="000000"/>
              <w:bottom w:val="single" w:sz="4" w:space="0" w:color="000000"/>
              <w:right w:val="single" w:sz="4" w:space="0" w:color="000000"/>
            </w:tcBorders>
          </w:tcPr>
          <w:p>
            <w:pPr/>
          </w:p>
        </w:tc>
        <w:tc>
          <w:tcPr>
            <w:tcW w:w="797" w:type="dxa"/>
            <w:tcBorders>
              <w:top w:val="single" w:sz="15" w:space="0" w:color="000000"/>
              <w:left w:val="single" w:sz="4" w:space="0" w:color="000000"/>
              <w:bottom w:val="single" w:sz="4" w:space="0" w:color="000000"/>
              <w:right w:val="single" w:sz="4" w:space="0" w:color="000000"/>
            </w:tcBorders>
          </w:tcPr>
          <w:p>
            <w:pPr/>
          </w:p>
        </w:tc>
        <w:tc>
          <w:tcPr>
            <w:tcW w:w="799" w:type="dxa"/>
            <w:tcBorders>
              <w:top w:val="single" w:sz="15" w:space="0" w:color="000000"/>
              <w:left w:val="single" w:sz="4" w:space="0" w:color="000000"/>
              <w:bottom w:val="single" w:sz="4" w:space="0" w:color="000000"/>
              <w:right w:val="single" w:sz="4" w:space="0" w:color="000000"/>
            </w:tcBorders>
          </w:tcPr>
          <w:p>
            <w:pPr/>
          </w:p>
        </w:tc>
        <w:tc>
          <w:tcPr>
            <w:tcW w:w="797" w:type="dxa"/>
            <w:tcBorders>
              <w:top w:val="single" w:sz="15" w:space="0" w:color="000000"/>
              <w:left w:val="single" w:sz="4" w:space="0" w:color="000000"/>
              <w:bottom w:val="single" w:sz="4" w:space="0" w:color="000000"/>
              <w:right w:val="single" w:sz="4" w:space="0" w:color="000000"/>
            </w:tcBorders>
          </w:tcPr>
          <w:p>
            <w:pPr/>
          </w:p>
        </w:tc>
        <w:tc>
          <w:tcPr>
            <w:tcW w:w="1361" w:type="dxa"/>
            <w:tcBorders>
              <w:top w:val="single" w:sz="15" w:space="0" w:color="000000"/>
              <w:left w:val="single" w:sz="4" w:space="0" w:color="000000"/>
              <w:bottom w:val="single" w:sz="4" w:space="0" w:color="000000"/>
              <w:right w:val="single" w:sz="4" w:space="0" w:color="000000"/>
            </w:tcBorders>
          </w:tcPr>
          <w:p>
            <w:pPr/>
          </w:p>
        </w:tc>
        <w:tc>
          <w:tcPr>
            <w:tcW w:w="1421" w:type="dxa"/>
            <w:tcBorders>
              <w:top w:val="single" w:sz="15" w:space="0" w:color="000000"/>
              <w:left w:val="single" w:sz="4" w:space="0" w:color="000000"/>
              <w:bottom w:val="single" w:sz="4" w:space="0" w:color="000000"/>
              <w:right w:val="single" w:sz="4" w:space="0" w:color="000000"/>
            </w:tcBorders>
          </w:tcPr>
          <w:p>
            <w:pPr/>
          </w:p>
        </w:tc>
        <w:tc>
          <w:tcPr>
            <w:tcW w:w="1498"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-18,456,888.44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-18,456,888.44</w:t>
            </w:r>
          </w:p>
        </w:tc>
      </w:tr>
      <w:tr>
        <w:trPr>
          <w:trHeight w:val="401" w:hRule="exact"/>
        </w:trPr>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（二）所有者投入和减少资本</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27,575,977.05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27,690,577.05</w:t>
            </w:r>
          </w:p>
        </w:tc>
      </w:tr>
      <w:tr>
        <w:trPr>
          <w:trHeight w:val="403" w:hRule="exact"/>
        </w:trPr>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 资本</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 的金额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27,575,977.05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27,690,577.05</w:t>
            </w:r>
          </w:p>
        </w:tc>
      </w:tr>
      <w:tr>
        <w:trPr>
          <w:trHeight w:val="401" w:hRule="exact"/>
        </w:trPr>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-106,678,875.30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-106,678,875.30</w:t>
            </w:r>
          </w:p>
        </w:tc>
      </w:tr>
      <w:tr>
        <w:trPr>
          <w:trHeight w:val="401" w:hRule="exact"/>
        </w:trPr>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 配</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-106,678,875.30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-106,678,875.30</w:t>
            </w:r>
          </w:p>
        </w:tc>
      </w:tr>
      <w:tr>
        <w:trPr>
          <w:trHeight w:val="401" w:hRule="exact"/>
        </w:trPr>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 留存收益</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2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328"/>
        <w:gridCol w:w="1495"/>
        <w:gridCol w:w="665"/>
        <w:gridCol w:w="667"/>
        <w:gridCol w:w="665"/>
        <w:gridCol w:w="1495"/>
        <w:gridCol w:w="797"/>
        <w:gridCol w:w="799"/>
        <w:gridCol w:w="797"/>
        <w:gridCol w:w="1361"/>
        <w:gridCol w:w="1421"/>
        <w:gridCol w:w="1498"/>
      </w:tblGrid>
      <w:tr>
        <w:trPr>
          <w:trHeight w:val="418" w:hRule="exact"/>
        </w:trPr>
        <w:tc>
          <w:tcPr>
            <w:tcW w:w="232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95"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667"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495" w:type="dxa"/>
            <w:tcBorders>
              <w:top w:val="single" w:sz="15" w:space="0" w:color="000000"/>
              <w:left w:val="single" w:sz="4" w:space="0" w:color="000000"/>
              <w:bottom w:val="single" w:sz="4" w:space="0" w:color="000000"/>
              <w:right w:val="single" w:sz="4" w:space="0" w:color="000000"/>
            </w:tcBorders>
          </w:tcPr>
          <w:p>
            <w:pPr/>
          </w:p>
        </w:tc>
        <w:tc>
          <w:tcPr>
            <w:tcW w:w="797" w:type="dxa"/>
            <w:tcBorders>
              <w:top w:val="single" w:sz="15" w:space="0" w:color="000000"/>
              <w:left w:val="single" w:sz="4" w:space="0" w:color="000000"/>
              <w:bottom w:val="single" w:sz="4" w:space="0" w:color="000000"/>
              <w:right w:val="single" w:sz="4" w:space="0" w:color="000000"/>
            </w:tcBorders>
          </w:tcPr>
          <w:p>
            <w:pPr/>
          </w:p>
        </w:tc>
        <w:tc>
          <w:tcPr>
            <w:tcW w:w="799" w:type="dxa"/>
            <w:tcBorders>
              <w:top w:val="single" w:sz="15" w:space="0" w:color="000000"/>
              <w:left w:val="single" w:sz="4" w:space="0" w:color="000000"/>
              <w:bottom w:val="single" w:sz="4" w:space="0" w:color="000000"/>
              <w:right w:val="single" w:sz="4" w:space="0" w:color="000000"/>
            </w:tcBorders>
          </w:tcPr>
          <w:p>
            <w:pPr/>
          </w:p>
        </w:tc>
        <w:tc>
          <w:tcPr>
            <w:tcW w:w="797" w:type="dxa"/>
            <w:tcBorders>
              <w:top w:val="single" w:sz="15" w:space="0" w:color="000000"/>
              <w:left w:val="single" w:sz="4" w:space="0" w:color="000000"/>
              <w:bottom w:val="single" w:sz="4" w:space="0" w:color="000000"/>
              <w:right w:val="single" w:sz="4" w:space="0" w:color="000000"/>
            </w:tcBorders>
          </w:tcPr>
          <w:p>
            <w:pPr/>
          </w:p>
        </w:tc>
        <w:tc>
          <w:tcPr>
            <w:tcW w:w="1361" w:type="dxa"/>
            <w:tcBorders>
              <w:top w:val="single" w:sz="15" w:space="0" w:color="000000"/>
              <w:left w:val="single" w:sz="4" w:space="0" w:color="000000"/>
              <w:bottom w:val="single" w:sz="4" w:space="0" w:color="000000"/>
              <w:right w:val="single" w:sz="4" w:space="0" w:color="000000"/>
            </w:tcBorders>
          </w:tcPr>
          <w:p>
            <w:pPr/>
          </w:p>
        </w:tc>
        <w:tc>
          <w:tcPr>
            <w:tcW w:w="1421" w:type="dxa"/>
            <w:tcBorders>
              <w:top w:val="single" w:sz="15" w:space="0" w:color="000000"/>
              <w:left w:val="single" w:sz="4" w:space="0" w:color="000000"/>
              <w:bottom w:val="single" w:sz="4" w:space="0" w:color="000000"/>
              <w:right w:val="single" w:sz="4" w:space="0" w:color="000000"/>
            </w:tcBorders>
          </w:tcPr>
          <w:p>
            <w:pPr/>
          </w:p>
        </w:tc>
        <w:tc>
          <w:tcPr>
            <w:tcW w:w="1498"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 w:right="0"/>
              <w:jc w:val="left"/>
              <w:rPr>
                <w:rFonts w:ascii="Times New Roman" w:hAnsi="Times New Roman" w:cs="Times New Roman" w:eastAsia="Times New Roman" w:hint="default"/>
                <w:sz w:val="18"/>
                <w:szCs w:val="18"/>
              </w:rPr>
            </w:pPr>
            <w:r>
              <w:rPr>
                <w:rFonts w:ascii="Times New Roman"/>
                <w:sz w:val="18"/>
              </w:rPr>
              <w:t>1,066,903,353.00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1" w:right="0"/>
              <w:jc w:val="left"/>
              <w:rPr>
                <w:rFonts w:ascii="Times New Roman" w:hAnsi="Times New Roman" w:cs="Times New Roman" w:eastAsia="Times New Roman" w:hint="default"/>
                <w:sz w:val="18"/>
                <w:szCs w:val="18"/>
              </w:rPr>
            </w:pPr>
            <w:r>
              <w:rPr>
                <w:rFonts w:ascii="Times New Roman"/>
                <w:sz w:val="18"/>
              </w:rPr>
              <w:t>1,695,060,742.80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4" w:right="0"/>
              <w:jc w:val="left"/>
              <w:rPr>
                <w:rFonts w:ascii="Times New Roman" w:hAnsi="Times New Roman" w:cs="Times New Roman" w:eastAsia="Times New Roman" w:hint="default"/>
                <w:sz w:val="18"/>
                <w:szCs w:val="18"/>
              </w:rPr>
            </w:pPr>
            <w:r>
              <w:rPr>
                <w:rFonts w:ascii="Times New Roman"/>
                <w:sz w:val="18"/>
              </w:rPr>
              <w:t>125,916,678.51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4" w:right="0"/>
              <w:jc w:val="left"/>
              <w:rPr>
                <w:rFonts w:ascii="Times New Roman" w:hAnsi="Times New Roman" w:cs="Times New Roman" w:eastAsia="Times New Roman" w:hint="default"/>
                <w:sz w:val="18"/>
                <w:szCs w:val="18"/>
              </w:rPr>
            </w:pPr>
            <w:r>
              <w:rPr>
                <w:rFonts w:ascii="Times New Roman"/>
                <w:sz w:val="18"/>
              </w:rPr>
              <w:t>474,412,824.21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4" w:right="0"/>
              <w:jc w:val="left"/>
              <w:rPr>
                <w:rFonts w:ascii="Times New Roman" w:hAnsi="Times New Roman" w:cs="Times New Roman" w:eastAsia="Times New Roman" w:hint="default"/>
                <w:sz w:val="18"/>
                <w:szCs w:val="18"/>
              </w:rPr>
            </w:pPr>
            <w:r>
              <w:rPr>
                <w:rFonts w:ascii="Times New Roman"/>
                <w:sz w:val="18"/>
              </w:rPr>
              <w:t>3,362,293,598.52</w:t>
            </w:r>
          </w:p>
        </w:tc>
      </w:tr>
    </w:tbl>
    <w:p>
      <w:pPr>
        <w:spacing w:before="49"/>
        <w:ind w:left="120" w:right="267"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2364"/>
        <w:gridCol w:w="1507"/>
        <w:gridCol w:w="665"/>
        <w:gridCol w:w="667"/>
        <w:gridCol w:w="665"/>
        <w:gridCol w:w="1495"/>
        <w:gridCol w:w="797"/>
        <w:gridCol w:w="799"/>
        <w:gridCol w:w="797"/>
        <w:gridCol w:w="1361"/>
        <w:gridCol w:w="1361"/>
        <w:gridCol w:w="1498"/>
      </w:tblGrid>
      <w:tr>
        <w:trPr>
          <w:trHeight w:val="398" w:hRule="exact"/>
        </w:trPr>
        <w:tc>
          <w:tcPr>
            <w:tcW w:w="23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1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2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5"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364" w:type="dxa"/>
            <w:vMerge/>
            <w:tcBorders>
              <w:left w:val="single" w:sz="4" w:space="0" w:color="000000"/>
              <w:bottom w:val="nil" w:sz="6" w:space="0" w:color="auto"/>
              <w:right w:val="single" w:sz="4" w:space="0" w:color="000000"/>
            </w:tcBorders>
            <w:shd w:val="clear" w:color="auto" w:fill="D2D2D2"/>
          </w:tcPr>
          <w:p>
            <w:pPr/>
          </w:p>
        </w:tc>
        <w:tc>
          <w:tcPr>
            <w:tcW w:w="15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14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2364" w:type="dxa"/>
            <w:vMerge w:val="restart"/>
            <w:tcBorders>
              <w:top w:val="nil" w:sz="6" w:space="0" w:color="auto"/>
              <w:left w:val="single" w:sz="4" w:space="0" w:color="000000"/>
              <w:right w:val="single" w:sz="4" w:space="0" w:color="000000"/>
            </w:tcBorders>
            <w:shd w:val="clear" w:color="auto" w:fill="D2D2D2"/>
          </w:tcPr>
          <w:p>
            <w:pPr/>
          </w:p>
        </w:tc>
        <w:tc>
          <w:tcPr>
            <w:tcW w:w="1507"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1361" w:type="dxa"/>
            <w:vMerge/>
            <w:tcBorders>
              <w:left w:val="single" w:sz="4" w:space="0" w:color="000000"/>
              <w:bottom w:val="nil" w:sz="6" w:space="0" w:color="auto"/>
              <w:right w:val="single" w:sz="4" w:space="0" w:color="000000"/>
            </w:tcBorders>
            <w:shd w:val="clear" w:color="auto" w:fill="D2D2D2"/>
          </w:tcPr>
          <w:p>
            <w:pPr/>
          </w:p>
        </w:tc>
        <w:tc>
          <w:tcPr>
            <w:tcW w:w="1361" w:type="dxa"/>
            <w:vMerge/>
            <w:tcBorders>
              <w:left w:val="single" w:sz="4" w:space="0" w:color="000000"/>
              <w:bottom w:val="nil" w:sz="6" w:space="0" w:color="auto"/>
              <w:right w:val="single" w:sz="4" w:space="0" w:color="000000"/>
            </w:tcBorders>
            <w:shd w:val="clear" w:color="auto" w:fill="D2D2D2"/>
          </w:tcPr>
          <w:p>
            <w:pPr/>
          </w:p>
        </w:tc>
        <w:tc>
          <w:tcPr>
            <w:tcW w:w="14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364" w:type="dxa"/>
            <w:vMerge/>
            <w:tcBorders>
              <w:left w:val="single" w:sz="4" w:space="0" w:color="000000"/>
              <w:bottom w:val="single" w:sz="4" w:space="0" w:color="000000"/>
              <w:right w:val="single" w:sz="4" w:space="0" w:color="000000"/>
            </w:tcBorders>
            <w:shd w:val="clear" w:color="auto" w:fill="D2D2D2"/>
          </w:tcPr>
          <w:p>
            <w:pPr/>
          </w:p>
        </w:tc>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49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1,066,788,753.00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1,638,668,573.15</w:t>
            </w:r>
          </w:p>
        </w:tc>
        <w:tc>
          <w:tcPr>
            <w:tcW w:w="797" w:type="dxa"/>
            <w:tcBorders>
              <w:top w:val="single" w:sz="18" w:space="0" w:color="D2D2D2"/>
              <w:left w:val="single" w:sz="4" w:space="0" w:color="000000"/>
              <w:bottom w:val="single" w:sz="4" w:space="0" w:color="000000"/>
              <w:right w:val="single" w:sz="4" w:space="0" w:color="000000"/>
            </w:tcBorders>
          </w:tcPr>
          <w:p>
            <w:pPr/>
          </w:p>
        </w:tc>
        <w:tc>
          <w:tcPr>
            <w:tcW w:w="799" w:type="dxa"/>
            <w:tcBorders>
              <w:top w:val="single" w:sz="18" w:space="0" w:color="D2D2D2"/>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104,877,458.46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452,867,157.61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3,263,201,942.22</w:t>
            </w:r>
          </w:p>
        </w:tc>
      </w:tr>
      <w:tr>
        <w:trPr>
          <w:trHeight w:val="403" w:hRule="exact"/>
        </w:trPr>
        <w:tc>
          <w:tcPr>
            <w:tcW w:w="2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07"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07"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7"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1,066,788,753.00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1,638,668,573.15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104,877,458.46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452,867,157.61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3,263,201,942.22</w:t>
            </w:r>
          </w:p>
        </w:tc>
      </w:tr>
      <w:tr>
        <w:trPr>
          <w:trHeight w:val="716" w:hRule="exact"/>
        </w:trPr>
        <w:tc>
          <w:tcPr>
            <w:tcW w:w="2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11"/>
              <w:jc w:val="left"/>
              <w:rPr>
                <w:rFonts w:ascii="宋体" w:hAnsi="宋体" w:cs="宋体" w:eastAsia="宋体" w:hint="default"/>
                <w:sz w:val="18"/>
                <w:szCs w:val="18"/>
              </w:rPr>
            </w:pPr>
            <w:r>
              <w:rPr>
                <w:rFonts w:ascii="宋体" w:hAnsi="宋体" w:cs="宋体" w:eastAsia="宋体" w:hint="default"/>
                <w:spacing w:val="-1"/>
                <w:sz w:val="18"/>
                <w:szCs w:val="18"/>
              </w:rPr>
              <w:t>三、本期增减变动金额（减少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07"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28,816,192.60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21,039,220.05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146,681,430.34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196,536,842.99</w:t>
            </w:r>
          </w:p>
        </w:tc>
      </w:tr>
      <w:tr>
        <w:trPr>
          <w:trHeight w:val="401" w:hRule="exact"/>
        </w:trPr>
        <w:tc>
          <w:tcPr>
            <w:tcW w:w="2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07"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210,392,200.51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210,392,200.51</w:t>
            </w:r>
          </w:p>
        </w:tc>
      </w:tr>
      <w:tr>
        <w:trPr>
          <w:trHeight w:val="403" w:hRule="exact"/>
        </w:trPr>
        <w:tc>
          <w:tcPr>
            <w:tcW w:w="2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507"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28,816,192.60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28,816,192.60</w:t>
            </w:r>
          </w:p>
        </w:tc>
      </w:tr>
      <w:tr>
        <w:trPr>
          <w:trHeight w:val="401" w:hRule="exact"/>
        </w:trPr>
        <w:tc>
          <w:tcPr>
            <w:tcW w:w="2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507"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 资本</w:t>
            </w:r>
          </w:p>
        </w:tc>
        <w:tc>
          <w:tcPr>
            <w:tcW w:w="1507"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1"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 的金额</w:t>
            </w:r>
          </w:p>
        </w:tc>
        <w:tc>
          <w:tcPr>
            <w:tcW w:w="1507"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28,816,192.60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28,816,192.60</w:t>
            </w:r>
          </w:p>
        </w:tc>
      </w:tr>
      <w:tr>
        <w:trPr>
          <w:trHeight w:val="403" w:hRule="exact"/>
        </w:trPr>
        <w:tc>
          <w:tcPr>
            <w:tcW w:w="2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07"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07"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21,039,220.05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-63,710,770.17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-42,671,550.12</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20" w:right="1280"/>
        </w:sectPr>
      </w:pP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388"/>
        <w:gridCol w:w="1495"/>
        <w:gridCol w:w="665"/>
        <w:gridCol w:w="667"/>
        <w:gridCol w:w="665"/>
        <w:gridCol w:w="1495"/>
        <w:gridCol w:w="797"/>
        <w:gridCol w:w="799"/>
        <w:gridCol w:w="797"/>
        <w:gridCol w:w="1361"/>
        <w:gridCol w:w="1361"/>
        <w:gridCol w:w="1498"/>
      </w:tblGrid>
      <w:tr>
        <w:trPr>
          <w:trHeight w:val="418" w:hRule="exact"/>
        </w:trPr>
        <w:tc>
          <w:tcPr>
            <w:tcW w:w="238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95"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667"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495" w:type="dxa"/>
            <w:tcBorders>
              <w:top w:val="single" w:sz="15" w:space="0" w:color="000000"/>
              <w:left w:val="single" w:sz="4" w:space="0" w:color="000000"/>
              <w:bottom w:val="single" w:sz="4" w:space="0" w:color="000000"/>
              <w:right w:val="single" w:sz="4" w:space="0" w:color="000000"/>
            </w:tcBorders>
          </w:tcPr>
          <w:p>
            <w:pPr/>
          </w:p>
        </w:tc>
        <w:tc>
          <w:tcPr>
            <w:tcW w:w="797" w:type="dxa"/>
            <w:tcBorders>
              <w:top w:val="single" w:sz="15" w:space="0" w:color="000000"/>
              <w:left w:val="single" w:sz="4" w:space="0" w:color="000000"/>
              <w:bottom w:val="single" w:sz="4" w:space="0" w:color="000000"/>
              <w:right w:val="single" w:sz="4" w:space="0" w:color="000000"/>
            </w:tcBorders>
          </w:tcPr>
          <w:p>
            <w:pPr/>
          </w:p>
        </w:tc>
        <w:tc>
          <w:tcPr>
            <w:tcW w:w="799" w:type="dxa"/>
            <w:tcBorders>
              <w:top w:val="single" w:sz="15" w:space="0" w:color="000000"/>
              <w:left w:val="single" w:sz="4" w:space="0" w:color="000000"/>
              <w:bottom w:val="single" w:sz="4" w:space="0" w:color="000000"/>
              <w:right w:val="single" w:sz="4" w:space="0" w:color="000000"/>
            </w:tcBorders>
          </w:tcPr>
          <w:p>
            <w:pPr/>
          </w:p>
        </w:tc>
        <w:tc>
          <w:tcPr>
            <w:tcW w:w="797" w:type="dxa"/>
            <w:tcBorders>
              <w:top w:val="single" w:sz="15" w:space="0" w:color="000000"/>
              <w:left w:val="single" w:sz="4" w:space="0" w:color="000000"/>
              <w:bottom w:val="single" w:sz="4" w:space="0" w:color="000000"/>
              <w:right w:val="single" w:sz="4" w:space="0" w:color="000000"/>
            </w:tcBorders>
          </w:tcPr>
          <w:p>
            <w:pPr/>
          </w:p>
        </w:tc>
        <w:tc>
          <w:tcPr>
            <w:tcW w:w="13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21,039,220.05</w:t>
            </w:r>
          </w:p>
        </w:tc>
        <w:tc>
          <w:tcPr>
            <w:tcW w:w="13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-21,039,220.05</w:t>
            </w:r>
          </w:p>
        </w:tc>
        <w:tc>
          <w:tcPr>
            <w:tcW w:w="1498" w:type="dxa"/>
            <w:tcBorders>
              <w:top w:val="single" w:sz="15" w:space="0" w:color="000000"/>
              <w:left w:val="single" w:sz="4" w:space="0" w:color="000000"/>
              <w:bottom w:val="single" w:sz="4" w:space="0" w:color="000000"/>
              <w:right w:val="single" w:sz="4" w:space="0" w:color="000000"/>
            </w:tcBorders>
          </w:tcPr>
          <w:p>
            <w:pP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 配</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-42,671,550.12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-42,671,550.12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 留存收益</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1,066,788,753.00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1,667,484,765.75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125,916,678.51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599,548,587.95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3,459,738,785.21</w:t>
            </w:r>
          </w:p>
        </w:tc>
      </w:tr>
    </w:tbl>
    <w:p>
      <w:pPr>
        <w:spacing w:line="240" w:lineRule="auto" w:before="2"/>
        <w:rPr>
          <w:rFonts w:ascii="宋体" w:hAnsi="宋体" w:cs="宋体" w:eastAsia="宋体" w:hint="default"/>
          <w:sz w:val="20"/>
          <w:szCs w:val="20"/>
        </w:rPr>
      </w:pPr>
    </w:p>
    <w:p>
      <w:pPr>
        <w:tabs>
          <w:tab w:pos="3545" w:val="left" w:leader="none"/>
          <w:tab w:pos="7688" w:val="left" w:leader="none"/>
        </w:tabs>
        <w:spacing w:before="44"/>
        <w:ind w:left="120" w:right="267"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r>
      <w:r>
        <w:rPr>
          <w:rFonts w:ascii="宋体" w:hAnsi="宋体" w:cs="宋体" w:eastAsia="宋体" w:hint="default"/>
          <w:spacing w:val="-1"/>
          <w:sz w:val="18"/>
          <w:szCs w:val="18"/>
        </w:rPr>
        <w:t>主管会计工作负责人：赖德源</w:t>
        <w:tab/>
      </w:r>
      <w:r>
        <w:rPr>
          <w:rFonts w:ascii="宋体" w:hAnsi="宋体" w:cs="宋体" w:eastAsia="宋体" w:hint="default"/>
          <w:sz w:val="18"/>
          <w:szCs w:val="18"/>
        </w:rPr>
        <w:t>会计机构负责人：李天达</w:t>
      </w:r>
    </w:p>
    <w:p>
      <w:pPr>
        <w:spacing w:after="0"/>
        <w:jc w:val="left"/>
        <w:rPr>
          <w:rFonts w:ascii="宋体" w:hAnsi="宋体" w:cs="宋体" w:eastAsia="宋体" w:hint="default"/>
          <w:sz w:val="18"/>
          <w:szCs w:val="18"/>
        </w:rPr>
        <w:sectPr>
          <w:pgSz w:w="16840" w:h="11910" w:orient="landscape"/>
          <w:pgMar w:header="867" w:footer="980" w:top="1060" w:bottom="1160" w:left="1320" w:right="1280"/>
        </w:sectPr>
      </w:pPr>
    </w:p>
    <w:p>
      <w:pPr>
        <w:spacing w:line="240" w:lineRule="auto" w:before="9"/>
        <w:rPr>
          <w:rFonts w:ascii="宋体" w:hAnsi="宋体" w:cs="宋体" w:eastAsia="宋体" w:hint="default"/>
          <w:sz w:val="19"/>
          <w:szCs w:val="19"/>
        </w:rPr>
      </w:pPr>
    </w:p>
    <w:p>
      <w:pPr>
        <w:pStyle w:val="Heading3"/>
        <w:spacing w:line="240" w:lineRule="auto" w:before="26"/>
        <w:ind w:right="1133"/>
        <w:jc w:val="left"/>
        <w:rPr>
          <w:b w:val="0"/>
          <w:bCs w:val="0"/>
        </w:rPr>
      </w:pPr>
      <w:r>
        <w:rPr/>
        <w:t>三、公司基本情况</w:t>
      </w:r>
      <w:r>
        <w:rPr>
          <w:b w:val="0"/>
          <w:bCs w:val="0"/>
        </w:rPr>
      </w:r>
    </w:p>
    <w:p>
      <w:pPr>
        <w:spacing w:line="240" w:lineRule="auto" w:before="3"/>
        <w:rPr>
          <w:rFonts w:ascii="宋体" w:hAnsi="宋体" w:cs="宋体" w:eastAsia="宋体" w:hint="default"/>
          <w:b/>
          <w:bCs/>
          <w:sz w:val="24"/>
          <w:szCs w:val="24"/>
        </w:rPr>
      </w:pPr>
    </w:p>
    <w:p>
      <w:pPr>
        <w:pStyle w:val="Heading6"/>
        <w:spacing w:line="244" w:lineRule="auto"/>
        <w:ind w:right="1131"/>
        <w:jc w:val="both"/>
      </w:pPr>
      <w:r>
        <w:rPr/>
        <w:t>北京中长石基信息技术股份有限公司（以下简称公司或本公司，与子公司合称集团或本集团</w:t>
      </w:r>
      <w:r>
        <w:rPr>
          <w:rFonts w:ascii="Times New Roman" w:hAnsi="Times New Roman" w:cs="Times New Roman" w:eastAsia="Times New Roman" w:hint="default"/>
        </w:rPr>
        <w:t>)</w:t>
      </w:r>
      <w:r>
        <w:rPr/>
        <w:t>是</w:t>
      </w:r>
      <w:r>
        <w:rPr>
          <w:w w:val="100"/>
        </w:rPr>
        <w:t>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月经北京市人民政府经济体制改革办公室</w:t>
      </w:r>
      <w:r>
        <w:rPr>
          <w:rFonts w:ascii="Times New Roman" w:hAnsi="Times New Roman" w:cs="Times New Roman" w:eastAsia="Times New Roman" w:hint="default"/>
        </w:rPr>
        <w:t>“</w:t>
      </w:r>
      <w:r>
        <w:rPr/>
        <w:t>京政体改股函</w:t>
      </w:r>
      <w:r>
        <w:rPr>
          <w:rFonts w:ascii="Times New Roman" w:hAnsi="Times New Roman" w:cs="Times New Roman" w:eastAsia="Times New Roman" w:hint="default"/>
        </w:rPr>
        <w:t>[2001]66</w:t>
      </w:r>
      <w:r>
        <w:rPr/>
        <w:t>号</w:t>
      </w:r>
      <w:r>
        <w:rPr>
          <w:rFonts w:ascii="Times New Roman" w:hAnsi="Times New Roman" w:cs="Times New Roman" w:eastAsia="Times New Roman" w:hint="default"/>
        </w:rPr>
        <w:t>”</w:t>
      </w:r>
      <w:r>
        <w:rPr/>
        <w:t>文批准，由原北京中长</w:t>
      </w:r>
      <w:r>
        <w:rPr>
          <w:spacing w:val="-62"/>
        </w:rPr>
        <w:t> </w:t>
      </w:r>
      <w:r>
        <w:rPr>
          <w:spacing w:val="-62"/>
        </w:rPr>
      </w:r>
      <w:r>
        <w:rPr/>
        <w:t>石基信息技术有限责任公司整体变更而成的股份有限公司。</w:t>
      </w:r>
    </w:p>
    <w:p>
      <w:pPr>
        <w:spacing w:line="240" w:lineRule="auto" w:before="11"/>
        <w:rPr>
          <w:rFonts w:ascii="宋体" w:hAnsi="宋体" w:cs="宋体" w:eastAsia="宋体" w:hint="default"/>
          <w:sz w:val="19"/>
          <w:szCs w:val="19"/>
        </w:rPr>
      </w:pPr>
    </w:p>
    <w:p>
      <w:pPr>
        <w:pStyle w:val="Heading6"/>
        <w:spacing w:line="244" w:lineRule="auto"/>
        <w:ind w:right="1126"/>
        <w:jc w:val="both"/>
      </w:pPr>
      <w:r>
        <w:rPr>
          <w:spacing w:val="-2"/>
        </w:rPr>
        <w:t>本公司前身北京中长石基信息技术有限责任公司系于</w:t>
      </w:r>
      <w:r>
        <w:rPr>
          <w:rFonts w:ascii="Times New Roman" w:hAnsi="Times New Roman" w:cs="Times New Roman" w:eastAsia="Times New Roman" w:hint="default"/>
          <w:spacing w:val="-2"/>
        </w:rPr>
        <w:t>1998</w:t>
      </w:r>
      <w:r>
        <w:rPr>
          <w:spacing w:val="-2"/>
        </w:rPr>
        <w:t>年由李仲初、郭家满投资设立的有限责</w:t>
      </w:r>
      <w:r>
        <w:rPr>
          <w:w w:val="100"/>
        </w:rPr>
        <w:t> </w:t>
      </w:r>
      <w:r>
        <w:rPr/>
        <w:t>任公司，设立时的名称为北京中长石基网络系统工程技术有限公司，注册资本为人民币</w:t>
      </w:r>
      <w:r>
        <w:rPr>
          <w:rFonts w:ascii="Times New Roman" w:hAnsi="Times New Roman" w:cs="Times New Roman" w:eastAsia="Times New Roman" w:hint="default"/>
        </w:rPr>
        <w:t>200</w:t>
      </w:r>
      <w:r>
        <w:rPr/>
        <w:t>万元，其</w:t>
      </w:r>
      <w:r>
        <w:rPr>
          <w:spacing w:val="-40"/>
        </w:rPr>
        <w:t> </w:t>
      </w:r>
      <w:r>
        <w:rPr>
          <w:spacing w:val="-40"/>
        </w:rPr>
      </w:r>
      <w:r>
        <w:rPr>
          <w:spacing w:val="-3"/>
        </w:rPr>
        <w:t>中：李仲初出资</w:t>
      </w:r>
      <w:r>
        <w:rPr>
          <w:rFonts w:ascii="Times New Roman" w:hAnsi="Times New Roman" w:cs="Times New Roman" w:eastAsia="Times New Roman" w:hint="default"/>
          <w:spacing w:val="-3"/>
        </w:rPr>
        <w:t>160</w:t>
      </w:r>
      <w:r>
        <w:rPr>
          <w:spacing w:val="-3"/>
        </w:rPr>
        <w:t>万元，占注册资本的</w:t>
      </w:r>
      <w:r>
        <w:rPr>
          <w:rFonts w:ascii="Times New Roman" w:hAnsi="Times New Roman" w:cs="Times New Roman" w:eastAsia="Times New Roman" w:hint="default"/>
          <w:spacing w:val="-3"/>
        </w:rPr>
        <w:t>80%</w:t>
      </w:r>
      <w:r>
        <w:rPr>
          <w:spacing w:val="-3"/>
        </w:rPr>
        <w:t>；郭家满出资</w:t>
      </w:r>
      <w:r>
        <w:rPr>
          <w:rFonts w:ascii="Times New Roman" w:hAnsi="Times New Roman" w:cs="Times New Roman" w:eastAsia="Times New Roman" w:hint="default"/>
          <w:spacing w:val="-3"/>
        </w:rPr>
        <w:t>40</w:t>
      </w:r>
      <w:r>
        <w:rPr>
          <w:spacing w:val="-3"/>
        </w:rPr>
        <w:t>万元，占注册资本的</w:t>
      </w:r>
      <w:r>
        <w:rPr>
          <w:rFonts w:ascii="Times New Roman" w:hAnsi="Times New Roman" w:cs="Times New Roman" w:eastAsia="Times New Roman" w:hint="default"/>
          <w:spacing w:val="-3"/>
        </w:rPr>
        <w:t>20%</w:t>
      </w:r>
      <w:r>
        <w:rPr>
          <w:spacing w:val="-3"/>
        </w:rPr>
        <w:t>，于</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6</w:t>
      </w:r>
      <w:r>
        <w:rPr>
          <w:rFonts w:ascii="Times New Roman" w:hAnsi="Times New Roman" w:cs="Times New Roman" w:eastAsia="Times New Roman" w:hint="default"/>
          <w:spacing w:val="15"/>
        </w:rPr>
        <w:t> </w:t>
      </w:r>
      <w:r>
        <w:rPr/>
        <w:t>日在北京市工商行政管理局登记注册。</w:t>
      </w:r>
    </w:p>
    <w:p>
      <w:pPr>
        <w:spacing w:line="240" w:lineRule="auto" w:before="11"/>
        <w:rPr>
          <w:rFonts w:ascii="宋体" w:hAnsi="宋体" w:cs="宋体" w:eastAsia="宋体" w:hint="default"/>
          <w:sz w:val="19"/>
          <w:szCs w:val="19"/>
        </w:rPr>
      </w:pPr>
    </w:p>
    <w:p>
      <w:pPr>
        <w:pStyle w:val="Heading6"/>
        <w:spacing w:line="247" w:lineRule="auto"/>
        <w:ind w:right="0"/>
        <w:jc w:val="left"/>
      </w:pP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11</w:t>
      </w:r>
      <w:r>
        <w:rPr>
          <w:spacing w:val="-4"/>
        </w:rPr>
        <w:t>月，经公司</w:t>
      </w:r>
      <w:r>
        <w:rPr>
          <w:rFonts w:ascii="Times New Roman" w:hAnsi="Times New Roman" w:cs="Times New Roman" w:eastAsia="Times New Roman" w:hint="default"/>
          <w:spacing w:val="-4"/>
        </w:rPr>
        <w:t>2000</w:t>
      </w:r>
      <w:r>
        <w:rPr>
          <w:spacing w:val="-4"/>
        </w:rPr>
        <w:t>年度股东会决议，郭家满将其所持有公司</w:t>
      </w:r>
      <w:r>
        <w:rPr>
          <w:rFonts w:ascii="Times New Roman" w:hAnsi="Times New Roman" w:cs="Times New Roman" w:eastAsia="Times New Roman" w:hint="default"/>
          <w:spacing w:val="-4"/>
        </w:rPr>
        <w:t>20%</w:t>
      </w:r>
      <w:r>
        <w:rPr>
          <w:spacing w:val="-4"/>
        </w:rPr>
        <w:t>的股权分别转让给李彩练、</w:t>
      </w:r>
      <w:r>
        <w:rPr>
          <w:w w:val="100"/>
        </w:rPr>
        <w:t> </w:t>
      </w:r>
      <w:r>
        <w:rPr>
          <w:spacing w:val="-2"/>
        </w:rPr>
        <w:t>焦梅荣、郭灵红和李殿坤，同时注册资本增加为</w:t>
      </w:r>
      <w:r>
        <w:rPr>
          <w:rFonts w:ascii="Times New Roman" w:hAnsi="Times New Roman" w:cs="Times New Roman" w:eastAsia="Times New Roman" w:hint="default"/>
          <w:spacing w:val="-2"/>
        </w:rPr>
        <w:t>500</w:t>
      </w:r>
      <w:r>
        <w:rPr>
          <w:spacing w:val="-2"/>
        </w:rPr>
        <w:t>万元，其中：李仲初出资</w:t>
      </w:r>
      <w:r>
        <w:rPr>
          <w:rFonts w:ascii="Times New Roman" w:hAnsi="Times New Roman" w:cs="Times New Roman" w:eastAsia="Times New Roman" w:hint="default"/>
          <w:spacing w:val="-2"/>
        </w:rPr>
        <w:t>400</w:t>
      </w:r>
      <w:r>
        <w:rPr>
          <w:spacing w:val="-2"/>
        </w:rPr>
        <w:t>万元，占注册资本的</w:t>
      </w:r>
      <w:r>
        <w:rPr>
          <w:spacing w:val="-66"/>
        </w:rPr>
        <w:t> </w:t>
      </w:r>
      <w:r>
        <w:rPr>
          <w:spacing w:val="-66"/>
        </w:rPr>
      </w:r>
      <w:r>
        <w:rPr>
          <w:rFonts w:ascii="Times New Roman" w:hAnsi="Times New Roman" w:cs="Times New Roman" w:eastAsia="Times New Roman" w:hint="default"/>
        </w:rPr>
        <w:t>80%</w:t>
      </w:r>
      <w:r>
        <w:rPr/>
        <w:t>；李彩练出资</w:t>
      </w:r>
      <w:r>
        <w:rPr>
          <w:rFonts w:ascii="Times New Roman" w:hAnsi="Times New Roman" w:cs="Times New Roman" w:eastAsia="Times New Roman" w:hint="default"/>
        </w:rPr>
        <w:t>40</w:t>
      </w:r>
      <w:r>
        <w:rPr/>
        <w:t>万元，占注册资本的</w:t>
      </w:r>
      <w:r>
        <w:rPr>
          <w:rFonts w:ascii="Times New Roman" w:hAnsi="Times New Roman" w:cs="Times New Roman" w:eastAsia="Times New Roman" w:hint="default"/>
        </w:rPr>
        <w:t>8%</w:t>
      </w:r>
      <w:r>
        <w:rPr/>
        <w:t>；焦梅荣出资</w:t>
      </w:r>
      <w:r>
        <w:rPr>
          <w:rFonts w:ascii="Times New Roman" w:hAnsi="Times New Roman" w:cs="Times New Roman" w:eastAsia="Times New Roman" w:hint="default"/>
        </w:rPr>
        <w:t>35</w:t>
      </w:r>
      <w:r>
        <w:rPr/>
        <w:t>万元，占注册资本的</w:t>
      </w:r>
      <w:r>
        <w:rPr>
          <w:rFonts w:ascii="Times New Roman" w:hAnsi="Times New Roman" w:cs="Times New Roman" w:eastAsia="Times New Roman" w:hint="default"/>
        </w:rPr>
        <w:t>7%</w:t>
      </w:r>
      <w:r>
        <w:rPr/>
        <w:t>；郭灵红出资</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万元，占注册资本的</w:t>
      </w:r>
      <w:r>
        <w:rPr>
          <w:rFonts w:ascii="Times New Roman" w:hAnsi="Times New Roman" w:cs="Times New Roman" w:eastAsia="Times New Roman" w:hint="default"/>
        </w:rPr>
        <w:t>3%</w:t>
      </w:r>
      <w:r>
        <w:rPr/>
        <w:t>；李殿坤出资</w:t>
      </w:r>
      <w:r>
        <w:rPr>
          <w:rFonts w:ascii="Times New Roman" w:hAnsi="Times New Roman" w:cs="Times New Roman" w:eastAsia="Times New Roman" w:hint="default"/>
        </w:rPr>
        <w:t>10</w:t>
      </w:r>
      <w:r>
        <w:rPr/>
        <w:t>万元，占注册资本的</w:t>
      </w:r>
      <w:r>
        <w:rPr>
          <w:rFonts w:ascii="Times New Roman" w:hAnsi="Times New Roman" w:cs="Times New Roman" w:eastAsia="Times New Roman" w:hint="default"/>
        </w:rPr>
        <w:t>2%</w:t>
      </w:r>
      <w:r>
        <w:rPr/>
        <w:t>。</w:t>
      </w:r>
    </w:p>
    <w:p>
      <w:pPr>
        <w:spacing w:line="240" w:lineRule="auto" w:before="5"/>
        <w:rPr>
          <w:rFonts w:ascii="宋体" w:hAnsi="宋体" w:cs="宋体" w:eastAsia="宋体" w:hint="default"/>
          <w:sz w:val="18"/>
          <w:szCs w:val="18"/>
        </w:rPr>
      </w:pPr>
    </w:p>
    <w:p>
      <w:pPr>
        <w:pStyle w:val="Heading6"/>
        <w:spacing w:line="244" w:lineRule="auto"/>
        <w:ind w:right="0"/>
        <w:jc w:val="left"/>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月，经公司</w:t>
      </w:r>
      <w:r>
        <w:rPr>
          <w:rFonts w:ascii="Times New Roman" w:hAnsi="Times New Roman" w:cs="Times New Roman" w:eastAsia="Times New Roman" w:hint="default"/>
        </w:rPr>
        <w:t>2001</w:t>
      </w:r>
      <w:r>
        <w:rPr/>
        <w:t>年度第一次临时股东大会决议，公司更名为北京中长石基信息技术有限</w:t>
      </w:r>
      <w:r>
        <w:rPr>
          <w:w w:val="100"/>
        </w:rPr>
        <w:t> </w:t>
      </w:r>
      <w:r>
        <w:rPr>
          <w:spacing w:val="-4"/>
        </w:rPr>
        <w:t>公司，同时引进新股东长春燃气股份有限公司，公司注册资本增加为 </w:t>
      </w:r>
      <w:r>
        <w:rPr>
          <w:rFonts w:ascii="Times New Roman" w:hAnsi="Times New Roman" w:cs="Times New Roman" w:eastAsia="Times New Roman" w:hint="default"/>
          <w:spacing w:val="-5"/>
        </w:rPr>
        <w:t>625</w:t>
      </w:r>
      <w:r>
        <w:rPr>
          <w:spacing w:val="-5"/>
        </w:rPr>
        <w:t>万元，其中：李仲初出资</w:t>
      </w:r>
      <w:r>
        <w:rPr>
          <w:rFonts w:ascii="Times New Roman" w:hAnsi="Times New Roman" w:cs="Times New Roman" w:eastAsia="Times New Roman" w:hint="default"/>
          <w:spacing w:val="-5"/>
        </w:rPr>
        <w:t>400 </w:t>
      </w:r>
      <w:r>
        <w:rPr>
          <w:spacing w:val="-5"/>
        </w:rPr>
        <w:t>万元，占注册资本的</w:t>
      </w:r>
      <w:r>
        <w:rPr>
          <w:rFonts w:ascii="Times New Roman" w:hAnsi="Times New Roman" w:cs="Times New Roman" w:eastAsia="Times New Roman" w:hint="default"/>
          <w:spacing w:val="-5"/>
        </w:rPr>
        <w:t>64%</w:t>
      </w:r>
      <w:r>
        <w:rPr>
          <w:spacing w:val="-5"/>
        </w:rPr>
        <w:t>；长春燃气股份有限公司出资</w:t>
      </w:r>
      <w:r>
        <w:rPr>
          <w:rFonts w:ascii="Times New Roman" w:hAnsi="Times New Roman" w:cs="Times New Roman" w:eastAsia="Times New Roman" w:hint="default"/>
          <w:spacing w:val="-5"/>
        </w:rPr>
        <w:t>125</w:t>
      </w:r>
      <w:r>
        <w:rPr>
          <w:spacing w:val="-5"/>
        </w:rPr>
        <w:t>万元，占注册资本</w:t>
      </w:r>
      <w:r>
        <w:rPr>
          <w:rFonts w:ascii="Times New Roman" w:hAnsi="Times New Roman" w:cs="Times New Roman" w:eastAsia="Times New Roman" w:hint="default"/>
          <w:spacing w:val="-5"/>
        </w:rPr>
        <w:t>20%</w:t>
      </w:r>
      <w:r>
        <w:rPr>
          <w:spacing w:val="-5"/>
        </w:rPr>
        <w:t>；李彩练出资</w:t>
      </w:r>
      <w:r>
        <w:rPr>
          <w:rFonts w:ascii="Times New Roman" w:hAnsi="Times New Roman" w:cs="Times New Roman" w:eastAsia="Times New Roman" w:hint="default"/>
          <w:spacing w:val="-5"/>
        </w:rPr>
        <w:t>40</w:t>
      </w:r>
      <w:r>
        <w:rPr>
          <w:spacing w:val="-5"/>
        </w:rPr>
        <w:t>万元，</w:t>
      </w:r>
      <w:r>
        <w:rPr>
          <w:spacing w:val="-57"/>
        </w:rPr>
        <w:t> </w:t>
      </w:r>
      <w:r>
        <w:rPr>
          <w:spacing w:val="-57"/>
        </w:rPr>
      </w:r>
      <w:r>
        <w:rPr>
          <w:spacing w:val="-5"/>
        </w:rPr>
        <w:t>占注册资本的</w:t>
      </w:r>
      <w:r>
        <w:rPr>
          <w:rFonts w:ascii="Times New Roman" w:hAnsi="Times New Roman" w:cs="Times New Roman" w:eastAsia="Times New Roman" w:hint="default"/>
          <w:spacing w:val="-5"/>
        </w:rPr>
        <w:t>6.4%</w:t>
      </w:r>
      <w:r>
        <w:rPr>
          <w:spacing w:val="-5"/>
        </w:rPr>
        <w:t>；焦梅荣出资</w:t>
      </w:r>
      <w:r>
        <w:rPr>
          <w:rFonts w:ascii="Times New Roman" w:hAnsi="Times New Roman" w:cs="Times New Roman" w:eastAsia="Times New Roman" w:hint="default"/>
          <w:spacing w:val="-5"/>
        </w:rPr>
        <w:t>35</w:t>
      </w:r>
      <w:r>
        <w:rPr>
          <w:spacing w:val="-5"/>
        </w:rPr>
        <w:t>万元，占注册资本的</w:t>
      </w:r>
      <w:r>
        <w:rPr>
          <w:rFonts w:ascii="Times New Roman" w:hAnsi="Times New Roman" w:cs="Times New Roman" w:eastAsia="Times New Roman" w:hint="default"/>
          <w:spacing w:val="-5"/>
        </w:rPr>
        <w:t>5.6%</w:t>
      </w:r>
      <w:r>
        <w:rPr>
          <w:spacing w:val="-5"/>
        </w:rPr>
        <w:t>；郭灵红出资</w:t>
      </w:r>
      <w:r>
        <w:rPr>
          <w:rFonts w:ascii="Times New Roman" w:hAnsi="Times New Roman" w:cs="Times New Roman" w:eastAsia="Times New Roman" w:hint="default"/>
          <w:spacing w:val="-5"/>
        </w:rPr>
        <w:t>15</w:t>
      </w:r>
      <w:r>
        <w:rPr>
          <w:spacing w:val="-5"/>
        </w:rPr>
        <w:t>万元，占注册资本的</w:t>
      </w:r>
      <w:r>
        <w:rPr>
          <w:rFonts w:ascii="Times New Roman" w:hAnsi="Times New Roman" w:cs="Times New Roman" w:eastAsia="Times New Roman" w:hint="default"/>
          <w:spacing w:val="-5"/>
        </w:rPr>
        <w:t>2.4%</w:t>
      </w:r>
      <w:r>
        <w:rPr>
          <w:spacing w:val="-5"/>
        </w:rPr>
        <w:t>；</w:t>
      </w:r>
      <w:r>
        <w:rPr>
          <w:spacing w:val="-63"/>
        </w:rPr>
        <w:t> </w:t>
      </w:r>
      <w:r>
        <w:rPr/>
        <w:t>李殿坤出资</w:t>
      </w:r>
      <w:r>
        <w:rPr>
          <w:rFonts w:ascii="Times New Roman" w:hAnsi="Times New Roman" w:cs="Times New Roman" w:eastAsia="Times New Roman" w:hint="default"/>
        </w:rPr>
        <w:t>10</w:t>
      </w:r>
      <w:r>
        <w:rPr>
          <w:rFonts w:ascii="Times New Roman" w:hAnsi="Times New Roman" w:cs="Times New Roman" w:eastAsia="Times New Roman" w:hint="default"/>
          <w:spacing w:val="30"/>
        </w:rPr>
        <w:t> </w:t>
      </w:r>
      <w:r>
        <w:rPr/>
        <w:t>万元，占注册资本的</w:t>
      </w:r>
      <w:r>
        <w:rPr>
          <w:rFonts w:ascii="Times New Roman" w:hAnsi="Times New Roman" w:cs="Times New Roman" w:eastAsia="Times New Roman" w:hint="default"/>
        </w:rPr>
        <w:t>1.6%</w:t>
      </w:r>
      <w:r>
        <w:rPr/>
        <w:t>。</w:t>
      </w:r>
    </w:p>
    <w:p>
      <w:pPr>
        <w:spacing w:line="240" w:lineRule="auto" w:before="7"/>
        <w:rPr>
          <w:rFonts w:ascii="宋体" w:hAnsi="宋体" w:cs="宋体" w:eastAsia="宋体" w:hint="default"/>
          <w:sz w:val="18"/>
          <w:szCs w:val="18"/>
        </w:rPr>
      </w:pPr>
    </w:p>
    <w:p>
      <w:pPr>
        <w:pStyle w:val="Heading6"/>
        <w:spacing w:line="244" w:lineRule="auto"/>
        <w:ind w:right="1129"/>
        <w:jc w:val="left"/>
      </w:pP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8</w:t>
      </w:r>
      <w:r>
        <w:rPr>
          <w:spacing w:val="-2"/>
        </w:rPr>
        <w:t>月，经公司</w:t>
      </w:r>
      <w:r>
        <w:rPr>
          <w:rFonts w:ascii="Times New Roman" w:hAnsi="Times New Roman" w:cs="Times New Roman" w:eastAsia="Times New Roman" w:hint="default"/>
          <w:spacing w:val="-2"/>
        </w:rPr>
        <w:t>2001</w:t>
      </w:r>
      <w:r>
        <w:rPr>
          <w:spacing w:val="-2"/>
        </w:rPr>
        <w:t>年度第二次临时股东大会决议，李彩练将其所持有公司</w:t>
      </w:r>
      <w:r>
        <w:rPr>
          <w:spacing w:val="11"/>
        </w:rPr>
        <w:t> </w:t>
      </w:r>
      <w:r>
        <w:rPr>
          <w:rFonts w:ascii="Times New Roman" w:hAnsi="Times New Roman" w:cs="Times New Roman" w:eastAsia="Times New Roman" w:hint="default"/>
          <w:spacing w:val="-1"/>
        </w:rPr>
        <w:t>6.4%</w:t>
      </w:r>
      <w:r>
        <w:rPr>
          <w:spacing w:val="-1"/>
        </w:rPr>
        <w:t>的股权全部</w:t>
      </w:r>
      <w:r>
        <w:rPr>
          <w:w w:val="100"/>
        </w:rPr>
        <w:t> </w:t>
      </w:r>
      <w:r>
        <w:rPr/>
        <w:t>转让给北京业勤投资顾问有限公司，郭灵红将其所持有公司</w:t>
      </w:r>
      <w:r>
        <w:rPr>
          <w:rFonts w:ascii="Times New Roman" w:hAnsi="Times New Roman" w:cs="Times New Roman" w:eastAsia="Times New Roman" w:hint="default"/>
        </w:rPr>
        <w:t>2.4%</w:t>
      </w:r>
      <w:r>
        <w:rPr/>
        <w:t>的股权全部转让给陈国强。</w:t>
      </w:r>
    </w:p>
    <w:p>
      <w:pPr>
        <w:spacing w:line="240" w:lineRule="auto" w:before="7"/>
        <w:rPr>
          <w:rFonts w:ascii="宋体" w:hAnsi="宋体" w:cs="宋体" w:eastAsia="宋体" w:hint="default"/>
          <w:sz w:val="18"/>
          <w:szCs w:val="18"/>
        </w:rPr>
      </w:pPr>
    </w:p>
    <w:p>
      <w:pPr>
        <w:pStyle w:val="Heading6"/>
        <w:spacing w:line="244" w:lineRule="auto"/>
        <w:ind w:right="1128"/>
        <w:jc w:val="both"/>
      </w:pP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12</w:t>
      </w:r>
      <w:r>
        <w:rPr>
          <w:spacing w:val="-2"/>
        </w:rPr>
        <w:t>月，经公司</w:t>
      </w:r>
      <w:r>
        <w:rPr>
          <w:rFonts w:ascii="Times New Roman" w:hAnsi="Times New Roman" w:cs="Times New Roman" w:eastAsia="Times New Roman" w:hint="default"/>
          <w:spacing w:val="-2"/>
        </w:rPr>
        <w:t>2001</w:t>
      </w:r>
      <w:r>
        <w:rPr>
          <w:spacing w:val="-2"/>
        </w:rPr>
        <w:t>年度第四次临时股东大会决议，并经北京市人民政府经济体制改革办公</w:t>
      </w:r>
      <w:r>
        <w:rPr>
          <w:w w:val="100"/>
        </w:rPr>
        <w:t> </w:t>
      </w:r>
      <w:r>
        <w:rPr>
          <w:spacing w:val="-1"/>
        </w:rPr>
        <w:t>室</w:t>
      </w:r>
      <w:r>
        <w:rPr>
          <w:rFonts w:ascii="Times New Roman" w:hAnsi="Times New Roman" w:cs="Times New Roman" w:eastAsia="Times New Roman" w:hint="default"/>
          <w:spacing w:val="-1"/>
        </w:rPr>
        <w:t>“</w:t>
      </w:r>
      <w:r>
        <w:rPr>
          <w:spacing w:val="-1"/>
        </w:rPr>
        <w:t>京政体改股函</w:t>
      </w:r>
      <w:r>
        <w:rPr>
          <w:rFonts w:ascii="Times New Roman" w:hAnsi="Times New Roman" w:cs="Times New Roman" w:eastAsia="Times New Roman" w:hint="default"/>
          <w:spacing w:val="-1"/>
        </w:rPr>
        <w:t>[2001]66</w:t>
      </w:r>
      <w:r>
        <w:rPr>
          <w:rFonts w:ascii="Times New Roman" w:hAnsi="Times New Roman" w:cs="Times New Roman" w:eastAsia="Times New Roman" w:hint="default"/>
        </w:rPr>
        <w:t> </w:t>
      </w:r>
      <w:r>
        <w:rPr>
          <w:spacing w:val="-2"/>
        </w:rPr>
        <w:t>号</w:t>
      </w:r>
      <w:r>
        <w:rPr>
          <w:rFonts w:ascii="Times New Roman" w:hAnsi="Times New Roman" w:cs="Times New Roman" w:eastAsia="Times New Roman" w:hint="default"/>
          <w:spacing w:val="-2"/>
        </w:rPr>
        <w:t>”</w:t>
      </w:r>
      <w:r>
        <w:rPr>
          <w:spacing w:val="-2"/>
        </w:rPr>
        <w:t>文批准，公司由有限责任公司整体变更为股份有限公司，以</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10</w:t>
      </w:r>
      <w:r>
        <w:rPr>
          <w:spacing w:val="-2"/>
        </w:rPr>
        <w:t>月</w:t>
      </w:r>
      <w:r>
        <w:rPr>
          <w:spacing w:val="-84"/>
        </w:rPr>
        <w:t> </w:t>
      </w:r>
      <w:r>
        <w:rPr>
          <w:rFonts w:ascii="Times New Roman" w:hAnsi="Times New Roman" w:cs="Times New Roman" w:eastAsia="Times New Roman" w:hint="default"/>
        </w:rPr>
        <w:t>31</w:t>
      </w:r>
      <w:r>
        <w:rPr/>
        <w:t>日经审计后净资产，按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的折股比率，原有股东持股比例不变，折为股本</w:t>
      </w:r>
      <w:r>
        <w:rPr>
          <w:rFonts w:ascii="Times New Roman" w:hAnsi="Times New Roman" w:cs="Times New Roman" w:eastAsia="Times New Roman" w:hint="default"/>
        </w:rPr>
        <w:t>3,300.00</w:t>
      </w:r>
      <w:r>
        <w:rPr/>
        <w:t>万股。其中：</w:t>
      </w:r>
      <w:r>
        <w:rPr>
          <w:spacing w:val="-44"/>
        </w:rPr>
        <w:t> </w:t>
      </w:r>
      <w:r>
        <w:rPr>
          <w:spacing w:val="-44"/>
        </w:rPr>
      </w:r>
      <w:r>
        <w:rPr/>
        <w:t>李仲初</w:t>
      </w:r>
      <w:r>
        <w:rPr>
          <w:rFonts w:ascii="Times New Roman" w:hAnsi="Times New Roman" w:cs="Times New Roman" w:eastAsia="Times New Roman" w:hint="default"/>
        </w:rPr>
        <w:t>2,112</w:t>
      </w:r>
      <w:r>
        <w:rPr>
          <w:rFonts w:ascii="Times New Roman" w:hAnsi="Times New Roman" w:cs="Times New Roman" w:eastAsia="Times New Roman" w:hint="default"/>
          <w:spacing w:val="24"/>
        </w:rPr>
        <w:t> </w:t>
      </w:r>
      <w:r>
        <w:rPr/>
        <w:t>万股，占总股本的</w:t>
      </w:r>
      <w:r>
        <w:rPr>
          <w:rFonts w:ascii="Times New Roman" w:hAnsi="Times New Roman" w:cs="Times New Roman" w:eastAsia="Times New Roman" w:hint="default"/>
        </w:rPr>
        <w:t>64%</w:t>
      </w:r>
      <w:r>
        <w:rPr/>
        <w:t>；长春燃气股份有限公司</w:t>
      </w:r>
      <w:r>
        <w:rPr>
          <w:rFonts w:ascii="Times New Roman" w:hAnsi="Times New Roman" w:cs="Times New Roman" w:eastAsia="Times New Roman" w:hint="default"/>
        </w:rPr>
        <w:t>660</w:t>
      </w:r>
      <w:r>
        <w:rPr/>
        <w:t>万股，占总股本的</w:t>
      </w:r>
      <w:r>
        <w:rPr>
          <w:rFonts w:ascii="Times New Roman" w:hAnsi="Times New Roman" w:cs="Times New Roman" w:eastAsia="Times New Roman" w:hint="default"/>
        </w:rPr>
        <w:t>20%</w:t>
      </w:r>
      <w:r>
        <w:rPr/>
        <w:t>；北京业勤投</w:t>
      </w:r>
      <w:r>
        <w:rPr>
          <w:w w:val="100"/>
        </w:rPr>
        <w:t> </w:t>
      </w:r>
      <w:r>
        <w:rPr/>
        <w:t>资顾问有限公司</w:t>
      </w:r>
      <w:r>
        <w:rPr>
          <w:rFonts w:ascii="Times New Roman" w:hAnsi="Times New Roman" w:cs="Times New Roman" w:eastAsia="Times New Roman" w:hint="default"/>
        </w:rPr>
        <w:t>211.20 </w:t>
      </w:r>
      <w:r>
        <w:rPr/>
        <w:t>万股，占总股本的</w:t>
      </w:r>
      <w:r>
        <w:rPr>
          <w:rFonts w:ascii="Times New Roman" w:hAnsi="Times New Roman" w:cs="Times New Roman" w:eastAsia="Times New Roman" w:hint="default"/>
        </w:rPr>
        <w:t>6.4%</w:t>
      </w:r>
      <w:r>
        <w:rPr/>
        <w:t>；焦梅荣</w:t>
      </w:r>
      <w:r>
        <w:rPr>
          <w:rFonts w:ascii="Times New Roman" w:hAnsi="Times New Roman" w:cs="Times New Roman" w:eastAsia="Times New Roman" w:hint="default"/>
        </w:rPr>
        <w:t>184.80</w:t>
      </w:r>
      <w:r>
        <w:rPr/>
        <w:t>万股，占总股本的</w:t>
      </w:r>
      <w:r>
        <w:rPr>
          <w:rFonts w:ascii="Times New Roman" w:hAnsi="Times New Roman" w:cs="Times New Roman" w:eastAsia="Times New Roman" w:hint="default"/>
        </w:rPr>
        <w:t>5.6%</w:t>
      </w:r>
      <w:r>
        <w:rPr/>
        <w:t>；陈国强</w:t>
      </w:r>
      <w:r>
        <w:rPr>
          <w:rFonts w:ascii="Times New Roman" w:hAnsi="Times New Roman" w:cs="Times New Roman" w:eastAsia="Times New Roman" w:hint="default"/>
        </w:rPr>
        <w:t>79.20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万股，占总股本的</w:t>
      </w:r>
      <w:r>
        <w:rPr>
          <w:rFonts w:ascii="Times New Roman" w:hAnsi="Times New Roman" w:cs="Times New Roman" w:eastAsia="Times New Roman" w:hint="default"/>
        </w:rPr>
        <w:t>2.4%</w:t>
      </w:r>
      <w:r>
        <w:rPr/>
        <w:t>；李殿坤</w:t>
      </w:r>
      <w:r>
        <w:rPr>
          <w:rFonts w:ascii="Times New Roman" w:hAnsi="Times New Roman" w:cs="Times New Roman" w:eastAsia="Times New Roman" w:hint="default"/>
        </w:rPr>
        <w:t>52.80</w:t>
      </w:r>
      <w:r>
        <w:rPr/>
        <w:t>万股，占总股本的</w:t>
      </w:r>
      <w:r>
        <w:rPr>
          <w:rFonts w:ascii="Times New Roman" w:hAnsi="Times New Roman" w:cs="Times New Roman" w:eastAsia="Times New Roman" w:hint="default"/>
        </w:rPr>
        <w:t>1.6%</w:t>
      </w:r>
      <w:r>
        <w:rPr/>
        <w:t>。</w:t>
      </w:r>
    </w:p>
    <w:p>
      <w:pPr>
        <w:spacing w:line="240" w:lineRule="auto" w:before="7"/>
        <w:rPr>
          <w:rFonts w:ascii="宋体" w:hAnsi="宋体" w:cs="宋体" w:eastAsia="宋体" w:hint="default"/>
          <w:sz w:val="18"/>
          <w:szCs w:val="18"/>
        </w:rPr>
      </w:pPr>
    </w:p>
    <w:p>
      <w:pPr>
        <w:pStyle w:val="Heading6"/>
        <w:spacing w:line="244" w:lineRule="auto"/>
        <w:ind w:right="1128"/>
        <w:jc w:val="right"/>
      </w:pP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6</w:t>
      </w:r>
      <w:r>
        <w:rPr>
          <w:spacing w:val="-2"/>
        </w:rPr>
        <w:t>月，经公司</w:t>
      </w:r>
      <w:r>
        <w:rPr>
          <w:rFonts w:ascii="Times New Roman" w:hAnsi="Times New Roman" w:cs="Times New Roman" w:eastAsia="Times New Roman" w:hint="default"/>
          <w:spacing w:val="-2"/>
        </w:rPr>
        <w:t>2003</w:t>
      </w:r>
      <w:r>
        <w:rPr>
          <w:spacing w:val="-2"/>
        </w:rPr>
        <w:t>年度股东大会决议，以</w:t>
      </w:r>
      <w:r>
        <w:rPr>
          <w:rFonts w:ascii="Times New Roman" w:hAnsi="Times New Roman" w:cs="Times New Roman" w:eastAsia="Times New Roman" w:hint="default"/>
          <w:spacing w:val="-2"/>
        </w:rPr>
        <w:t>2003</w:t>
      </w:r>
      <w:r>
        <w:rPr>
          <w:spacing w:val="-2"/>
        </w:rPr>
        <w:t>年末未分配利润中的</w:t>
      </w:r>
      <w:r>
        <w:rPr>
          <w:rFonts w:ascii="Times New Roman" w:hAnsi="Times New Roman" w:cs="Times New Roman" w:eastAsia="Times New Roman" w:hint="default"/>
          <w:spacing w:val="-2"/>
        </w:rPr>
        <w:t>900</w:t>
      </w:r>
      <w:r>
        <w:rPr>
          <w:spacing w:val="-2"/>
        </w:rPr>
        <w:t>万元转增股本，转增</w:t>
      </w:r>
      <w:r>
        <w:rPr>
          <w:w w:val="100"/>
        </w:rPr>
        <w:t> </w:t>
      </w:r>
      <w:r>
        <w:rPr>
          <w:spacing w:val="-5"/>
        </w:rPr>
        <w:t>后公司总股本增至</w:t>
      </w:r>
      <w:r>
        <w:rPr>
          <w:rFonts w:ascii="Times New Roman" w:hAnsi="Times New Roman" w:cs="Times New Roman" w:eastAsia="Times New Roman" w:hint="default"/>
          <w:spacing w:val="-5"/>
        </w:rPr>
        <w:t>4,200</w:t>
      </w:r>
      <w:r>
        <w:rPr>
          <w:spacing w:val="-5"/>
        </w:rPr>
        <w:t>万元，其中：李仲初</w:t>
      </w:r>
      <w:r>
        <w:rPr>
          <w:rFonts w:ascii="Times New Roman" w:hAnsi="Times New Roman" w:cs="Times New Roman" w:eastAsia="Times New Roman" w:hint="default"/>
          <w:spacing w:val="-5"/>
        </w:rPr>
        <w:t>2,688 </w:t>
      </w:r>
      <w:r>
        <w:rPr>
          <w:spacing w:val="-7"/>
        </w:rPr>
        <w:t>万股，占总股本的</w:t>
      </w:r>
      <w:r>
        <w:rPr>
          <w:spacing w:val="35"/>
        </w:rPr>
        <w:t> </w:t>
      </w:r>
      <w:r>
        <w:rPr>
          <w:rFonts w:ascii="Times New Roman" w:hAnsi="Times New Roman" w:cs="Times New Roman" w:eastAsia="Times New Roman" w:hint="default"/>
          <w:spacing w:val="-4"/>
        </w:rPr>
        <w:t>64%</w:t>
      </w:r>
      <w:r>
        <w:rPr>
          <w:spacing w:val="-4"/>
        </w:rPr>
        <w:t>；长春燃气股份有限公司</w:t>
      </w:r>
      <w:r>
        <w:rPr>
          <w:rFonts w:ascii="Times New Roman" w:hAnsi="Times New Roman" w:cs="Times New Roman" w:eastAsia="Times New Roman" w:hint="default"/>
          <w:spacing w:val="-4"/>
        </w:rPr>
        <w:t>840</w:t>
      </w:r>
      <w:r>
        <w:rPr>
          <w:rFonts w:ascii="Times New Roman" w:hAnsi="Times New Roman" w:cs="Times New Roman" w:eastAsia="Times New Roman" w:hint="default"/>
          <w:w w:val="100"/>
        </w:rPr>
        <w:t> </w:t>
      </w:r>
      <w:r>
        <w:rPr/>
        <w:t>万股，占总股本的</w:t>
      </w:r>
      <w:r>
        <w:rPr>
          <w:rFonts w:ascii="Times New Roman" w:hAnsi="Times New Roman" w:cs="Times New Roman" w:eastAsia="Times New Roman" w:hint="default"/>
        </w:rPr>
        <w:t>20%</w:t>
      </w:r>
      <w:r>
        <w:rPr/>
        <w:t>；北京业勤投资顾问有限公司</w:t>
      </w:r>
      <w:r>
        <w:rPr>
          <w:spacing w:val="-30"/>
        </w:rPr>
        <w:t> </w:t>
      </w:r>
      <w:r>
        <w:rPr>
          <w:rFonts w:ascii="Times New Roman" w:hAnsi="Times New Roman" w:cs="Times New Roman" w:eastAsia="Times New Roman" w:hint="default"/>
        </w:rPr>
        <w:t>268.80</w:t>
      </w:r>
      <w:r>
        <w:rPr/>
        <w:t>万股，占总股本的</w:t>
      </w:r>
      <w:r>
        <w:rPr>
          <w:rFonts w:ascii="Times New Roman" w:hAnsi="Times New Roman" w:cs="Times New Roman" w:eastAsia="Times New Roman" w:hint="default"/>
        </w:rPr>
        <w:t>6.4%</w:t>
      </w:r>
      <w:r>
        <w:rPr/>
        <w:t>；焦梅荣</w:t>
      </w:r>
      <w:r>
        <w:rPr>
          <w:rFonts w:ascii="Times New Roman" w:hAnsi="Times New Roman" w:cs="Times New Roman" w:eastAsia="Times New Roman" w:hint="default"/>
        </w:rPr>
        <w:t>235.20</w:t>
      </w:r>
      <w:r>
        <w:rPr/>
        <w:t>万</w:t>
      </w:r>
      <w:r>
        <w:rPr>
          <w:w w:val="100"/>
        </w:rPr>
        <w:t> </w:t>
      </w:r>
      <w:r>
        <w:rPr/>
        <w:t>股，占总股本的</w:t>
      </w:r>
      <w:r>
        <w:rPr>
          <w:rFonts w:ascii="Times New Roman" w:hAnsi="Times New Roman" w:cs="Times New Roman" w:eastAsia="Times New Roman" w:hint="default"/>
        </w:rPr>
        <w:t>5.6%</w:t>
      </w:r>
      <w:r>
        <w:rPr/>
        <w:t>；陈国强</w:t>
      </w:r>
      <w:r>
        <w:rPr>
          <w:rFonts w:ascii="Times New Roman" w:hAnsi="Times New Roman" w:cs="Times New Roman" w:eastAsia="Times New Roman" w:hint="default"/>
        </w:rPr>
        <w:t>100.80</w:t>
      </w:r>
      <w:r>
        <w:rPr>
          <w:rFonts w:ascii="Times New Roman" w:hAnsi="Times New Roman" w:cs="Times New Roman" w:eastAsia="Times New Roman" w:hint="default"/>
          <w:spacing w:val="24"/>
        </w:rPr>
        <w:t> </w:t>
      </w:r>
      <w:r>
        <w:rPr/>
        <w:t>万股，占总股本的</w:t>
      </w:r>
      <w:r>
        <w:rPr>
          <w:rFonts w:ascii="Times New Roman" w:hAnsi="Times New Roman" w:cs="Times New Roman" w:eastAsia="Times New Roman" w:hint="default"/>
        </w:rPr>
        <w:t>2.4%</w:t>
      </w:r>
      <w:r>
        <w:rPr/>
        <w:t>；李殿坤</w:t>
      </w:r>
      <w:r>
        <w:rPr>
          <w:rFonts w:ascii="Times New Roman" w:hAnsi="Times New Roman" w:cs="Times New Roman" w:eastAsia="Times New Roman" w:hint="default"/>
        </w:rPr>
        <w:t>67.20</w:t>
      </w:r>
      <w:r>
        <w:rPr/>
        <w:t>万股，占总股本的</w:t>
      </w:r>
      <w:r>
        <w:rPr>
          <w:rFonts w:ascii="Times New Roman" w:hAnsi="Times New Roman" w:cs="Times New Roman" w:eastAsia="Times New Roman" w:hint="default"/>
        </w:rPr>
        <w:t>1.6%</w:t>
      </w:r>
      <w:r>
        <w:rPr/>
        <w:t>。</w:t>
      </w:r>
    </w:p>
    <w:p>
      <w:pPr>
        <w:spacing w:line="240" w:lineRule="auto" w:before="7"/>
        <w:rPr>
          <w:rFonts w:ascii="宋体" w:hAnsi="宋体" w:cs="宋体" w:eastAsia="宋体" w:hint="default"/>
          <w:sz w:val="18"/>
          <w:szCs w:val="18"/>
        </w:rPr>
      </w:pPr>
    </w:p>
    <w:p>
      <w:pPr>
        <w:pStyle w:val="Heading6"/>
        <w:spacing w:line="244" w:lineRule="auto"/>
        <w:ind w:right="1133"/>
        <w:jc w:val="left"/>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w:t>
      </w:r>
      <w:r>
        <w:rPr/>
        <w:t>月，经公司股东大会决议，长春燃气股份有限公司将其所持有公司</w:t>
      </w:r>
      <w:r>
        <w:rPr>
          <w:rFonts w:ascii="Times New Roman" w:hAnsi="Times New Roman" w:cs="Times New Roman" w:eastAsia="Times New Roman" w:hint="default"/>
        </w:rPr>
        <w:t>20</w:t>
      </w:r>
      <w:r>
        <w:rPr/>
        <w:t>％的股权全部转让</w:t>
      </w:r>
      <w:r>
        <w:rPr>
          <w:w w:val="100"/>
        </w:rPr>
        <w:t> </w:t>
      </w:r>
      <w:r>
        <w:rPr/>
        <w:t>给李仲初。</w:t>
      </w:r>
    </w:p>
    <w:p>
      <w:pPr>
        <w:spacing w:line="240" w:lineRule="auto" w:before="12"/>
        <w:rPr>
          <w:rFonts w:ascii="宋体" w:hAnsi="宋体" w:cs="宋体" w:eastAsia="宋体" w:hint="default"/>
          <w:sz w:val="19"/>
          <w:szCs w:val="19"/>
        </w:rPr>
      </w:pPr>
    </w:p>
    <w:p>
      <w:pPr>
        <w:pStyle w:val="Heading6"/>
        <w:spacing w:line="244" w:lineRule="auto"/>
        <w:ind w:right="0"/>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月，经中国证券监督管理委员会证监发行字</w:t>
      </w:r>
      <w:r>
        <w:rPr>
          <w:rFonts w:ascii="Times New Roman" w:hAnsi="Times New Roman" w:cs="Times New Roman" w:eastAsia="Times New Roman" w:hint="default"/>
        </w:rPr>
        <w:t>[2007]189</w:t>
      </w:r>
      <w:r>
        <w:rPr/>
        <w:t>号文核准，同意公司向社会公开发</w:t>
      </w:r>
      <w:r>
        <w:rPr>
          <w:w w:val="100"/>
        </w:rPr>
        <w:t> </w:t>
      </w:r>
      <w:r>
        <w:rPr/>
        <w:t>行人民币普通股股票</w:t>
      </w:r>
      <w:r>
        <w:rPr>
          <w:rFonts w:ascii="Times New Roman" w:hAnsi="Times New Roman" w:cs="Times New Roman" w:eastAsia="Times New Roman" w:hint="default"/>
        </w:rPr>
        <w:t>1,400.00</w:t>
      </w:r>
      <w:r>
        <w:rPr/>
        <w:t>万股，变更后公司的注册资本为</w:t>
      </w:r>
      <w:r>
        <w:rPr>
          <w:spacing w:val="-34"/>
        </w:rPr>
        <w:t> </w:t>
      </w:r>
      <w:r>
        <w:rPr>
          <w:rFonts w:ascii="Times New Roman" w:hAnsi="Times New Roman" w:cs="Times New Roman" w:eastAsia="Times New Roman" w:hint="default"/>
        </w:rPr>
        <w:t>5,600.00</w:t>
      </w:r>
      <w:r>
        <w:rPr/>
        <w:t>万元，其中：李仲初</w:t>
      </w:r>
      <w:r>
        <w:rPr>
          <w:rFonts w:ascii="Times New Roman" w:hAnsi="Times New Roman" w:cs="Times New Roman" w:eastAsia="Times New Roman" w:hint="default"/>
        </w:rPr>
        <w:t>3,528.00</w:t>
      </w:r>
      <w:r>
        <w:rPr/>
        <w:t>万</w:t>
      </w:r>
      <w:r>
        <w:rPr>
          <w:w w:val="100"/>
        </w:rPr>
        <w:t> </w:t>
      </w:r>
      <w:r>
        <w:rPr/>
        <w:t>股，占总股本的</w:t>
      </w:r>
      <w:r>
        <w:rPr>
          <w:rFonts w:ascii="Times New Roman" w:hAnsi="Times New Roman" w:cs="Times New Roman" w:eastAsia="Times New Roman" w:hint="default"/>
        </w:rPr>
        <w:t>63.00%</w:t>
      </w:r>
      <w:r>
        <w:rPr/>
        <w:t>；北京业勤投资顾问有限公司</w:t>
      </w:r>
      <w:r>
        <w:rPr>
          <w:rFonts w:ascii="Times New Roman" w:hAnsi="Times New Roman" w:cs="Times New Roman" w:eastAsia="Times New Roman" w:hint="default"/>
        </w:rPr>
        <w:t>268.80</w:t>
      </w:r>
      <w:r>
        <w:rPr/>
        <w:t>万股，占总股本的</w:t>
      </w:r>
      <w:r>
        <w:rPr>
          <w:rFonts w:ascii="Times New Roman" w:hAnsi="Times New Roman" w:cs="Times New Roman" w:eastAsia="Times New Roman" w:hint="default"/>
        </w:rPr>
        <w:t>4.80%</w:t>
      </w:r>
      <w:r>
        <w:rPr/>
        <w:t>；焦梅荣</w:t>
      </w:r>
      <w:r>
        <w:rPr>
          <w:rFonts w:ascii="Times New Roman" w:hAnsi="Times New Roman" w:cs="Times New Roman" w:eastAsia="Times New Roman" w:hint="default"/>
        </w:rPr>
        <w:t>235.20</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spacing w:val="-6"/>
        </w:rPr>
        <w:t>万股，占总股本的</w:t>
      </w:r>
      <w:r>
        <w:rPr>
          <w:rFonts w:ascii="Times New Roman" w:hAnsi="Times New Roman" w:cs="Times New Roman" w:eastAsia="Times New Roman" w:hint="default"/>
          <w:spacing w:val="-6"/>
        </w:rPr>
        <w:t>4.20%</w:t>
      </w:r>
      <w:r>
        <w:rPr>
          <w:spacing w:val="-6"/>
        </w:rPr>
        <w:t>；陈国强</w:t>
      </w:r>
      <w:r>
        <w:rPr>
          <w:rFonts w:ascii="Times New Roman" w:hAnsi="Times New Roman" w:cs="Times New Roman" w:eastAsia="Times New Roman" w:hint="default"/>
          <w:spacing w:val="-6"/>
        </w:rPr>
        <w:t>100.80</w:t>
      </w:r>
      <w:r>
        <w:rPr>
          <w:spacing w:val="-6"/>
        </w:rPr>
        <w:t>万股，占总股本的</w:t>
      </w:r>
      <w:r>
        <w:rPr>
          <w:rFonts w:ascii="Times New Roman" w:hAnsi="Times New Roman" w:cs="Times New Roman" w:eastAsia="Times New Roman" w:hint="default"/>
          <w:spacing w:val="-6"/>
        </w:rPr>
        <w:t>1.80%</w:t>
      </w:r>
      <w:r>
        <w:rPr>
          <w:spacing w:val="-6"/>
        </w:rPr>
        <w:t>；李殿坤</w:t>
      </w:r>
      <w:r>
        <w:rPr>
          <w:rFonts w:ascii="Times New Roman" w:hAnsi="Times New Roman" w:cs="Times New Roman" w:eastAsia="Times New Roman" w:hint="default"/>
          <w:spacing w:val="-6"/>
        </w:rPr>
        <w:t>67.20</w:t>
      </w:r>
      <w:r>
        <w:rPr>
          <w:spacing w:val="-6"/>
        </w:rPr>
        <w:t>万股</w:t>
      </w:r>
      <w:r>
        <w:rPr>
          <w:rFonts w:ascii="Times New Roman" w:hAnsi="Times New Roman" w:cs="Times New Roman" w:eastAsia="Times New Roman" w:hint="default"/>
          <w:spacing w:val="-6"/>
        </w:rPr>
        <w:t>,</w:t>
      </w:r>
      <w:r>
        <w:rPr>
          <w:spacing w:val="-6"/>
        </w:rPr>
        <w:t>，占总股本的</w:t>
      </w:r>
      <w:r>
        <w:rPr>
          <w:rFonts w:ascii="Times New Roman" w:hAnsi="Times New Roman" w:cs="Times New Roman" w:eastAsia="Times New Roman" w:hint="default"/>
          <w:spacing w:val="-6"/>
        </w:rPr>
        <w:t>1.2%</w:t>
      </w:r>
      <w:r>
        <w:rPr>
          <w:spacing w:val="-6"/>
        </w:rPr>
        <w:t>；</w:t>
      </w:r>
      <w:r>
        <w:rPr>
          <w:spacing w:val="-25"/>
        </w:rPr>
        <w:t> </w:t>
      </w:r>
      <w:r>
        <w:rPr/>
        <w:t>社会公众股</w:t>
      </w:r>
      <w:r>
        <w:rPr>
          <w:rFonts w:ascii="Times New Roman" w:hAnsi="Times New Roman" w:cs="Times New Roman" w:eastAsia="Times New Roman" w:hint="default"/>
        </w:rPr>
        <w:t>1,400.00</w:t>
      </w:r>
      <w:r>
        <w:rPr/>
        <w:t>万股，占总股本的</w:t>
      </w:r>
      <w:r>
        <w:rPr>
          <w:rFonts w:ascii="Times New Roman" w:hAnsi="Times New Roman" w:cs="Times New Roman" w:eastAsia="Times New Roman" w:hint="default"/>
        </w:rPr>
        <w:t>25.00%</w:t>
      </w:r>
      <w:r>
        <w:rPr/>
        <w:t>。</w:t>
      </w:r>
    </w:p>
    <w:p>
      <w:pPr>
        <w:spacing w:after="0" w:line="244" w:lineRule="auto"/>
        <w:jc w:val="left"/>
        <w:sectPr>
          <w:headerReference w:type="default" r:id="rId43"/>
          <w:footerReference w:type="default" r:id="rId44"/>
          <w:pgSz w:w="11910" w:h="16840"/>
          <w:pgMar w:header="877" w:footer="980" w:top="1100" w:bottom="1160" w:left="980" w:right="0"/>
          <w:pgNumType w:start="124"/>
        </w:sectPr>
      </w:pPr>
    </w:p>
    <w:p>
      <w:pPr>
        <w:spacing w:line="240" w:lineRule="auto" w:before="5"/>
        <w:rPr>
          <w:rFonts w:ascii="宋体" w:hAnsi="宋体" w:cs="宋体" w:eastAsia="宋体" w:hint="default"/>
          <w:sz w:val="20"/>
          <w:szCs w:val="20"/>
        </w:rPr>
      </w:pPr>
    </w:p>
    <w:p>
      <w:pPr>
        <w:pStyle w:val="Heading6"/>
        <w:spacing w:line="247" w:lineRule="auto" w:before="32"/>
        <w:ind w:right="0"/>
        <w:jc w:val="left"/>
      </w:pP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5</w:t>
      </w:r>
      <w:r>
        <w:rPr>
          <w:spacing w:val="-4"/>
        </w:rPr>
        <w:t>月，根据公司股东会决议和修改后章程的规定，由资本公积转增股本人民币</w:t>
      </w:r>
      <w:r>
        <w:rPr>
          <w:rFonts w:ascii="Times New Roman" w:hAnsi="Times New Roman" w:cs="Times New Roman" w:eastAsia="Times New Roman" w:hint="default"/>
          <w:spacing w:val="-4"/>
        </w:rPr>
        <w:t>5,600.00</w:t>
      </w:r>
      <w:r>
        <w:rPr>
          <w:spacing w:val="-4"/>
        </w:rPr>
        <w:t>万元，</w:t>
      </w:r>
      <w:r>
        <w:rPr>
          <w:w w:val="100"/>
        </w:rPr>
        <w:t> </w:t>
      </w:r>
      <w:r>
        <w:rPr/>
        <w:t>变更后的公司注册资本为人民币普通股</w:t>
      </w:r>
      <w:r>
        <w:rPr>
          <w:rFonts w:ascii="Times New Roman" w:hAnsi="Times New Roman" w:cs="Times New Roman" w:eastAsia="Times New Roman" w:hint="default"/>
        </w:rPr>
        <w:t>11,200.00</w:t>
      </w:r>
      <w:r>
        <w:rPr/>
        <w:t>万元，公司于</w:t>
      </w:r>
      <w:r>
        <w:rPr>
          <w:rFonts w:ascii="Times New Roman" w:hAnsi="Times New Roman" w:cs="Times New Roman" w:eastAsia="Times New Roman" w:hint="default"/>
        </w:rPr>
        <w:t>2008</w:t>
      </w:r>
      <w:r>
        <w:rPr>
          <w:rFonts w:ascii="Times New Roman" w:hAnsi="Times New Roman" w:cs="Times New Roman" w:eastAsia="Times New Roman" w:hint="default"/>
          <w:spacing w:val="24"/>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日完成了工商变更登记。</w:t>
      </w:r>
    </w:p>
    <w:p>
      <w:pPr>
        <w:spacing w:line="240" w:lineRule="auto" w:before="5"/>
        <w:rPr>
          <w:rFonts w:ascii="宋体" w:hAnsi="宋体" w:cs="宋体" w:eastAsia="宋体" w:hint="default"/>
          <w:sz w:val="18"/>
          <w:szCs w:val="18"/>
        </w:rPr>
      </w:pPr>
    </w:p>
    <w:p>
      <w:pPr>
        <w:pStyle w:val="Heading6"/>
        <w:spacing w:line="244" w:lineRule="auto"/>
        <w:ind w:right="1128"/>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月，根据公司股东会决议和修改后章程的规定，由资本公积转增股本人民币</w:t>
      </w:r>
      <w:r>
        <w:rPr>
          <w:rFonts w:ascii="Times New Roman" w:hAnsi="Times New Roman" w:cs="Times New Roman" w:eastAsia="Times New Roman" w:hint="default"/>
        </w:rPr>
        <w:t>11,200.00</w:t>
      </w:r>
      <w:r>
        <w:rPr/>
        <w:t>万</w:t>
      </w:r>
      <w:r>
        <w:rPr>
          <w:w w:val="100"/>
        </w:rPr>
        <w:t> </w:t>
      </w:r>
      <w:r>
        <w:rPr/>
        <w:t>元，变更后的公司注册资本为人民币普通股</w:t>
      </w:r>
      <w:r>
        <w:rPr>
          <w:rFonts w:ascii="Times New Roman" w:hAnsi="Times New Roman" w:cs="Times New Roman" w:eastAsia="Times New Roman" w:hint="default"/>
        </w:rPr>
        <w:t>22,400.00</w:t>
      </w:r>
      <w:r>
        <w:rPr/>
        <w:t>万元，公司于</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日完成了工商变更登</w:t>
      </w:r>
      <w:r>
        <w:rPr>
          <w:spacing w:val="-103"/>
        </w:rPr>
        <w:t> </w:t>
      </w:r>
      <w:r>
        <w:rPr>
          <w:spacing w:val="-103"/>
        </w:rPr>
      </w:r>
      <w:r>
        <w:rPr/>
        <w:t>记。</w:t>
      </w:r>
    </w:p>
    <w:p>
      <w:pPr>
        <w:spacing w:line="240" w:lineRule="auto" w:before="11"/>
        <w:rPr>
          <w:rFonts w:ascii="宋体" w:hAnsi="宋体" w:cs="宋体" w:eastAsia="宋体" w:hint="default"/>
          <w:sz w:val="19"/>
          <w:szCs w:val="19"/>
        </w:rPr>
      </w:pPr>
    </w:p>
    <w:p>
      <w:pPr>
        <w:pStyle w:val="Heading6"/>
        <w:spacing w:line="244" w:lineRule="auto"/>
        <w:ind w:right="0"/>
        <w:jc w:val="left"/>
      </w:pP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4</w:t>
      </w:r>
      <w:r>
        <w:rPr>
          <w:spacing w:val="-4"/>
        </w:rPr>
        <w:t>月，根据公司股东会决议和修改后章程的规定，由资本公积转增股本人民币</w:t>
      </w:r>
      <w:r>
        <w:rPr>
          <w:rFonts w:ascii="Times New Roman" w:hAnsi="Times New Roman" w:cs="Times New Roman" w:eastAsia="Times New Roman" w:hint="default"/>
          <w:spacing w:val="-4"/>
        </w:rPr>
        <w:t>8,512.00</w:t>
      </w:r>
      <w:r>
        <w:rPr>
          <w:spacing w:val="-4"/>
        </w:rPr>
        <w:t>万元，</w:t>
      </w:r>
      <w:r>
        <w:rPr>
          <w:w w:val="100"/>
        </w:rPr>
        <w:t> </w:t>
      </w:r>
      <w:r>
        <w:rPr/>
        <w:t>变更后的公司注册资本为人民币普通股</w:t>
      </w:r>
      <w:r>
        <w:rPr>
          <w:rFonts w:ascii="Times New Roman" w:hAnsi="Times New Roman" w:cs="Times New Roman" w:eastAsia="Times New Roman" w:hint="default"/>
        </w:rPr>
        <w:t>30,912.00</w:t>
      </w:r>
      <w:r>
        <w:rPr/>
        <w:t>万元，公司于</w:t>
      </w:r>
      <w:r>
        <w:rPr>
          <w:rFonts w:ascii="Times New Roman" w:hAnsi="Times New Roman" w:cs="Times New Roman" w:eastAsia="Times New Roman" w:hint="default"/>
        </w:rPr>
        <w:t>2011</w:t>
      </w:r>
      <w:r>
        <w:rPr>
          <w:rFonts w:ascii="Times New Roman" w:hAnsi="Times New Roman" w:cs="Times New Roman" w:eastAsia="Times New Roman" w:hint="default"/>
          <w:spacing w:val="24"/>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日完成了工商变更登记。</w:t>
      </w:r>
    </w:p>
    <w:p>
      <w:pPr>
        <w:spacing w:line="240" w:lineRule="auto" w:before="7"/>
        <w:rPr>
          <w:rFonts w:ascii="宋体" w:hAnsi="宋体" w:cs="宋体" w:eastAsia="宋体" w:hint="default"/>
          <w:sz w:val="18"/>
          <w:szCs w:val="18"/>
        </w:rPr>
      </w:pPr>
    </w:p>
    <w:p>
      <w:pPr>
        <w:pStyle w:val="Heading6"/>
        <w:spacing w:line="244" w:lineRule="auto"/>
        <w:ind w:right="1128"/>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月，根据公司股东会决议，公司向淘宝（中国）软件有限公司非公开发行人民币普通股</w:t>
      </w:r>
      <w:r>
        <w:rPr>
          <w:w w:val="100"/>
        </w:rPr>
        <w:t> </w:t>
      </w:r>
      <w:r>
        <w:rPr/>
        <w:t>共计</w:t>
      </w:r>
      <w:r>
        <w:rPr>
          <w:rFonts w:ascii="Times New Roman" w:hAnsi="Times New Roman" w:cs="Times New Roman" w:eastAsia="Times New Roman" w:hint="default"/>
        </w:rPr>
        <w:t>46,476,251</w:t>
      </w:r>
      <w:r>
        <w:rPr/>
        <w:t>股，实际募集资金净额</w:t>
      </w:r>
      <w:r>
        <w:rPr>
          <w:rFonts w:ascii="Times New Roman" w:hAnsi="Times New Roman" w:cs="Times New Roman" w:eastAsia="Times New Roman" w:hint="default"/>
        </w:rPr>
        <w:t>237,217.24</w:t>
      </w:r>
      <w:r>
        <w:rPr/>
        <w:t>万元，其中</w:t>
      </w:r>
      <w:r>
        <w:rPr>
          <w:rFonts w:ascii="Times New Roman" w:hAnsi="Times New Roman" w:cs="Times New Roman" w:eastAsia="Times New Roman" w:hint="default"/>
        </w:rPr>
        <w:t>4,647.63</w:t>
      </w:r>
      <w:r>
        <w:rPr/>
        <w:t>万元计入股本，剩余部分计入资</w:t>
      </w:r>
      <w:r>
        <w:rPr>
          <w:spacing w:val="-49"/>
        </w:rPr>
        <w:t> </w:t>
      </w:r>
      <w:r>
        <w:rPr>
          <w:spacing w:val="-49"/>
        </w:rPr>
      </w:r>
      <w:r>
        <w:rPr/>
        <w:t>本公积，变更后的公司注册资本为人民币普通股</w:t>
      </w:r>
      <w:r>
        <w:rPr>
          <w:rFonts w:ascii="Times New Roman" w:hAnsi="Times New Roman" w:cs="Times New Roman" w:eastAsia="Times New Roman" w:hint="default"/>
        </w:rPr>
        <w:t>35,559.63</w:t>
      </w:r>
      <w:r>
        <w:rPr/>
        <w:t>万元，本次发行新增股份已于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spacing w:val="-2"/>
        </w:rPr>
        <w:t>日在中国证券登记结算有限责任公司深圳分公司办理完毕登记托管相关事宜，并于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日上</w:t>
      </w:r>
      <w:r>
        <w:rPr>
          <w:spacing w:val="-64"/>
        </w:rPr>
        <w:t> </w:t>
      </w:r>
      <w:r>
        <w:rPr/>
        <w:t>市交易。</w:t>
      </w:r>
    </w:p>
    <w:p>
      <w:pPr>
        <w:spacing w:line="240" w:lineRule="auto" w:before="11"/>
        <w:rPr>
          <w:rFonts w:ascii="宋体" w:hAnsi="宋体" w:cs="宋体" w:eastAsia="宋体" w:hint="default"/>
          <w:sz w:val="19"/>
          <w:szCs w:val="19"/>
        </w:rPr>
      </w:pPr>
    </w:p>
    <w:p>
      <w:pPr>
        <w:pStyle w:val="Heading6"/>
        <w:spacing w:line="244" w:lineRule="auto"/>
        <w:ind w:right="1128"/>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月根据公司股东大会决议及修改后章程的规定，由资本公积转增股本人民币</w:t>
      </w:r>
      <w:r>
        <w:rPr>
          <w:rFonts w:ascii="Times New Roman" w:hAnsi="Times New Roman" w:cs="Times New Roman" w:eastAsia="Times New Roman" w:hint="default"/>
        </w:rPr>
        <w:t>71,119.00</w:t>
      </w:r>
      <w:r>
        <w:rPr/>
        <w:t>万</w:t>
      </w:r>
      <w:r>
        <w:rPr>
          <w:w w:val="100"/>
        </w:rPr>
        <w:t> </w:t>
      </w:r>
      <w:r>
        <w:rPr/>
        <w:t>元，变更后公司注册资本为</w:t>
      </w:r>
      <w:r>
        <w:rPr>
          <w:rFonts w:ascii="Times New Roman" w:hAnsi="Times New Roman" w:cs="Times New Roman" w:eastAsia="Times New Roman" w:hint="default"/>
        </w:rPr>
        <w:t>106,678.88</w:t>
      </w:r>
      <w:r>
        <w:rPr/>
        <w:t>万元，公司于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日完成了工商变更登记。</w:t>
      </w:r>
    </w:p>
    <w:p>
      <w:pPr>
        <w:spacing w:line="240" w:lineRule="auto" w:before="7"/>
        <w:rPr>
          <w:rFonts w:ascii="宋体" w:hAnsi="宋体" w:cs="宋体" w:eastAsia="宋体" w:hint="default"/>
          <w:sz w:val="18"/>
          <w:szCs w:val="18"/>
        </w:rPr>
      </w:pPr>
    </w:p>
    <w:p>
      <w:pPr>
        <w:pStyle w:val="Heading6"/>
        <w:spacing w:line="249" w:lineRule="auto"/>
        <w:ind w:right="1128"/>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日，根据公司第六届董事会</w:t>
      </w:r>
      <w:r>
        <w:rPr>
          <w:rFonts w:ascii="Times New Roman" w:hAnsi="Times New Roman" w:cs="Times New Roman" w:eastAsia="Times New Roman" w:hint="default"/>
          <w:spacing w:val="-2"/>
        </w:rPr>
        <w:t>2018</w:t>
      </w:r>
      <w:r>
        <w:rPr>
          <w:spacing w:val="-2"/>
        </w:rPr>
        <w:t>年第六次临时会议审议通过《关于公司</w:t>
      </w:r>
      <w:r>
        <w:rPr>
          <w:rFonts w:ascii="Times New Roman" w:hAnsi="Times New Roman" w:cs="Times New Roman" w:eastAsia="Times New Roman" w:hint="default"/>
          <w:spacing w:val="-2"/>
        </w:rPr>
        <w:t>2016</w:t>
      </w:r>
      <w:r>
        <w:rPr>
          <w:spacing w:val="-2"/>
        </w:rPr>
        <w:t>年股票</w:t>
      </w:r>
      <w:r>
        <w:rPr>
          <w:w w:val="100"/>
        </w:rPr>
        <w:t> </w:t>
      </w:r>
      <w:r>
        <w:rPr>
          <w:spacing w:val="-2"/>
        </w:rPr>
        <w:t>期权激励计划首次授予股票期权第一个行权期可行权的议案》以及《关于公司</w:t>
      </w:r>
      <w:r>
        <w:rPr>
          <w:rFonts w:ascii="Times New Roman" w:hAnsi="Times New Roman" w:cs="Times New Roman" w:eastAsia="Times New Roman" w:hint="default"/>
          <w:spacing w:val="-2"/>
        </w:rPr>
        <w:t>2016</w:t>
      </w:r>
      <w:r>
        <w:rPr>
          <w:spacing w:val="-2"/>
        </w:rPr>
        <w:t>年股票期权激励计</w:t>
      </w:r>
      <w:r>
        <w:rPr>
          <w:spacing w:val="-68"/>
        </w:rPr>
        <w:t> </w:t>
      </w:r>
      <w:r>
        <w:rPr>
          <w:spacing w:val="-68"/>
        </w:rPr>
      </w:r>
      <w:r>
        <w:rPr>
          <w:spacing w:val="-2"/>
        </w:rPr>
        <w:t>划首次授予股票期权采用自主行权模式的议案》。根据中国证券登记结算有限责任公司深圳分公司的</w:t>
      </w:r>
      <w:r>
        <w:rPr>
          <w:spacing w:val="-73"/>
        </w:rPr>
        <w:t> </w:t>
      </w:r>
      <w:r>
        <w:rPr>
          <w:spacing w:val="-73"/>
        </w:rPr>
      </w:r>
      <w:r>
        <w:rPr/>
        <w:t>行权结算明细，截至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日，员工共计行权</w:t>
      </w:r>
      <w:r>
        <w:rPr>
          <w:rFonts w:ascii="Times New Roman" w:hAnsi="Times New Roman" w:cs="Times New Roman" w:eastAsia="Times New Roman" w:hint="default"/>
        </w:rPr>
        <w:t>114,600</w:t>
      </w:r>
      <w:r>
        <w:rPr/>
        <w:t>股，使股本增加</w:t>
      </w:r>
      <w:r>
        <w:rPr>
          <w:rFonts w:ascii="Times New Roman" w:hAnsi="Times New Roman" w:cs="Times New Roman" w:eastAsia="Times New Roman" w:hint="default"/>
        </w:rPr>
        <w:t>11.46</w:t>
      </w:r>
      <w:r>
        <w:rPr/>
        <w:t>万元。</w:t>
      </w:r>
    </w:p>
    <w:p>
      <w:pPr>
        <w:spacing w:line="240" w:lineRule="auto" w:before="2"/>
        <w:rPr>
          <w:rFonts w:ascii="宋体" w:hAnsi="宋体" w:cs="宋体" w:eastAsia="宋体" w:hint="default"/>
          <w:sz w:val="18"/>
          <w:szCs w:val="18"/>
        </w:rPr>
      </w:pPr>
    </w:p>
    <w:p>
      <w:pPr>
        <w:pStyle w:val="Heading6"/>
        <w:spacing w:line="259" w:lineRule="auto"/>
        <w:ind w:right="1131"/>
        <w:jc w:val="both"/>
      </w:pPr>
      <w:r>
        <w:rPr>
          <w:spacing w:val="-2"/>
        </w:rPr>
        <w:t>本公司属软件服务行业，主要从事酒店、零售、餐饮软件的开发以及相关产品的销售等。公司经</w:t>
      </w:r>
      <w:r>
        <w:rPr>
          <w:w w:val="100"/>
        </w:rPr>
        <w:t> </w:t>
      </w:r>
      <w:r>
        <w:rPr>
          <w:spacing w:val="-2"/>
        </w:rPr>
        <w:t>营范围主要为：技术开发、技术咨询、技术转让、技术服务、技术培训；销售开发后的产品、计算机</w:t>
      </w:r>
      <w:r>
        <w:rPr>
          <w:spacing w:val="-70"/>
        </w:rPr>
        <w:t> </w:t>
      </w:r>
      <w:r>
        <w:rPr>
          <w:spacing w:val="-70"/>
        </w:rPr>
      </w:r>
      <w:r>
        <w:rPr>
          <w:spacing w:val="-2"/>
        </w:rPr>
        <w:t>及外围设备；提供信息源服务；网络技术服务；电子商务（未取得专项审批的项目除外）；安装计算</w:t>
      </w:r>
      <w:r>
        <w:rPr>
          <w:spacing w:val="-74"/>
        </w:rPr>
        <w:t> </w:t>
      </w:r>
      <w:r>
        <w:rPr>
          <w:spacing w:val="-74"/>
        </w:rPr>
      </w:r>
      <w:r>
        <w:rPr>
          <w:spacing w:val="-2"/>
        </w:rPr>
        <w:t>机；货物进出口、技术进出口、代理进出口。（企业依法自主选择经营项目，开展经营活动；依法须</w:t>
      </w:r>
      <w:r>
        <w:rPr>
          <w:spacing w:val="-75"/>
        </w:rPr>
        <w:t> </w:t>
      </w:r>
      <w:r>
        <w:rPr>
          <w:spacing w:val="-75"/>
        </w:rPr>
      </w:r>
      <w:r>
        <w:rPr>
          <w:spacing w:val="-2"/>
        </w:rPr>
        <w:t>经批准的项目，经相关部门批准后依批准的内容开展经营活动；不得从事本市产业政策禁止和限制类</w:t>
      </w:r>
      <w:r>
        <w:rPr>
          <w:spacing w:val="-70"/>
        </w:rPr>
        <w:t> </w:t>
      </w:r>
      <w:r>
        <w:rPr>
          <w:spacing w:val="-70"/>
        </w:rPr>
      </w:r>
      <w:r>
        <w:rPr/>
        <w:t>项目的经营活动。）</w:t>
      </w:r>
    </w:p>
    <w:p>
      <w:pPr>
        <w:spacing w:line="240" w:lineRule="auto" w:before="11"/>
        <w:rPr>
          <w:rFonts w:ascii="宋体" w:hAnsi="宋体" w:cs="宋体" w:eastAsia="宋体" w:hint="default"/>
          <w:sz w:val="18"/>
          <w:szCs w:val="18"/>
        </w:rPr>
      </w:pPr>
    </w:p>
    <w:p>
      <w:pPr>
        <w:pStyle w:val="Heading6"/>
        <w:spacing w:line="244" w:lineRule="auto"/>
        <w:ind w:right="1018"/>
        <w:jc w:val="left"/>
      </w:pPr>
      <w:r>
        <w:rPr/>
        <w:t>本集团合并财务报表范围包括</w:t>
      </w:r>
      <w:r>
        <w:rPr>
          <w:rFonts w:ascii="Times New Roman" w:hAnsi="Times New Roman" w:cs="Times New Roman" w:eastAsia="Times New Roman" w:hint="default"/>
        </w:rPr>
        <w:t>78</w:t>
      </w:r>
      <w:r>
        <w:rPr/>
        <w:t>家子公司，其中二级子公司</w:t>
      </w:r>
      <w:r>
        <w:rPr>
          <w:rFonts w:ascii="Times New Roman" w:hAnsi="Times New Roman" w:cs="Times New Roman" w:eastAsia="Times New Roman" w:hint="default"/>
        </w:rPr>
        <w:t>13</w:t>
      </w:r>
      <w:r>
        <w:rPr/>
        <w:t>家、三级子公司</w:t>
      </w:r>
      <w:r>
        <w:rPr>
          <w:rFonts w:ascii="Times New Roman" w:hAnsi="Times New Roman" w:cs="Times New Roman" w:eastAsia="Times New Roman" w:hint="default"/>
        </w:rPr>
        <w:t>23</w:t>
      </w:r>
      <w:r>
        <w:rPr/>
        <w:t>家、四级子公司</w:t>
      </w:r>
      <w:r>
        <w:rPr>
          <w:w w:val="100"/>
        </w:rPr>
        <w:t> </w:t>
      </w:r>
      <w:r>
        <w:rPr>
          <w:rFonts w:ascii="Times New Roman" w:hAnsi="Times New Roman" w:cs="Times New Roman" w:eastAsia="Times New Roman" w:hint="default"/>
        </w:rPr>
        <w:t>33</w:t>
      </w:r>
      <w:r>
        <w:rPr/>
        <w:t>家、五级子公司</w:t>
      </w:r>
      <w:r>
        <w:rPr>
          <w:rFonts w:ascii="Times New Roman" w:hAnsi="Times New Roman" w:cs="Times New Roman" w:eastAsia="Times New Roman" w:hint="default"/>
        </w:rPr>
        <w:t>8</w:t>
      </w:r>
      <w:r>
        <w:rPr/>
        <w:t>家，六级子公司</w:t>
      </w:r>
      <w:r>
        <w:rPr>
          <w:rFonts w:ascii="Times New Roman" w:hAnsi="Times New Roman" w:cs="Times New Roman" w:eastAsia="Times New Roman" w:hint="default"/>
        </w:rPr>
        <w:t>1</w:t>
      </w:r>
      <w:r>
        <w:rPr/>
        <w:t>家。与上年相比，本年因非同一控制下企业合并增加北京宝库在</w:t>
      </w:r>
      <w:r>
        <w:rPr>
          <w:w w:val="100"/>
        </w:rPr>
        <w:t> </w:t>
      </w:r>
      <w:r>
        <w:rPr>
          <w:spacing w:val="12"/>
        </w:rPr>
        <w:t>线技</w:t>
      </w:r>
      <w:r>
        <w:rPr>
          <w:spacing w:val="-80"/>
        </w:rPr>
        <w:t> </w:t>
      </w:r>
      <w:r>
        <w:rPr>
          <w:spacing w:val="18"/>
        </w:rPr>
        <w:t>术有限公</w:t>
      </w:r>
      <w:r>
        <w:rPr>
          <w:spacing w:val="-80"/>
        </w:rPr>
        <w:t> </w:t>
      </w:r>
      <w:r>
        <w:rPr>
          <w:spacing w:val="12"/>
        </w:rPr>
        <w:t>司、</w:t>
      </w:r>
      <w:r>
        <w:rPr>
          <w:spacing w:val="-82"/>
        </w:rPr>
        <w:t> </w:t>
      </w:r>
      <w:r>
        <w:rPr>
          <w:spacing w:val="16"/>
        </w:rPr>
        <w:t>广州合</w:t>
      </w:r>
      <w:r>
        <w:rPr>
          <w:spacing w:val="-80"/>
        </w:rPr>
        <w:t> </w:t>
      </w:r>
      <w:r>
        <w:rPr>
          <w:spacing w:val="18"/>
        </w:rPr>
        <w:t>光信息技</w:t>
      </w:r>
      <w:r>
        <w:rPr>
          <w:spacing w:val="-80"/>
        </w:rPr>
        <w:t> </w:t>
      </w:r>
      <w:r>
        <w:rPr>
          <w:spacing w:val="20"/>
        </w:rPr>
        <w:t>术有限公司</w:t>
      </w:r>
      <w:r>
        <w:rPr>
          <w:spacing w:val="-80"/>
        </w:rPr>
        <w:t> </w:t>
      </w:r>
      <w:r>
        <w:rPr/>
        <w:t>、</w:t>
      </w:r>
      <w:r>
        <w:rPr>
          <w:spacing w:val="-82"/>
        </w:rPr>
        <w:t> </w:t>
      </w:r>
      <w:r>
        <w:rPr>
          <w:spacing w:val="16"/>
        </w:rPr>
        <w:t>南京客</w:t>
      </w:r>
      <w:r>
        <w:rPr>
          <w:spacing w:val="-80"/>
        </w:rPr>
        <w:t> </w:t>
      </w:r>
      <w:r>
        <w:rPr>
          <w:spacing w:val="20"/>
        </w:rPr>
        <w:t>至软件有限</w:t>
      </w:r>
      <w:r>
        <w:rPr>
          <w:spacing w:val="-80"/>
        </w:rPr>
        <w:t> </w:t>
      </w:r>
      <w:r>
        <w:rPr>
          <w:spacing w:val="16"/>
        </w:rPr>
        <w:t>公司、</w:t>
      </w:r>
      <w:r>
        <w:rPr>
          <w:spacing w:val="-73"/>
        </w:rPr>
        <w:t> </w:t>
      </w:r>
      <w:r>
        <w:rPr>
          <w:rFonts w:ascii="Times New Roman" w:hAnsi="Times New Roman" w:cs="Times New Roman" w:eastAsia="Times New Roman" w:hint="default"/>
        </w:rPr>
        <w:t>Stayntouch</w:t>
      </w:r>
      <w:r>
        <w:rPr>
          <w:rFonts w:ascii="Times New Roman" w:hAnsi="Times New Roman" w:cs="Times New Roman" w:eastAsia="Times New Roman" w:hint="default"/>
          <w:spacing w:val="41"/>
        </w:rPr>
        <w:t> </w:t>
      </w:r>
      <w:r>
        <w:rPr>
          <w:rFonts w:ascii="Times New Roman" w:hAnsi="Times New Roman" w:cs="Times New Roman" w:eastAsia="Times New Roman" w:hint="default"/>
        </w:rPr>
        <w:t>Inc.</w:t>
      </w:r>
      <w:r>
        <w:rPr>
          <w:rFonts w:ascii="Times New Roman" w:hAnsi="Times New Roman" w:cs="Times New Roman" w:eastAsia="Times New Roman" w:hint="default"/>
          <w:spacing w:val="-25"/>
        </w:rPr>
        <w:t> </w:t>
      </w:r>
      <w:r>
        <w:rPr/>
        <w:t>、</w:t>
      </w:r>
      <w:r>
        <w:rPr>
          <w:spacing w:val="-97"/>
        </w:rPr>
        <w:t> </w:t>
      </w:r>
      <w:r>
        <w:rPr>
          <w:rFonts w:ascii="Times New Roman" w:hAnsi="Times New Roman" w:cs="Times New Roman" w:eastAsia="Times New Roman" w:hint="default"/>
        </w:rPr>
        <w:t>CONCEPTEK-SISTEMAS DE INFORMAÇÃOS.A.</w:t>
      </w:r>
      <w:r>
        <w:rPr/>
        <w:t>等</w:t>
      </w:r>
      <w:r>
        <w:rPr>
          <w:rFonts w:ascii="Times New Roman" w:hAnsi="Times New Roman" w:cs="Times New Roman" w:eastAsia="Times New Roman" w:hint="default"/>
        </w:rPr>
        <w:t>6</w:t>
      </w:r>
      <w:r>
        <w:rPr/>
        <w:t>家，因新设北海环企软件科技有限公司、</w:t>
      </w:r>
      <w:r>
        <w:rPr>
          <w:rFonts w:ascii="Times New Roman" w:hAnsi="Times New Roman" w:cs="Times New Roman" w:eastAsia="Times New Roman" w:hint="default"/>
        </w:rPr>
        <w:t>Shiji</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rFonts w:ascii="Times New Roman" w:hAnsi="Times New Roman" w:cs="Times New Roman" w:eastAsia="Times New Roman" w:hint="default"/>
        </w:rPr>
        <w:t>India</w:t>
      </w:r>
      <w:r>
        <w:rPr>
          <w:rFonts w:ascii="Times New Roman" w:hAnsi="Times New Roman" w:cs="Times New Roman" w:eastAsia="Times New Roman" w:hint="default"/>
          <w:spacing w:val="-12"/>
        </w:rPr>
        <w:t> </w:t>
      </w:r>
      <w:r>
        <w:rPr>
          <w:rFonts w:ascii="Times New Roman" w:hAnsi="Times New Roman" w:cs="Times New Roman" w:eastAsia="Times New Roman" w:hint="default"/>
        </w:rPr>
        <w:t>LLP</w:t>
      </w:r>
      <w:r>
        <w:rPr/>
        <w:t>、</w:t>
      </w:r>
      <w:r>
        <w:rPr>
          <w:rFonts w:ascii="Times New Roman" w:hAnsi="Times New Roman" w:cs="Times New Roman" w:eastAsia="Times New Roman" w:hint="default"/>
        </w:rPr>
        <w:t>Shiji</w:t>
      </w:r>
      <w:r>
        <w:rPr>
          <w:rFonts w:ascii="Times New Roman" w:hAnsi="Times New Roman" w:cs="Times New Roman" w:eastAsia="Times New Roman" w:hint="default"/>
          <w:spacing w:val="-13"/>
        </w:rPr>
        <w:t> </w:t>
      </w:r>
      <w:r>
        <w:rPr>
          <w:rFonts w:ascii="Times New Roman" w:hAnsi="Times New Roman" w:cs="Times New Roman" w:eastAsia="Times New Roman" w:hint="default"/>
        </w:rPr>
        <w:t>Japan</w:t>
      </w:r>
      <w:r>
        <w:rPr/>
        <w:t>株式会社、</w:t>
      </w:r>
      <w:r>
        <w:rPr>
          <w:rFonts w:ascii="Times New Roman" w:hAnsi="Times New Roman" w:cs="Times New Roman" w:eastAsia="Times New Roman" w:hint="default"/>
        </w:rPr>
        <w:t>Shiji(Thailand)Limited</w:t>
      </w:r>
      <w:r>
        <w:rPr/>
        <w:t>、</w:t>
      </w:r>
      <w:r>
        <w:rPr>
          <w:rFonts w:ascii="Times New Roman" w:hAnsi="Times New Roman" w:cs="Times New Roman" w:eastAsia="Times New Roman" w:hint="default"/>
        </w:rPr>
        <w:t>Shiji</w:t>
      </w:r>
      <w:r>
        <w:rPr>
          <w:rFonts w:ascii="Times New Roman" w:hAnsi="Times New Roman" w:cs="Times New Roman" w:eastAsia="Times New Roman" w:hint="default"/>
          <w:spacing w:val="-13"/>
        </w:rPr>
        <w:t> </w:t>
      </w:r>
      <w:r>
        <w:rPr>
          <w:rFonts w:ascii="Times New Roman" w:hAnsi="Times New Roman" w:cs="Times New Roman" w:eastAsia="Times New Roman" w:hint="default"/>
        </w:rPr>
        <w:t>Middle</w:t>
      </w:r>
      <w:r>
        <w:rPr>
          <w:rFonts w:ascii="Times New Roman" w:hAnsi="Times New Roman" w:cs="Times New Roman" w:eastAsia="Times New Roman" w:hint="default"/>
          <w:spacing w:val="-13"/>
        </w:rPr>
        <w:t> </w:t>
      </w:r>
      <w:r>
        <w:rPr>
          <w:rFonts w:ascii="Times New Roman" w:hAnsi="Times New Roman" w:cs="Times New Roman" w:eastAsia="Times New Roman" w:hint="default"/>
        </w:rPr>
        <w:t>East-FZLLC</w:t>
      </w:r>
      <w:r>
        <w:rPr/>
        <w:t>、</w:t>
      </w:r>
      <w:r>
        <w:rPr>
          <w:rFonts w:ascii="Times New Roman" w:hAnsi="Times New Roman" w:cs="Times New Roman" w:eastAsia="Times New Roman" w:hint="default"/>
        </w:rPr>
        <w:t>Shiji</w:t>
      </w:r>
      <w:r>
        <w:rPr>
          <w:rFonts w:ascii="Times New Roman" w:hAnsi="Times New Roman" w:cs="Times New Roman" w:eastAsia="Times New Roman" w:hint="default"/>
          <w:spacing w:val="-12"/>
        </w:rPr>
        <w:t> </w:t>
      </w:r>
      <w:r>
        <w:rPr>
          <w:rFonts w:ascii="Times New Roman" w:hAnsi="Times New Roman" w:cs="Times New Roman" w:eastAsia="Times New Roman" w:hint="default"/>
        </w:rPr>
        <w:t>Slovakias.r.o</w:t>
      </w:r>
      <w:r>
        <w:rPr/>
        <w:t>、</w:t>
      </w:r>
      <w:r>
        <w:rPr>
          <w:w w:val="100"/>
        </w:rPr>
        <w:t> </w:t>
      </w:r>
      <w:r>
        <w:rPr>
          <w:rFonts w:ascii="Times New Roman" w:hAnsi="Times New Roman" w:cs="Times New Roman" w:eastAsia="Times New Roman" w:hint="default"/>
          <w:spacing w:val="-5"/>
          <w:w w:val="100"/>
        </w:rPr>
        <w:t>Shiji(Macau)Limited</w:t>
      </w:r>
      <w:r>
        <w:rPr>
          <w:spacing w:val="-5"/>
          <w:w w:val="100"/>
        </w:rPr>
        <w:t>等增加</w:t>
      </w:r>
      <w:r>
        <w:rPr>
          <w:rFonts w:ascii="Times New Roman" w:hAnsi="Times New Roman" w:cs="Times New Roman" w:eastAsia="Times New Roman" w:hint="default"/>
          <w:spacing w:val="-5"/>
          <w:w w:val="100"/>
        </w:rPr>
        <w:t>8</w:t>
      </w:r>
      <w:r>
        <w:rPr>
          <w:spacing w:val="-5"/>
          <w:w w:val="100"/>
        </w:rPr>
        <w:t>家。因注销海南富基融通科技有限公司、</w:t>
      </w:r>
      <w:r>
        <w:rPr>
          <w:rFonts w:ascii="Times New Roman" w:hAnsi="Times New Roman" w:cs="Times New Roman" w:eastAsia="Times New Roman" w:hint="default"/>
          <w:spacing w:val="-5"/>
          <w:w w:val="100"/>
        </w:rPr>
        <w:t>ArmitageHoldingsLimited</w:t>
      </w:r>
      <w:r>
        <w:rPr>
          <w:spacing w:val="-5"/>
          <w:w w:val="100"/>
        </w:rPr>
        <w:t>、</w:t>
      </w:r>
      <w:r>
        <w:rPr>
          <w:rFonts w:ascii="Times New Roman" w:hAnsi="Times New Roman" w:cs="Times New Roman" w:eastAsia="Times New Roman" w:hint="default"/>
          <w:spacing w:val="-5"/>
          <w:w w:val="100"/>
        </w:rPr>
        <w:t>Snapshot</w:t>
      </w:r>
      <w:r>
        <w:rPr>
          <w:rFonts w:ascii="Times New Roman" w:hAnsi="Times New Roman" w:cs="Times New Roman" w:eastAsia="Times New Roman" w:hint="default"/>
          <w:w w:val="100"/>
        </w:rPr>
        <w:t> </w:t>
      </w:r>
      <w:r>
        <w:rPr>
          <w:rFonts w:ascii="Times New Roman" w:hAnsi="Times New Roman" w:cs="Times New Roman" w:eastAsia="Times New Roman" w:hint="default"/>
        </w:rPr>
        <w:t>USA</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7"/>
        </w:rPr>
        <w:t>Inc.</w:t>
      </w:r>
      <w:r>
        <w:rPr>
          <w:spacing w:val="-7"/>
        </w:rPr>
        <w:t>、</w:t>
      </w:r>
      <w:r>
        <w:rPr>
          <w:rFonts w:ascii="Times New Roman" w:hAnsi="Times New Roman" w:cs="Times New Roman" w:eastAsia="Times New Roman" w:hint="default"/>
          <w:spacing w:val="-7"/>
        </w:rPr>
        <w:t>AC</w:t>
      </w:r>
      <w:r>
        <w:rPr>
          <w:rFonts w:ascii="Times New Roman" w:hAnsi="Times New Roman" w:cs="Times New Roman" w:eastAsia="Times New Roman" w:hint="default"/>
        </w:rPr>
        <w:t> Software</w:t>
      </w:r>
      <w:r>
        <w:rPr>
          <w:rFonts w:ascii="Times New Roman" w:hAnsi="Times New Roman" w:cs="Times New Roman" w:eastAsia="Times New Roman" w:hint="default"/>
          <w:spacing w:val="2"/>
        </w:rPr>
        <w:t> </w:t>
      </w:r>
      <w:r>
        <w:rPr>
          <w:rFonts w:ascii="Times New Roman" w:hAnsi="Times New Roman" w:cs="Times New Roman" w:eastAsia="Times New Roman" w:hint="default"/>
        </w:rPr>
        <w:t>Deutsechland</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5"/>
        </w:rPr>
        <w:t>GmbH</w:t>
      </w:r>
      <w:r>
        <w:rPr>
          <w:spacing w:val="-5"/>
        </w:rPr>
        <w:t>减少</w:t>
      </w:r>
      <w:r>
        <w:rPr>
          <w:rFonts w:ascii="Times New Roman" w:hAnsi="Times New Roman" w:cs="Times New Roman" w:eastAsia="Times New Roman" w:hint="default"/>
          <w:spacing w:val="-5"/>
        </w:rPr>
        <w:t>4</w:t>
      </w:r>
      <w:r>
        <w:rPr>
          <w:spacing w:val="-5"/>
        </w:rPr>
        <w:t>家，因</w:t>
      </w:r>
      <w:r>
        <w:rPr>
          <w:rFonts w:ascii="Times New Roman" w:hAnsi="Times New Roman" w:cs="Times New Roman" w:eastAsia="Times New Roman" w:hint="default"/>
          <w:spacing w:val="-5"/>
        </w:rPr>
        <w:t>AC</w:t>
      </w:r>
      <w:r>
        <w:rPr>
          <w:rFonts w:ascii="Times New Roman" w:hAnsi="Times New Roman" w:cs="Times New Roman" w:eastAsia="Times New Roman" w:hint="default"/>
        </w:rPr>
        <w:t> Projec</w:t>
      </w:r>
      <w:r>
        <w:rPr>
          <w:rFonts w:ascii="Times New Roman" w:hAnsi="Times New Roman" w:cs="Times New Roman" w:eastAsia="Times New Roman" w:hint="default"/>
          <w:spacing w:val="2"/>
        </w:rPr>
        <w:t> </w:t>
      </w:r>
      <w:r>
        <w:rPr>
          <w:rFonts w:ascii="Times New Roman" w:hAnsi="Times New Roman" w:cs="Times New Roman" w:eastAsia="Times New Roman" w:hint="default"/>
        </w:rPr>
        <w:t>tGmbH</w:t>
      </w:r>
      <w:r>
        <w:rPr/>
        <w:t>和</w:t>
      </w:r>
      <w:r>
        <w:rPr>
          <w:rFonts w:ascii="Times New Roman" w:hAnsi="Times New Roman" w:cs="Times New Roman" w:eastAsia="Times New Roman" w:hint="default"/>
        </w:rPr>
        <w:t>Snapshot</w:t>
      </w:r>
      <w:r>
        <w:rPr>
          <w:rFonts w:ascii="Times New Roman" w:hAnsi="Times New Roman" w:cs="Times New Roman" w:eastAsia="Times New Roman" w:hint="default"/>
          <w:spacing w:val="2"/>
        </w:rPr>
        <w:t> </w:t>
      </w:r>
      <w:r>
        <w:rPr>
          <w:rFonts w:ascii="Times New Roman" w:hAnsi="Times New Roman" w:cs="Times New Roman" w:eastAsia="Times New Roman" w:hint="default"/>
        </w:rPr>
        <w:t>GmbH</w:t>
      </w:r>
      <w:r>
        <w:rPr/>
        <w:t>合并为</w:t>
      </w:r>
      <w:r>
        <w:rPr>
          <w:rFonts w:ascii="Times New Roman" w:hAnsi="Times New Roman" w:cs="Times New Roman" w:eastAsia="Times New Roman" w:hint="default"/>
        </w:rPr>
        <w:t>Shiji</w:t>
      </w:r>
      <w:r>
        <w:rPr>
          <w:rFonts w:ascii="Times New Roman" w:hAnsi="Times New Roman" w:cs="Times New Roman" w:eastAsia="Times New Roman" w:hint="default"/>
          <w:spacing w:val="-53"/>
        </w:rPr>
        <w:t> </w:t>
      </w:r>
      <w:r>
        <w:rPr>
          <w:rFonts w:ascii="Times New Roman" w:hAnsi="Times New Roman" w:cs="Times New Roman" w:eastAsia="Times New Roman" w:hint="default"/>
          <w:spacing w:val="-53"/>
        </w:rPr>
      </w:r>
      <w:r>
        <w:rPr>
          <w:rFonts w:ascii="Times New Roman" w:hAnsi="Times New Roman" w:cs="Times New Roman" w:eastAsia="Times New Roman" w:hint="default"/>
        </w:rPr>
        <w:t>GmbH</w:t>
      </w:r>
      <w:r>
        <w:rPr/>
        <w:t>而减少</w:t>
      </w:r>
      <w:r>
        <w:rPr>
          <w:rFonts w:ascii="Times New Roman" w:hAnsi="Times New Roman" w:cs="Times New Roman" w:eastAsia="Times New Roman" w:hint="default"/>
        </w:rPr>
        <w:t>1</w:t>
      </w:r>
      <w:r>
        <w:rPr/>
        <w:t>家。</w:t>
      </w:r>
    </w:p>
    <w:p>
      <w:pPr>
        <w:spacing w:line="240" w:lineRule="auto" w:before="8"/>
        <w:rPr>
          <w:rFonts w:ascii="宋体" w:hAnsi="宋体" w:cs="宋体" w:eastAsia="宋体" w:hint="default"/>
          <w:sz w:val="18"/>
          <w:szCs w:val="18"/>
        </w:rPr>
      </w:pPr>
    </w:p>
    <w:p>
      <w:pPr>
        <w:pStyle w:val="Heading6"/>
        <w:spacing w:line="240" w:lineRule="auto"/>
        <w:ind w:left="592" w:right="1133" w:firstLine="0"/>
        <w:jc w:val="left"/>
      </w:pPr>
      <w:r>
        <w:rPr/>
        <w:t>详见本附注</w:t>
      </w:r>
      <w:r>
        <w:rPr>
          <w:rFonts w:ascii="Times New Roman" w:hAnsi="Times New Roman" w:cs="Times New Roman" w:eastAsia="Times New Roman" w:hint="default"/>
        </w:rPr>
        <w:t>“</w:t>
      </w:r>
      <w:r>
        <w:rPr/>
        <w:t>八、合并范围的变化</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及本附注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相关内容。</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3"/>
        <w:spacing w:line="240" w:lineRule="auto" w:before="26"/>
        <w:ind w:right="1133"/>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11"/>
        <w:rPr>
          <w:rFonts w:ascii="宋体" w:hAnsi="宋体" w:cs="宋体" w:eastAsia="宋体" w:hint="default"/>
          <w:b/>
          <w:bCs/>
          <w:sz w:val="23"/>
          <w:szCs w:val="23"/>
        </w:rPr>
      </w:pPr>
    </w:p>
    <w:p>
      <w:pPr>
        <w:pStyle w:val="Heading6"/>
        <w:spacing w:line="259" w:lineRule="auto"/>
        <w:ind w:right="1133"/>
        <w:jc w:val="left"/>
      </w:pPr>
      <w:r>
        <w:rPr>
          <w:spacing w:val="-2"/>
        </w:rPr>
        <w:t>本集团财务报表以持续经营为基础，根据实际发生的交易和事项，按照财政部颁布的《企业会计</w:t>
      </w:r>
      <w:r>
        <w:rPr>
          <w:w w:val="100"/>
        </w:rPr>
        <w:t> </w:t>
      </w:r>
      <w:r>
        <w:rPr/>
        <w:t>准则》及相关规定，并基于本附注</w:t>
      </w:r>
      <w:r>
        <w:rPr>
          <w:rFonts w:ascii="Times New Roman" w:hAnsi="Times New Roman" w:cs="Times New Roman" w:eastAsia="Times New Roman" w:hint="default"/>
        </w:rPr>
        <w:t>“</w:t>
      </w:r>
      <w:r>
        <w:rPr/>
        <w:t>四、重要会计政策及会计估计</w:t>
      </w:r>
      <w:r>
        <w:rPr>
          <w:rFonts w:ascii="Times New Roman" w:hAnsi="Times New Roman" w:cs="Times New Roman" w:eastAsia="Times New Roman" w:hint="default"/>
        </w:rPr>
        <w:t>”</w:t>
      </w:r>
      <w:r>
        <w:rPr/>
        <w:t>所述会计政策和会计估计编制。</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0"/>
        <w:rPr>
          <w:rFonts w:ascii="宋体" w:hAnsi="宋体" w:cs="宋体" w:eastAsia="宋体" w:hint="default"/>
          <w:b/>
          <w:bCs/>
          <w:sz w:val="24"/>
          <w:szCs w:val="24"/>
        </w:rPr>
      </w:pPr>
    </w:p>
    <w:p>
      <w:pPr>
        <w:pStyle w:val="Heading6"/>
        <w:spacing w:line="244" w:lineRule="auto"/>
        <w:ind w:right="1133"/>
        <w:jc w:val="left"/>
      </w:pPr>
      <w:r>
        <w:rPr>
          <w:spacing w:val="-2"/>
        </w:rPr>
        <w:t>本集团有近期获利经营的历史且有财务资源支持，不存在可能导致对本集团自报表期末起</w:t>
      </w:r>
      <w:r>
        <w:rPr>
          <w:rFonts w:ascii="Times New Roman" w:hAnsi="Times New Roman" w:cs="Times New Roman" w:eastAsia="Times New Roman" w:hint="default"/>
          <w:spacing w:val="-2"/>
        </w:rPr>
        <w:t>12</w:t>
      </w:r>
      <w:r>
        <w:rPr>
          <w:spacing w:val="-2"/>
        </w:rPr>
        <w:t>个月</w:t>
      </w:r>
      <w:r>
        <w:rPr>
          <w:w w:val="100"/>
        </w:rPr>
        <w:t> </w:t>
      </w:r>
      <w:r>
        <w:rPr/>
        <w:t>内的持续经营能力产生重大疑虑的事项或情况，认为以持续经营为基础编制财务报表是合理的。</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5"/>
          <w:szCs w:val="25"/>
        </w:rPr>
      </w:pPr>
    </w:p>
    <w:p>
      <w:pPr>
        <w:pStyle w:val="Heading3"/>
        <w:spacing w:line="240" w:lineRule="auto"/>
        <w:ind w:right="1133"/>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line="360" w:lineRule="auto" w:before="25"/>
        <w:ind w:left="152" w:right="8234"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 具体会计政策和会计估计提示：</w:t>
      </w:r>
    </w:p>
    <w:p>
      <w:pPr>
        <w:pStyle w:val="Heading6"/>
        <w:spacing w:line="244" w:lineRule="auto"/>
        <w:ind w:right="0"/>
        <w:jc w:val="left"/>
      </w:pPr>
      <w:r>
        <w:rPr>
          <w:spacing w:val="-4"/>
        </w:rPr>
        <w:t>根据财政部颁发的《关于修订印发</w:t>
      </w:r>
      <w:r>
        <w:rPr>
          <w:rFonts w:ascii="Times New Roman" w:hAnsi="Times New Roman" w:cs="Times New Roman" w:eastAsia="Times New Roman" w:hint="default"/>
          <w:spacing w:val="-4"/>
        </w:rPr>
        <w:t>2018</w:t>
      </w:r>
      <w:r>
        <w:rPr>
          <w:spacing w:val="-4"/>
        </w:rPr>
        <w:t>年度一般企业财务报表格式的通知》（财会〔</w:t>
      </w:r>
      <w:r>
        <w:rPr>
          <w:rFonts w:ascii="Times New Roman" w:hAnsi="Times New Roman" w:cs="Times New Roman" w:eastAsia="Times New Roman" w:hint="default"/>
          <w:spacing w:val="-4"/>
        </w:rPr>
        <w:t>2018</w:t>
      </w:r>
      <w:r>
        <w:rPr>
          <w:spacing w:val="-4"/>
        </w:rPr>
        <w:t>〕</w:t>
      </w:r>
      <w:r>
        <w:rPr>
          <w:rFonts w:ascii="Times New Roman" w:hAnsi="Times New Roman" w:cs="Times New Roman" w:eastAsia="Times New Roman" w:hint="default"/>
          <w:spacing w:val="-4"/>
        </w:rPr>
        <w:t>15</w:t>
      </w:r>
      <w:r>
        <w:rPr>
          <w:spacing w:val="-4"/>
        </w:rPr>
        <w:t>号）</w:t>
      </w:r>
      <w:r>
        <w:rPr>
          <w:w w:val="100"/>
        </w:rPr>
        <w:t> </w:t>
      </w:r>
      <w:r>
        <w:rPr/>
        <w:t>的有关规定，对于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日及之后的财务报表按照新报表格式编制，并对可比期间的比较数据</w:t>
      </w:r>
      <w:r>
        <w:rPr>
          <w:w w:val="100"/>
        </w:rPr>
        <w:t> </w:t>
      </w:r>
      <w:r>
        <w:rPr/>
        <w:t>按照新报表格式要求进行调整。本集团因未提前执行新金融准则和新收入准则，因此在编制</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31</w:t>
      </w:r>
      <w:r>
        <w:rPr/>
        <w:t>日报表时，按照《一般企业财务报表格式（适用于尚未执行新金融准则和新收入准则的企业）》</w:t>
      </w:r>
      <w:r>
        <w:rPr>
          <w:w w:val="100"/>
        </w:rPr>
        <w:t> </w:t>
      </w:r>
      <w:r>
        <w:rPr/>
        <w:t>格式进行列报。</w:t>
      </w:r>
    </w:p>
    <w:p>
      <w:pPr>
        <w:spacing w:line="240" w:lineRule="auto" w:before="2"/>
        <w:rPr>
          <w:rFonts w:ascii="宋体" w:hAnsi="宋体" w:cs="宋体" w:eastAsia="宋体" w:hint="default"/>
          <w:sz w:val="25"/>
          <w:szCs w:val="25"/>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11"/>
        <w:rPr>
          <w:rFonts w:ascii="宋体" w:hAnsi="宋体" w:cs="宋体" w:eastAsia="宋体" w:hint="default"/>
          <w:b/>
          <w:bCs/>
          <w:sz w:val="23"/>
          <w:szCs w:val="23"/>
        </w:rPr>
      </w:pPr>
    </w:p>
    <w:p>
      <w:pPr>
        <w:pStyle w:val="Heading6"/>
        <w:spacing w:line="259" w:lineRule="auto"/>
        <w:ind w:right="1133"/>
        <w:jc w:val="left"/>
      </w:pPr>
      <w:r>
        <w:rPr>
          <w:spacing w:val="-2"/>
        </w:rPr>
        <w:t>本公司编制的财务报表符合企业会计准则的要求，真实、完整地反映了本公司及本集团的财务状</w:t>
      </w:r>
      <w:r>
        <w:rPr>
          <w:w w:val="100"/>
        </w:rPr>
        <w:t> </w:t>
      </w:r>
      <w:r>
        <w:rPr/>
        <w:t>况、经营成果和现金流量等有关信息。</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7"/>
        <w:spacing w:line="240" w:lineRule="auto"/>
        <w:ind w:right="113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0"/>
        <w:rPr>
          <w:rFonts w:ascii="宋体" w:hAnsi="宋体" w:cs="宋体" w:eastAsia="宋体" w:hint="default"/>
          <w:b/>
          <w:bCs/>
          <w:sz w:val="24"/>
          <w:szCs w:val="24"/>
        </w:rPr>
      </w:pPr>
    </w:p>
    <w:p>
      <w:pPr>
        <w:pStyle w:val="Heading6"/>
        <w:spacing w:line="240" w:lineRule="auto"/>
        <w:ind w:left="592" w:right="1133" w:firstLine="0"/>
        <w:jc w:val="left"/>
      </w:pPr>
      <w:r>
        <w:rPr/>
        <w:t>本集团的会计期间为公历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3"/>
        <w:rPr>
          <w:rFonts w:ascii="宋体" w:hAnsi="宋体" w:cs="宋体" w:eastAsia="宋体" w:hint="default"/>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12"/>
        <w:rPr>
          <w:rFonts w:ascii="宋体" w:hAnsi="宋体" w:cs="宋体" w:eastAsia="宋体" w:hint="default"/>
          <w:b/>
          <w:bCs/>
          <w:sz w:val="23"/>
          <w:szCs w:val="23"/>
        </w:rPr>
      </w:pPr>
    </w:p>
    <w:p>
      <w:pPr>
        <w:pStyle w:val="Heading6"/>
        <w:spacing w:line="244" w:lineRule="auto"/>
        <w:ind w:right="1133"/>
        <w:jc w:val="left"/>
      </w:pPr>
      <w:r>
        <w:rPr>
          <w:spacing w:val="-2"/>
        </w:rPr>
        <w:t>若公司营业周期不同于</w:t>
      </w:r>
      <w:r>
        <w:rPr>
          <w:rFonts w:ascii="Times New Roman" w:hAnsi="Times New Roman" w:cs="Times New Roman" w:eastAsia="Times New Roman" w:hint="default"/>
          <w:spacing w:val="-2"/>
        </w:rPr>
        <w:t>12</w:t>
      </w:r>
      <w:r>
        <w:rPr>
          <w:spacing w:val="-2"/>
        </w:rPr>
        <w:t>个月，并以营业周期作为资产和负债的流动性划分标准的，应说明营业</w:t>
      </w:r>
      <w:r>
        <w:rPr>
          <w:w w:val="100"/>
        </w:rPr>
        <w:t> </w:t>
      </w:r>
      <w:r>
        <w:rPr/>
        <w:t>周期及确定依据。</w:t>
      </w:r>
    </w:p>
    <w:p>
      <w:pPr>
        <w:spacing w:line="240" w:lineRule="auto" w:before="2"/>
        <w:rPr>
          <w:rFonts w:ascii="宋体" w:hAnsi="宋体" w:cs="宋体" w:eastAsia="宋体" w:hint="default"/>
          <w:sz w:val="25"/>
          <w:szCs w:val="25"/>
        </w:rPr>
      </w:pPr>
    </w:p>
    <w:p>
      <w:pPr>
        <w:pStyle w:val="Heading7"/>
        <w:spacing w:line="240" w:lineRule="auto"/>
        <w:ind w:right="113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0"/>
        <w:rPr>
          <w:rFonts w:ascii="宋体" w:hAnsi="宋体" w:cs="宋体" w:eastAsia="宋体" w:hint="default"/>
          <w:b/>
          <w:bCs/>
          <w:sz w:val="24"/>
          <w:szCs w:val="24"/>
        </w:rPr>
      </w:pPr>
    </w:p>
    <w:p>
      <w:pPr>
        <w:pStyle w:val="Heading6"/>
        <w:spacing w:line="240" w:lineRule="auto"/>
        <w:ind w:left="592" w:right="1133" w:firstLine="0"/>
        <w:jc w:val="left"/>
      </w:pPr>
      <w:r>
        <w:rPr/>
        <w:t>本集团以人民币为记账本位币。</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113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
        <w:rPr>
          <w:rFonts w:ascii="宋体" w:hAnsi="宋体" w:cs="宋体" w:eastAsia="宋体" w:hint="default"/>
          <w:b/>
          <w:bCs/>
          <w:sz w:val="24"/>
          <w:szCs w:val="24"/>
        </w:rPr>
      </w:pPr>
    </w:p>
    <w:p>
      <w:pPr>
        <w:pStyle w:val="Heading6"/>
        <w:spacing w:line="259" w:lineRule="auto"/>
        <w:ind w:right="1130"/>
        <w:jc w:val="both"/>
      </w:pPr>
      <w:r>
        <w:rPr>
          <w:spacing w:val="-2"/>
        </w:rPr>
        <w:t>本集团作为合并方，在同一控制下企业合并中取得的资产和负债，在合并日按被合并方在最终控</w:t>
      </w:r>
      <w:r>
        <w:rPr>
          <w:w w:val="100"/>
        </w:rPr>
        <w:t> </w:t>
      </w:r>
      <w:r>
        <w:rPr>
          <w:spacing w:val="-2"/>
        </w:rPr>
        <w:t>制方合并报表中的账面价值计量。取得的净资产账面价值与支付的合并对价账面价值的差额，调整资</w:t>
      </w:r>
      <w:r>
        <w:rPr>
          <w:spacing w:val="-70"/>
        </w:rPr>
        <w:t> </w:t>
      </w:r>
      <w:r>
        <w:rPr>
          <w:spacing w:val="-70"/>
        </w:rPr>
      </w:r>
      <w:r>
        <w:rPr/>
        <w:t>本公积；资本公积不足冲减的，调整留存收益。</w:t>
      </w:r>
    </w:p>
    <w:p>
      <w:pPr>
        <w:spacing w:line="240" w:lineRule="auto" w:before="11"/>
        <w:rPr>
          <w:rFonts w:ascii="宋体" w:hAnsi="宋体" w:cs="宋体" w:eastAsia="宋体" w:hint="default"/>
          <w:sz w:val="18"/>
          <w:szCs w:val="18"/>
        </w:rPr>
      </w:pPr>
    </w:p>
    <w:p>
      <w:pPr>
        <w:pStyle w:val="Heading6"/>
        <w:spacing w:line="259" w:lineRule="auto"/>
        <w:ind w:right="1128"/>
        <w:jc w:val="both"/>
      </w:pPr>
      <w:r>
        <w:rPr>
          <w:spacing w:val="-2"/>
        </w:rPr>
        <w:t>在非同一控制下企业合并中取得的被购买方可辨认资产、负债及或有负债在收购日以公允价值计</w:t>
      </w:r>
      <w:r>
        <w:rPr>
          <w:w w:val="100"/>
        </w:rPr>
        <w:t> </w:t>
      </w:r>
      <w:r>
        <w:rPr>
          <w:spacing w:val="-2"/>
        </w:rPr>
        <w:t>量。合并成本为本集团在购买日为取得对被购买方的控制权而支付的现金或非现金资产、发行或承担</w:t>
      </w:r>
      <w:r>
        <w:rPr>
          <w:spacing w:val="-68"/>
        </w:rPr>
        <w:t> </w:t>
      </w:r>
      <w:r>
        <w:rPr>
          <w:spacing w:val="-68"/>
        </w:rPr>
      </w:r>
      <w:r>
        <w:rPr>
          <w:spacing w:val="-2"/>
        </w:rPr>
        <w:t>的负债、发行的权益性证券等的公允价值以及在企业合并中发生的各项直接相关费用之和（通过多次</w:t>
      </w:r>
      <w:r>
        <w:rPr>
          <w:spacing w:val="-70"/>
        </w:rPr>
        <w:t> </w:t>
      </w:r>
      <w:r>
        <w:rPr>
          <w:spacing w:val="-70"/>
        </w:rPr>
      </w:r>
      <w:r>
        <w:rPr>
          <w:spacing w:val="-2"/>
        </w:rPr>
        <w:t>交易分步实现的企业合并，其合并成本为每一单项交易的成本之和）。合并成本大于合并中取得的被</w:t>
      </w:r>
      <w:r>
        <w:rPr>
          <w:spacing w:val="-70"/>
        </w:rPr>
        <w:t> </w:t>
      </w:r>
      <w:r>
        <w:rPr>
          <w:spacing w:val="-70"/>
        </w:rPr>
      </w:r>
      <w:r>
        <w:rPr>
          <w:spacing w:val="-2"/>
        </w:rPr>
        <w:t>购买方可辨认净资产公允价值份额的差额，确认为商誉；合并成本小于合并中取得的被购买方可辨认</w:t>
      </w:r>
      <w:r>
        <w:rPr>
          <w:spacing w:val="-70"/>
        </w:rPr>
        <w:t> </w:t>
      </w:r>
      <w:r>
        <w:rPr>
          <w:spacing w:val="-70"/>
        </w:rPr>
      </w:r>
      <w:r>
        <w:rPr>
          <w:spacing w:val="-2"/>
        </w:rPr>
        <w:t>净资产公允价值份额的，首先对合并中取得的各项可辨认资产、负债及或有负债的公允价值、以及合</w:t>
      </w:r>
      <w:r>
        <w:rPr>
          <w:spacing w:val="-66"/>
        </w:rPr>
        <w:t> </w:t>
      </w:r>
      <w:r>
        <w:rPr>
          <w:spacing w:val="-66"/>
        </w:rPr>
      </w:r>
      <w:r>
        <w:rPr>
          <w:spacing w:val="-2"/>
        </w:rPr>
        <w:t>并对价的非现金资产或发行的权益性证券等的公允价值进行复核，经复核后，合并成本仍小于合并中</w:t>
      </w:r>
      <w:r>
        <w:rPr>
          <w:spacing w:val="-70"/>
        </w:rPr>
        <w:t> </w:t>
      </w:r>
      <w:r>
        <w:rPr>
          <w:spacing w:val="-70"/>
        </w:rPr>
      </w:r>
      <w:r>
        <w:rPr/>
        <w:t>取得的被购买方可辨认净资产公允价值份额的，将其差额计入合并当期营业外收入。</w:t>
      </w:r>
    </w:p>
    <w:p>
      <w:pPr>
        <w:spacing w:line="240" w:lineRule="auto" w:before="2"/>
        <w:rPr>
          <w:rFonts w:ascii="宋体" w:hAnsi="宋体" w:cs="宋体" w:eastAsia="宋体" w:hint="default"/>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6</w:t>
      </w:r>
      <w:r>
        <w:rPr/>
        <w:t>、合并财务报表的编制方法</w:t>
      </w:r>
      <w:r>
        <w:rPr>
          <w:b w:val="0"/>
          <w:bCs w:val="0"/>
        </w:rPr>
      </w:r>
    </w:p>
    <w:p>
      <w:pPr>
        <w:pStyle w:val="Heading6"/>
        <w:spacing w:line="550" w:lineRule="atLeast" w:before="50"/>
        <w:ind w:left="592" w:right="1133" w:firstLine="0"/>
        <w:jc w:val="left"/>
      </w:pPr>
      <w:r>
        <w:rPr/>
        <w:t>本集团将所有控制的子公司及结构化主体纳入合并财务报表范围。</w:t>
      </w:r>
      <w:r>
        <w:rPr>
          <w:w w:val="100"/>
        </w:rPr>
        <w:t> </w:t>
      </w:r>
      <w:r>
        <w:rPr>
          <w:spacing w:val="-2"/>
        </w:rPr>
        <w:t>在编制合并财务报表时，子公司与本公司采用的会计政策或会计期间不一致的，按照本公司的会</w:t>
      </w:r>
    </w:p>
    <w:p>
      <w:pPr>
        <w:pStyle w:val="Heading6"/>
        <w:spacing w:line="240" w:lineRule="auto" w:before="24"/>
        <w:ind w:right="1133" w:firstLine="0"/>
        <w:jc w:val="left"/>
      </w:pPr>
      <w:r>
        <w:rPr/>
        <w:t>计政策或会计期间对子公司财务报表进行必要的调整。</w:t>
      </w:r>
    </w:p>
    <w:p>
      <w:pPr>
        <w:spacing w:line="240" w:lineRule="auto" w:before="2"/>
        <w:rPr>
          <w:rFonts w:ascii="宋体" w:hAnsi="宋体" w:cs="宋体" w:eastAsia="宋体" w:hint="default"/>
          <w:sz w:val="20"/>
          <w:szCs w:val="20"/>
        </w:rPr>
      </w:pPr>
    </w:p>
    <w:p>
      <w:pPr>
        <w:pStyle w:val="Heading6"/>
        <w:spacing w:line="254" w:lineRule="auto"/>
        <w:ind w:right="1132"/>
        <w:jc w:val="both"/>
      </w:pPr>
      <w:r>
        <w:rPr>
          <w:spacing w:val="-2"/>
        </w:rPr>
        <w:t>合并范围内的所有重大内部交易、往来余额及未实现利润在合并报表编制时予以抵销。子公司的</w:t>
      </w:r>
      <w:r>
        <w:rPr>
          <w:w w:val="100"/>
        </w:rPr>
        <w:t> </w:t>
      </w:r>
      <w:r>
        <w:rPr>
          <w:spacing w:val="-2"/>
        </w:rPr>
        <w:t>所有者权益中不属于母公司的份额以及当期净损益、其他综合收益及综合收益总额中属于少数股东权</w:t>
      </w:r>
      <w:r>
        <w:rPr>
          <w:spacing w:val="-73"/>
        </w:rPr>
        <w:t> </w:t>
      </w:r>
      <w:r>
        <w:rPr>
          <w:spacing w:val="-73"/>
        </w:rPr>
      </w:r>
      <w:r>
        <w:rPr/>
        <w:t>益的份额，分别在合并财务报表</w:t>
      </w:r>
      <w:r>
        <w:rPr>
          <w:rFonts w:ascii="Times New Roman" w:hAnsi="Times New Roman" w:cs="Times New Roman" w:eastAsia="Times New Roman" w:hint="default"/>
        </w:rPr>
        <w:t>“</w:t>
      </w:r>
      <w:r>
        <w:rPr/>
        <w:t>少数股东权益、少数股东损益、归属于少数股东的其他综合收益及</w:t>
      </w:r>
      <w:r>
        <w:rPr>
          <w:spacing w:val="-34"/>
        </w:rPr>
        <w:t> </w:t>
      </w:r>
      <w:r>
        <w:rPr>
          <w:spacing w:val="-34"/>
        </w:rPr>
      </w:r>
      <w:r>
        <w:rPr/>
        <w:t>归属于少数股东的综合收益总额</w:t>
      </w:r>
      <w:r>
        <w:rPr>
          <w:rFonts w:ascii="Times New Roman" w:hAnsi="Times New Roman" w:cs="Times New Roman" w:eastAsia="Times New Roman" w:hint="default"/>
        </w:rPr>
        <w:t>”</w:t>
      </w:r>
      <w:r>
        <w:rPr/>
        <w:t>项目列示。</w:t>
      </w:r>
    </w:p>
    <w:p>
      <w:pPr>
        <w:spacing w:line="240" w:lineRule="auto" w:before="11"/>
        <w:rPr>
          <w:rFonts w:ascii="宋体" w:hAnsi="宋体" w:cs="宋体" w:eastAsia="宋体" w:hint="default"/>
          <w:sz w:val="17"/>
          <w:szCs w:val="17"/>
        </w:rPr>
      </w:pPr>
    </w:p>
    <w:p>
      <w:pPr>
        <w:pStyle w:val="Heading6"/>
        <w:spacing w:line="259" w:lineRule="auto"/>
        <w:ind w:right="1128"/>
        <w:jc w:val="both"/>
      </w:pPr>
      <w:r>
        <w:rPr>
          <w:spacing w:val="-2"/>
        </w:rPr>
        <w:t>对于同一控制下企业合并取得的子公司，其经营成果和现金流量自合并当期期初纳入合并财务报</w:t>
      </w:r>
      <w:r>
        <w:rPr>
          <w:w w:val="100"/>
        </w:rPr>
        <w:t> </w:t>
      </w:r>
      <w:r>
        <w:rPr>
          <w:spacing w:val="-2"/>
        </w:rPr>
        <w:t>表。编制比较合并财务报表时，对上年财务报表的相关项目进行调整，视同合并后形成的报告主体自</w:t>
      </w:r>
      <w:r>
        <w:rPr>
          <w:spacing w:val="-68"/>
        </w:rPr>
        <w:t> </w:t>
      </w:r>
      <w:r>
        <w:rPr>
          <w:spacing w:val="-68"/>
        </w:rPr>
      </w:r>
      <w:r>
        <w:rPr/>
        <w:t>最终控制方开始控制时点起一直存在。</w:t>
      </w:r>
    </w:p>
    <w:p>
      <w:pPr>
        <w:spacing w:line="240" w:lineRule="auto" w:before="11"/>
        <w:rPr>
          <w:rFonts w:ascii="宋体" w:hAnsi="宋体" w:cs="宋体" w:eastAsia="宋体" w:hint="default"/>
          <w:sz w:val="18"/>
          <w:szCs w:val="18"/>
        </w:rPr>
      </w:pPr>
    </w:p>
    <w:p>
      <w:pPr>
        <w:pStyle w:val="Heading6"/>
        <w:spacing w:line="259" w:lineRule="auto"/>
        <w:ind w:right="0"/>
        <w:jc w:val="left"/>
      </w:pPr>
      <w:r>
        <w:rPr/>
        <w:t>通过多次交易分步取得同一控制下被投资单位的股权，最终形成企业合并的，应在取得控制权的</w:t>
      </w:r>
      <w:r>
        <w:rPr>
          <w:w w:val="100"/>
        </w:rPr>
        <w:t> </w:t>
      </w:r>
      <w:r>
        <w:rPr/>
        <w:t>报告期，补充披露在合并财务报表中的处理方法。例如：通过多次交易分步取得同一控制下被投资单</w:t>
      </w:r>
      <w:r>
        <w:rPr>
          <w:w w:val="100"/>
        </w:rPr>
        <w:t> </w:t>
      </w:r>
      <w:r>
        <w:rPr>
          <w:spacing w:val="-2"/>
        </w:rPr>
        <w:t>位的股权，最终形成企业合并，编制合并报表时，视同在最终控制方开始控制时即以目前的状态存在</w:t>
      </w:r>
      <w:r>
        <w:rPr>
          <w:spacing w:val="-69"/>
        </w:rPr>
        <w:t> </w:t>
      </w:r>
      <w:r>
        <w:rPr>
          <w:spacing w:val="-69"/>
        </w:rPr>
      </w:r>
      <w:r>
        <w:rPr>
          <w:spacing w:val="-5"/>
        </w:rPr>
        <w:t>进行调整，在编制比较报表时，以不早于本集团和被合并方同处于最终控制方的控制之下的时点为限，</w:t>
      </w:r>
      <w:r>
        <w:rPr>
          <w:spacing w:val="-45"/>
        </w:rPr>
        <w:t> </w:t>
      </w:r>
      <w:r>
        <w:rPr>
          <w:spacing w:val="-45"/>
        </w:rPr>
      </w:r>
      <w:r>
        <w:rPr>
          <w:spacing w:val="-2"/>
        </w:rPr>
        <w:t>将被合并方的有关资产、负债并入本集团合并财务报表的比较报表中，并将合并而增加的净资产在比</w:t>
      </w:r>
      <w:r>
        <w:rPr>
          <w:spacing w:val="-70"/>
        </w:rPr>
        <w:t> </w:t>
      </w:r>
      <w:r>
        <w:rPr>
          <w:spacing w:val="-70"/>
        </w:rPr>
      </w:r>
      <w:r>
        <w:rPr>
          <w:spacing w:val="-2"/>
        </w:rPr>
        <w:t>较报表中调整所有者权益项下的相关项目。为避免对被合并方净资产的价值进行重复计算，本集团在</w:t>
      </w:r>
      <w:r>
        <w:rPr>
          <w:spacing w:val="-70"/>
        </w:rPr>
        <w:t> </w:t>
      </w:r>
      <w:r>
        <w:rPr>
          <w:spacing w:val="-70"/>
        </w:rPr>
      </w:r>
      <w:r>
        <w:rPr>
          <w:spacing w:val="-2"/>
        </w:rPr>
        <w:t>达到合并之前持有的长期股权投资，在取得原股权之日与本集团和被合并方处于同一方最终控制之日</w:t>
      </w:r>
      <w:r>
        <w:rPr>
          <w:spacing w:val="-73"/>
        </w:rPr>
        <w:t> </w:t>
      </w:r>
      <w:r>
        <w:rPr>
          <w:spacing w:val="-73"/>
        </w:rPr>
      </w:r>
      <w:r>
        <w:rPr>
          <w:spacing w:val="-2"/>
        </w:rPr>
        <w:t>孰晚日起至合并日之间已确认有关损益、其他综合收益和其他净资产变动，应分别冲减比较报表期间</w:t>
      </w:r>
      <w:r>
        <w:rPr>
          <w:spacing w:val="-70"/>
        </w:rPr>
        <w:t> </w:t>
      </w:r>
      <w:r>
        <w:rPr>
          <w:spacing w:val="-70"/>
        </w:rPr>
      </w:r>
      <w:r>
        <w:rPr/>
        <w:t>的期初留存收益和当期损益。</w:t>
      </w:r>
    </w:p>
    <w:p>
      <w:pPr>
        <w:spacing w:line="240" w:lineRule="auto" w:before="11"/>
        <w:rPr>
          <w:rFonts w:ascii="宋体" w:hAnsi="宋体" w:cs="宋体" w:eastAsia="宋体" w:hint="default"/>
          <w:sz w:val="18"/>
          <w:szCs w:val="18"/>
        </w:rPr>
      </w:pPr>
    </w:p>
    <w:p>
      <w:pPr>
        <w:pStyle w:val="Heading6"/>
        <w:spacing w:line="259" w:lineRule="auto"/>
        <w:ind w:right="1128"/>
        <w:jc w:val="both"/>
      </w:pPr>
      <w:r>
        <w:rPr>
          <w:spacing w:val="-2"/>
        </w:rPr>
        <w:t>对于非同一控制下企业合并取得子公司，经营成果和现金流量自本集团取得控制权之日起纳入合</w:t>
      </w:r>
      <w:r>
        <w:rPr>
          <w:w w:val="100"/>
        </w:rPr>
        <w:t> </w:t>
      </w:r>
      <w:r>
        <w:rPr>
          <w:spacing w:val="-2"/>
        </w:rPr>
        <w:t>并财务报表。在编制合并财务报表时，以购买日确定的各项可辨认资产、负债及或有负债的公允价值</w:t>
      </w:r>
      <w:r>
        <w:rPr>
          <w:spacing w:val="-68"/>
        </w:rPr>
        <w:t> </w:t>
      </w:r>
      <w:r>
        <w:rPr>
          <w:spacing w:val="-68"/>
        </w:rPr>
      </w:r>
      <w:r>
        <w:rPr/>
        <w:t>为基础对子公司的财务报表进行调整。</w:t>
      </w:r>
    </w:p>
    <w:p>
      <w:pPr>
        <w:spacing w:line="240" w:lineRule="auto" w:before="11"/>
        <w:rPr>
          <w:rFonts w:ascii="宋体" w:hAnsi="宋体" w:cs="宋体" w:eastAsia="宋体" w:hint="default"/>
          <w:sz w:val="18"/>
          <w:szCs w:val="18"/>
        </w:rPr>
      </w:pPr>
    </w:p>
    <w:p>
      <w:pPr>
        <w:pStyle w:val="Heading6"/>
        <w:spacing w:line="240" w:lineRule="auto"/>
        <w:ind w:left="592" w:right="0" w:firstLine="0"/>
        <w:jc w:val="left"/>
      </w:pPr>
      <w:r>
        <w:rPr/>
        <w:t>通过多次交易分步取得非同一控制下被投资单位的股权，最终形成企业合并的，应在取得控制权</w:t>
      </w:r>
    </w:p>
    <w:p>
      <w:pPr>
        <w:spacing w:after="0" w:line="240" w:lineRule="auto"/>
        <w:jc w:val="left"/>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59" w:lineRule="auto" w:before="32"/>
        <w:ind w:right="1130" w:firstLine="0"/>
        <w:jc w:val="both"/>
      </w:pPr>
      <w:r>
        <w:rPr>
          <w:spacing w:val="-2"/>
        </w:rPr>
        <w:t>的报告期，补充披露在合并财务报表中的处理方法。例如：通过多次交易分步取得非同一控制下被投</w:t>
      </w:r>
      <w:r>
        <w:rPr>
          <w:spacing w:val="-70"/>
        </w:rPr>
        <w:t> </w:t>
      </w:r>
      <w:r>
        <w:rPr>
          <w:spacing w:val="-70"/>
        </w:rPr>
      </w:r>
      <w:r>
        <w:rPr>
          <w:spacing w:val="-2"/>
        </w:rPr>
        <w:t>资单位的股权，最终形成企业合并，编制合并报表时，对于购买日之前持有的被购买方的股权，按照</w:t>
      </w:r>
      <w:r>
        <w:rPr>
          <w:spacing w:val="-71"/>
        </w:rPr>
        <w:t> </w:t>
      </w:r>
      <w:r>
        <w:rPr>
          <w:spacing w:val="-71"/>
        </w:rPr>
      </w:r>
      <w:r>
        <w:rPr>
          <w:spacing w:val="-2"/>
        </w:rPr>
        <w:t>该股权在购买日的公允价值进行重新计量，公允价值与其账面价值的差额计入当期投资收益；与其相</w:t>
      </w:r>
      <w:r>
        <w:rPr>
          <w:spacing w:val="-70"/>
        </w:rPr>
        <w:t> </w:t>
      </w:r>
      <w:r>
        <w:rPr>
          <w:spacing w:val="-70"/>
        </w:rPr>
      </w:r>
      <w:r>
        <w:rPr>
          <w:spacing w:val="-2"/>
        </w:rPr>
        <w:t>关的购买日之前持有的被购买方的股权涉及权益法核算下的其他综合收益以及除净损益、其他综合收</w:t>
      </w:r>
      <w:r>
        <w:rPr>
          <w:spacing w:val="-73"/>
        </w:rPr>
        <w:t> </w:t>
      </w:r>
      <w:r>
        <w:rPr>
          <w:spacing w:val="-73"/>
        </w:rPr>
      </w:r>
      <w:r>
        <w:rPr>
          <w:spacing w:val="-2"/>
        </w:rPr>
        <w:t>益和利润分配外的其他所有者权益变动，在购买日所属当期转为投资损益，由于被投资方重新计量设</w:t>
      </w:r>
      <w:r>
        <w:rPr>
          <w:spacing w:val="-70"/>
        </w:rPr>
        <w:t> </w:t>
      </w:r>
      <w:r>
        <w:rPr>
          <w:spacing w:val="-70"/>
        </w:rPr>
      </w:r>
      <w:r>
        <w:rPr/>
        <w:t>定受益计划净负债或净资产变动而产生的其他综合收益除外。</w:t>
      </w:r>
    </w:p>
    <w:p>
      <w:pPr>
        <w:spacing w:line="240" w:lineRule="auto" w:before="11"/>
        <w:rPr>
          <w:rFonts w:ascii="宋体" w:hAnsi="宋体" w:cs="宋体" w:eastAsia="宋体" w:hint="default"/>
          <w:sz w:val="18"/>
          <w:szCs w:val="18"/>
        </w:rPr>
      </w:pPr>
    </w:p>
    <w:p>
      <w:pPr>
        <w:pStyle w:val="Heading6"/>
        <w:spacing w:line="259" w:lineRule="auto"/>
        <w:ind w:right="1090"/>
        <w:jc w:val="both"/>
      </w:pPr>
      <w:r>
        <w:rPr>
          <w:spacing w:val="-2"/>
        </w:rPr>
        <w:t>本集团在不丧失控制权的情况下部分处置对子公司的长期股权投资，在合并财务报表中，处置价</w:t>
      </w:r>
      <w:r>
        <w:rPr>
          <w:w w:val="100"/>
        </w:rPr>
        <w:t> </w:t>
      </w:r>
      <w:r>
        <w:rPr>
          <w:spacing w:val="-1"/>
        </w:rPr>
        <w:t>款与处置长期股权投资相对应享有子公司自购买日或合并日开始持续计算的净资产份额之间的差额，</w:t>
      </w:r>
      <w:r>
        <w:rPr>
          <w:spacing w:val="-73"/>
        </w:rPr>
        <w:t> </w:t>
      </w:r>
      <w:r>
        <w:rPr>
          <w:spacing w:val="-73"/>
        </w:rPr>
      </w:r>
      <w:r>
        <w:rPr/>
        <w:t>调整资本溢价或股本溢价，资本公积不足冲减的，调整留存收益。</w:t>
      </w:r>
    </w:p>
    <w:p>
      <w:pPr>
        <w:spacing w:line="240" w:lineRule="auto" w:before="11"/>
        <w:rPr>
          <w:rFonts w:ascii="宋体" w:hAnsi="宋体" w:cs="宋体" w:eastAsia="宋体" w:hint="default"/>
          <w:sz w:val="18"/>
          <w:szCs w:val="18"/>
        </w:rPr>
      </w:pPr>
    </w:p>
    <w:p>
      <w:pPr>
        <w:pStyle w:val="Heading6"/>
        <w:spacing w:line="259" w:lineRule="auto"/>
        <w:ind w:right="1128"/>
        <w:jc w:val="both"/>
      </w:pPr>
      <w:r>
        <w:rPr>
          <w:spacing w:val="-2"/>
        </w:rPr>
        <w:t>本集团因处置部分股权投资等原因丧失了对被投资方的控制权的，在编制合并财务报表时，对于</w:t>
      </w:r>
      <w:r>
        <w:rPr>
          <w:w w:val="100"/>
        </w:rPr>
        <w:t> </w:t>
      </w:r>
      <w:r>
        <w:rPr>
          <w:spacing w:val="-2"/>
        </w:rPr>
        <w:t>剩余股权，按照其在丧失控制权日的公允价值进行重新计量。处置股权取得的对价与剩余股权公允价</w:t>
      </w:r>
      <w:r>
        <w:rPr>
          <w:spacing w:val="-70"/>
        </w:rPr>
        <w:t> </w:t>
      </w:r>
      <w:r>
        <w:rPr>
          <w:spacing w:val="-70"/>
        </w:rPr>
      </w:r>
      <w:r>
        <w:rPr>
          <w:spacing w:val="-2"/>
        </w:rPr>
        <w:t>值之和，减去按原持股比例计算应享有原有子公司自购买日或合并日开始持续计算的净资产的份额之</w:t>
      </w:r>
      <w:r>
        <w:rPr>
          <w:spacing w:val="-73"/>
        </w:rPr>
        <w:t> </w:t>
      </w:r>
      <w:r>
        <w:rPr>
          <w:spacing w:val="-73"/>
        </w:rPr>
      </w:r>
      <w:r>
        <w:rPr>
          <w:spacing w:val="-2"/>
        </w:rPr>
        <w:t>间的差额，计入丧失控制权当期的投资损益，同时冲减商誉。与原有子公司股权投资相关的其他综合</w:t>
      </w:r>
      <w:r>
        <w:rPr>
          <w:spacing w:val="-66"/>
        </w:rPr>
        <w:t> </w:t>
      </w:r>
      <w:r>
        <w:rPr>
          <w:spacing w:val="-66"/>
        </w:rPr>
      </w:r>
      <w:r>
        <w:rPr/>
        <w:t>收益等，在丧失控制权时转为当期投资损益</w:t>
      </w:r>
      <w:r>
        <w:rPr>
          <w:spacing w:val="-23"/>
        </w:rPr>
        <w:t> </w:t>
      </w:r>
      <w:r>
        <w:rPr/>
        <w:t>。</w:t>
      </w:r>
    </w:p>
    <w:p>
      <w:pPr>
        <w:spacing w:line="240" w:lineRule="auto" w:before="11"/>
        <w:rPr>
          <w:rFonts w:ascii="宋体" w:hAnsi="宋体" w:cs="宋体" w:eastAsia="宋体" w:hint="default"/>
          <w:sz w:val="18"/>
          <w:szCs w:val="18"/>
        </w:rPr>
      </w:pPr>
    </w:p>
    <w:p>
      <w:pPr>
        <w:pStyle w:val="Heading6"/>
        <w:spacing w:line="259" w:lineRule="auto"/>
        <w:ind w:right="1130"/>
        <w:jc w:val="both"/>
      </w:pPr>
      <w:r>
        <w:rPr>
          <w:spacing w:val="-2"/>
        </w:rPr>
        <w:t>本集团通过多次交易分步处置对子公司股权投资直至丧失控制权的，如果处置对子公司股权投资</w:t>
      </w:r>
      <w:r>
        <w:rPr>
          <w:w w:val="100"/>
        </w:rPr>
        <w:t> </w:t>
      </w:r>
      <w:r>
        <w:rPr>
          <w:spacing w:val="-2"/>
        </w:rPr>
        <w:t>直至丧失控制权的各项交易属于一揽子交易的，应当将各项交易作为一项处置子公司并丧失控制权的</w:t>
      </w:r>
      <w:r>
        <w:rPr>
          <w:spacing w:val="-73"/>
        </w:rPr>
        <w:t> </w:t>
      </w:r>
      <w:r>
        <w:rPr>
          <w:spacing w:val="-73"/>
        </w:rPr>
      </w:r>
      <w:r>
        <w:rPr>
          <w:spacing w:val="-2"/>
        </w:rPr>
        <w:t>交易进行会计处理；但是，在丧失控制权之前每一次处置价款与处置投资对应的享有该子公司净资产</w:t>
      </w:r>
      <w:r>
        <w:rPr>
          <w:spacing w:val="-69"/>
        </w:rPr>
        <w:t> </w:t>
      </w:r>
      <w:r>
        <w:rPr>
          <w:spacing w:val="-69"/>
        </w:rPr>
      </w:r>
      <w:r>
        <w:rPr>
          <w:spacing w:val="-2"/>
        </w:rPr>
        <w:t>份额的差额，在合并财务报表中确认为其他综合收益，在丧失控制权时一并转入丧失控制权当期的投</w:t>
      </w:r>
      <w:r>
        <w:rPr>
          <w:spacing w:val="-70"/>
        </w:rPr>
        <w:t> </w:t>
      </w:r>
      <w:r>
        <w:rPr>
          <w:spacing w:val="-70"/>
        </w:rPr>
      </w:r>
      <w:r>
        <w:rPr/>
        <w:t>资损益。</w:t>
      </w:r>
    </w:p>
    <w:p>
      <w:pPr>
        <w:spacing w:line="240" w:lineRule="auto" w:before="2"/>
        <w:rPr>
          <w:rFonts w:ascii="宋体" w:hAnsi="宋体" w:cs="宋体" w:eastAsia="宋体" w:hint="default"/>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0"/>
        <w:rPr>
          <w:rFonts w:ascii="宋体" w:hAnsi="宋体" w:cs="宋体" w:eastAsia="宋体" w:hint="default"/>
          <w:b/>
          <w:bCs/>
          <w:sz w:val="24"/>
          <w:szCs w:val="24"/>
        </w:rPr>
      </w:pPr>
    </w:p>
    <w:p>
      <w:pPr>
        <w:pStyle w:val="Heading6"/>
        <w:spacing w:line="261" w:lineRule="auto"/>
        <w:ind w:right="1133"/>
        <w:jc w:val="both"/>
      </w:pPr>
      <w:r>
        <w:rPr>
          <w:spacing w:val="-2"/>
        </w:rPr>
        <w:t>本集团现金流量表之现金指库存现金以及可以随时用于支付的存款。现金流量表之现金等价物指</w:t>
      </w:r>
      <w:r>
        <w:rPr>
          <w:w w:val="100"/>
        </w:rPr>
        <w:t> </w:t>
      </w:r>
      <w:r>
        <w:rPr/>
        <w:t>持有期限不超过</w:t>
      </w:r>
      <w:r>
        <w:rPr>
          <w:rFonts w:ascii="Times New Roman" w:hAnsi="Times New Roman" w:cs="Times New Roman" w:eastAsia="Times New Roman" w:hint="default"/>
        </w:rPr>
        <w:t>3</w:t>
      </w:r>
      <w:r>
        <w:rPr/>
        <w:t>个月、流动性强、易于转换为已知金额现金且价值变动风险很小的投资。</w:t>
      </w:r>
    </w:p>
    <w:p>
      <w:pPr>
        <w:spacing w:line="240" w:lineRule="auto" w:before="7"/>
        <w:rPr>
          <w:rFonts w:ascii="宋体" w:hAnsi="宋体" w:cs="宋体" w:eastAsia="宋体" w:hint="default"/>
          <w:sz w:val="22"/>
          <w:szCs w:val="22"/>
        </w:rPr>
      </w:pPr>
    </w:p>
    <w:p>
      <w:pPr>
        <w:pStyle w:val="Heading7"/>
        <w:spacing w:line="240" w:lineRule="auto"/>
        <w:ind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1"/>
        <w:rPr>
          <w:rFonts w:ascii="宋体" w:hAnsi="宋体" w:cs="宋体" w:eastAsia="宋体" w:hint="default"/>
          <w:b/>
          <w:bCs/>
          <w:sz w:val="23"/>
          <w:szCs w:val="23"/>
        </w:rPr>
      </w:pPr>
    </w:p>
    <w:p>
      <w:pPr>
        <w:pStyle w:val="Heading6"/>
        <w:spacing w:line="240" w:lineRule="auto"/>
        <w:ind w:left="513" w:right="1133" w:firstLine="0"/>
        <w:jc w:val="left"/>
      </w:pPr>
      <w:r>
        <w:rPr/>
        <w:t>（</w:t>
      </w:r>
      <w:r>
        <w:rPr>
          <w:rFonts w:ascii="宋体" w:hAnsi="宋体" w:cs="宋体" w:eastAsia="宋体" w:hint="default"/>
        </w:rPr>
        <w:t>1</w:t>
      </w:r>
      <w:r>
        <w:rPr/>
        <w:t>）外币交易</w:t>
      </w:r>
    </w:p>
    <w:p>
      <w:pPr>
        <w:spacing w:line="240" w:lineRule="auto" w:before="2"/>
        <w:rPr>
          <w:rFonts w:ascii="宋体" w:hAnsi="宋体" w:cs="宋体" w:eastAsia="宋体" w:hint="default"/>
          <w:sz w:val="20"/>
          <w:szCs w:val="20"/>
        </w:rPr>
      </w:pPr>
    </w:p>
    <w:p>
      <w:pPr>
        <w:pStyle w:val="Heading6"/>
        <w:spacing w:line="259" w:lineRule="auto"/>
        <w:ind w:left="513" w:right="1130"/>
        <w:jc w:val="both"/>
      </w:pPr>
      <w:r>
        <w:rPr/>
        <w:t>本集团外币交易按交易发生日的即期汇率将外币金额折算为人民币金额。于资产负债表日，</w:t>
      </w:r>
      <w:r>
        <w:rPr>
          <w:w w:val="100"/>
        </w:rPr>
        <w:t> </w:t>
      </w:r>
      <w:r>
        <w:rPr/>
        <w:t>外币货币性项目采用资产负债表日的即期汇率折算为人民币，所产生的折算差额除了为购建或生</w:t>
      </w:r>
      <w:r>
        <w:rPr>
          <w:spacing w:val="-72"/>
        </w:rPr>
        <w:t> </w:t>
      </w:r>
      <w:r>
        <w:rPr>
          <w:spacing w:val="-72"/>
        </w:rPr>
      </w:r>
      <w:r>
        <w:rPr/>
        <w:t>产符合资本化条件的资产而借入的外币专门借款产生的汇兑差额按资本化的原则处理外，直接计</w:t>
      </w:r>
      <w:r>
        <w:rPr>
          <w:spacing w:val="-71"/>
        </w:rPr>
        <w:t> </w:t>
      </w:r>
      <w:r>
        <w:rPr>
          <w:spacing w:val="-71"/>
        </w:rPr>
      </w:r>
      <w:r>
        <w:rPr/>
        <w:t>入当期损益。</w:t>
      </w:r>
    </w:p>
    <w:p>
      <w:pPr>
        <w:pStyle w:val="Heading6"/>
        <w:spacing w:line="552" w:lineRule="exact" w:before="62"/>
        <w:ind w:left="592" w:right="1133" w:hanging="80"/>
        <w:jc w:val="left"/>
      </w:pPr>
      <w:r>
        <w:rPr/>
        <w:t>（</w:t>
      </w:r>
      <w:r>
        <w:rPr>
          <w:rFonts w:ascii="宋体" w:hAnsi="宋体" w:cs="宋体" w:eastAsia="宋体" w:hint="default"/>
        </w:rPr>
        <w:t>2</w:t>
      </w:r>
      <w:r>
        <w:rPr/>
        <w:t>）外币财务报表的折算</w:t>
      </w:r>
      <w:r>
        <w:rPr>
          <w:w w:val="100"/>
        </w:rPr>
        <w:t> </w:t>
      </w:r>
      <w:r>
        <w:rPr>
          <w:spacing w:val="-5"/>
        </w:rPr>
        <w:t>外币资产负债表中资产、负债类项目采用资产负债表日的即期汇率折算；所有者权益类项目除</w:t>
      </w:r>
      <w:r>
        <w:rPr>
          <w:rFonts w:ascii="Times New Roman" w:hAnsi="Times New Roman" w:cs="Times New Roman" w:eastAsia="Times New Roman" w:hint="default"/>
          <w:spacing w:val="-5"/>
        </w:rPr>
        <w:t>“</w:t>
      </w:r>
      <w:r>
        <w:rPr>
          <w:spacing w:val="-5"/>
        </w:rPr>
        <w:t>未</w:t>
      </w:r>
    </w:p>
    <w:p>
      <w:pPr>
        <w:pStyle w:val="Heading6"/>
        <w:spacing w:line="249" w:lineRule="exact"/>
        <w:ind w:right="0" w:firstLine="0"/>
        <w:jc w:val="both"/>
      </w:pPr>
      <w:r>
        <w:rPr/>
        <w:t>分配利润</w:t>
      </w:r>
      <w:r>
        <w:rPr>
          <w:rFonts w:ascii="Times New Roman" w:hAnsi="Times New Roman" w:cs="Times New Roman" w:eastAsia="Times New Roman" w:hint="default"/>
        </w:rPr>
        <w:t>”</w:t>
      </w:r>
      <w:r>
        <w:rPr/>
        <w:t>外，均按业务发生时的即期汇率折算；利润表中的收入与费用项目，采用交易发生日的即</w:t>
      </w:r>
    </w:p>
    <w:p>
      <w:pPr>
        <w:pStyle w:val="Heading6"/>
        <w:spacing w:line="259" w:lineRule="auto" w:before="7"/>
        <w:ind w:right="1128" w:firstLine="0"/>
        <w:jc w:val="both"/>
      </w:pPr>
      <w:r>
        <w:rPr>
          <w:spacing w:val="-2"/>
        </w:rPr>
        <w:t>期汇率折算。上述折算产生的外币报表折算差额，在其他综合收益项目中列示。外币现金流量采用现</w:t>
      </w:r>
      <w:r>
        <w:rPr>
          <w:spacing w:val="-67"/>
        </w:rPr>
        <w:t> </w:t>
      </w:r>
      <w:r>
        <w:rPr>
          <w:spacing w:val="-67"/>
        </w:rPr>
      </w:r>
      <w:r>
        <w:rPr/>
        <w:t>金流量发生日的即期汇率折算。汇率变动对现金的影响额，在现金流量表中单独列示。</w:t>
      </w:r>
    </w:p>
    <w:p>
      <w:pPr>
        <w:spacing w:after="0" w:line="259"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1133"/>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1"/>
        <w:rPr>
          <w:rFonts w:ascii="宋体" w:hAnsi="宋体" w:cs="宋体" w:eastAsia="宋体" w:hint="default"/>
          <w:b/>
          <w:bCs/>
          <w:sz w:val="24"/>
          <w:szCs w:val="24"/>
        </w:rPr>
      </w:pPr>
    </w:p>
    <w:p>
      <w:pPr>
        <w:pStyle w:val="Heading6"/>
        <w:spacing w:line="240" w:lineRule="auto"/>
        <w:ind w:left="592" w:right="1133" w:firstLine="0"/>
        <w:jc w:val="left"/>
      </w:pPr>
      <w:r>
        <w:rPr/>
        <w:t>本集团成为金融工具合同的一方时确认一项金融资产或金融负债。</w:t>
      </w:r>
    </w:p>
    <w:p>
      <w:pPr>
        <w:spacing w:line="240" w:lineRule="auto" w:before="2"/>
        <w:rPr>
          <w:rFonts w:ascii="宋体" w:hAnsi="宋体" w:cs="宋体" w:eastAsia="宋体" w:hint="default"/>
          <w:sz w:val="20"/>
          <w:szCs w:val="20"/>
        </w:rPr>
      </w:pPr>
    </w:p>
    <w:p>
      <w:pPr>
        <w:pStyle w:val="Heading6"/>
        <w:spacing w:line="460" w:lineRule="auto"/>
        <w:ind w:left="513" w:right="6474" w:firstLine="0"/>
        <w:jc w:val="left"/>
      </w:pPr>
      <w:r>
        <w:rPr/>
        <w:t>（</w:t>
      </w:r>
      <w:r>
        <w:rPr>
          <w:rFonts w:ascii="宋体" w:hAnsi="宋体" w:cs="宋体" w:eastAsia="宋体" w:hint="default"/>
        </w:rPr>
        <w:t>1</w:t>
      </w:r>
      <w:r>
        <w:rPr/>
        <w:t>）金融资产</w:t>
      </w:r>
      <w:r>
        <w:rPr>
          <w:w w:val="100"/>
        </w:rPr>
        <w:t> </w:t>
      </w:r>
      <w:r>
        <w:rPr>
          <w:rFonts w:ascii="宋体" w:hAnsi="宋体" w:cs="宋体" w:eastAsia="宋体" w:hint="default"/>
          <w:spacing w:val="-1"/>
        </w:rPr>
        <w:t>1</w:t>
      </w:r>
      <w:r>
        <w:rPr>
          <w:spacing w:val="-1"/>
        </w:rPr>
        <w:t>）金融资产分类、确认依据和计量方法</w:t>
      </w:r>
    </w:p>
    <w:p>
      <w:pPr>
        <w:pStyle w:val="Heading6"/>
        <w:spacing w:line="259" w:lineRule="auto" w:before="61"/>
        <w:ind w:left="513" w:right="1133"/>
        <w:jc w:val="both"/>
      </w:pPr>
      <w:r>
        <w:rPr/>
        <w:t>本集团按投资目的和经济实质对拥有的金融资产分类为以公允价值计量且其变动计入当期损</w:t>
      </w:r>
      <w:r>
        <w:rPr>
          <w:w w:val="100"/>
        </w:rPr>
        <w:t> </w:t>
      </w:r>
      <w:r>
        <w:rPr/>
        <w:t>益的金融资产、持有至到期投资、应收款项及可供出售金融资产。</w:t>
      </w:r>
    </w:p>
    <w:p>
      <w:pPr>
        <w:spacing w:line="240" w:lineRule="auto" w:before="11"/>
        <w:rPr>
          <w:rFonts w:ascii="宋体" w:hAnsi="宋体" w:cs="宋体" w:eastAsia="宋体" w:hint="default"/>
          <w:sz w:val="18"/>
          <w:szCs w:val="18"/>
        </w:rPr>
      </w:pPr>
    </w:p>
    <w:p>
      <w:pPr>
        <w:pStyle w:val="Heading6"/>
        <w:spacing w:line="259" w:lineRule="auto"/>
        <w:ind w:left="513" w:right="1129"/>
        <w:jc w:val="both"/>
      </w:pPr>
      <w:r>
        <w:rPr/>
        <w:t>以公允价值计量且其变动计入当期损益的金融资产，包括交易性金融资产和在初始确认时指</w:t>
      </w:r>
      <w:r>
        <w:rPr>
          <w:w w:val="100"/>
        </w:rPr>
        <w:t> </w:t>
      </w:r>
      <w:r>
        <w:rPr/>
        <w:t>定为以公允价值计量且其变动计入当期损益的金融资产。本集团将满足下列条件之一的金融资产</w:t>
      </w:r>
      <w:r>
        <w:rPr>
          <w:spacing w:val="-71"/>
        </w:rPr>
        <w:t> </w:t>
      </w:r>
      <w:r>
        <w:rPr>
          <w:spacing w:val="-71"/>
        </w:rPr>
      </w:r>
      <w:r>
        <w:rPr/>
        <w:t>归类为交易性金融资产：取得该金融资产的目的是为了在短期内出售；属于进行集中管理的可辨</w:t>
      </w:r>
      <w:r>
        <w:rPr>
          <w:spacing w:val="-70"/>
        </w:rPr>
        <w:t> </w:t>
      </w:r>
      <w:r>
        <w:rPr>
          <w:spacing w:val="-70"/>
        </w:rPr>
      </w:r>
      <w:r>
        <w:rPr/>
        <w:t>认金融工具组合的一部分，且有客观证据表明公司近期采用短期获利方式对该组合进行管理；属</w:t>
      </w:r>
      <w:r>
        <w:rPr>
          <w:spacing w:val="-71"/>
        </w:rPr>
        <w:t> </w:t>
      </w:r>
      <w:r>
        <w:rPr>
          <w:spacing w:val="-71"/>
        </w:rPr>
      </w:r>
      <w:r>
        <w:rPr/>
        <w:t>于衍生工具，但是，被指定且为有效套期工具的衍生工具、属于财务担保合同的衍生工具、与在</w:t>
      </w:r>
      <w:r>
        <w:rPr>
          <w:spacing w:val="-71"/>
        </w:rPr>
        <w:t> </w:t>
      </w:r>
      <w:r>
        <w:rPr>
          <w:spacing w:val="-71"/>
        </w:rPr>
      </w:r>
      <w:r>
        <w:rPr/>
        <w:t>活跃市场中没有报价且其公允价值不能可靠计量的权益工具投资挂钩并须通过交付该权益工具结</w:t>
      </w:r>
      <w:r>
        <w:rPr>
          <w:spacing w:val="-71"/>
        </w:rPr>
        <w:t> </w:t>
      </w:r>
      <w:r>
        <w:rPr>
          <w:spacing w:val="-71"/>
        </w:rPr>
      </w:r>
      <w:r>
        <w:rPr/>
        <w:t>算的衍生工具除外。本集团将只有符合下列条件之一的金融工具，才可在初始确认时指定为以公</w:t>
      </w:r>
      <w:r>
        <w:rPr>
          <w:spacing w:val="-71"/>
        </w:rPr>
        <w:t> </w:t>
      </w:r>
      <w:r>
        <w:rPr>
          <w:spacing w:val="-71"/>
        </w:rPr>
      </w:r>
      <w:r>
        <w:rPr/>
        <w:t>允价值计量且其变动计入当期损益的金融资产：该指定可以消除或明显减少由于该金融工具的计</w:t>
      </w:r>
      <w:r>
        <w:rPr>
          <w:spacing w:val="-71"/>
        </w:rPr>
        <w:t> </w:t>
      </w:r>
      <w:r>
        <w:rPr>
          <w:spacing w:val="-71"/>
        </w:rPr>
      </w:r>
      <w:r>
        <w:rPr/>
        <w:t>量基础不同所导致的相关利得或损失在确认或计量方面不一致的情况；公司风险管理或投资策略</w:t>
      </w:r>
      <w:r>
        <w:rPr>
          <w:spacing w:val="-70"/>
        </w:rPr>
        <w:t> </w:t>
      </w:r>
      <w:r>
        <w:rPr>
          <w:spacing w:val="-70"/>
        </w:rPr>
      </w:r>
      <w:r>
        <w:rPr/>
        <w:t>的正式书面文件已载明，该金融工具组合以公允价值为基础进行管理、评价并向关键管理人员报</w:t>
      </w:r>
      <w:r>
        <w:rPr>
          <w:spacing w:val="-71"/>
        </w:rPr>
        <w:t> </w:t>
      </w:r>
      <w:r>
        <w:rPr>
          <w:spacing w:val="-71"/>
        </w:rPr>
      </w:r>
      <w:r>
        <w:rPr/>
        <w:t>告；包含一项或多项嵌入衍生工具的混合工具，除非嵌入衍生工具对混合工具的现金流量没有重</w:t>
      </w:r>
      <w:r>
        <w:rPr>
          <w:spacing w:val="-71"/>
        </w:rPr>
        <w:t> </w:t>
      </w:r>
      <w:r>
        <w:rPr>
          <w:spacing w:val="-71"/>
        </w:rPr>
      </w:r>
      <w:r>
        <w:rPr/>
        <w:t>大改变，或所嵌入的衍生工具明显不应当从相关混合工具中分拆；包含需要分拆但无法在取得时</w:t>
      </w:r>
      <w:r>
        <w:rPr>
          <w:spacing w:val="-71"/>
        </w:rPr>
        <w:t> </w:t>
      </w:r>
      <w:r>
        <w:rPr>
          <w:spacing w:val="-71"/>
        </w:rPr>
      </w:r>
      <w:r>
        <w:rPr/>
        <w:t>或后续的资产负债表日对其进行单独计量的嵌入衍生工具的混合工具。对此类金融资产，采用公</w:t>
      </w:r>
      <w:r>
        <w:rPr>
          <w:spacing w:val="-71"/>
        </w:rPr>
        <w:t> </w:t>
      </w:r>
      <w:r>
        <w:rPr>
          <w:spacing w:val="-71"/>
        </w:rPr>
      </w:r>
      <w:r>
        <w:rPr/>
        <w:t>允价值进行后续计量。公允价值变动计入公允价值变动损益；在资产持有期间所取得的利息或现</w:t>
      </w:r>
      <w:r>
        <w:rPr>
          <w:spacing w:val="-71"/>
        </w:rPr>
        <w:t> </w:t>
      </w:r>
      <w:r>
        <w:rPr>
          <w:spacing w:val="-71"/>
        </w:rPr>
      </w:r>
      <w:r>
        <w:rPr/>
        <w:t>金股利，确认为投资收益；处置时，其公允价值与初始入账金额之间的差额确认为投资损益，同</w:t>
      </w:r>
      <w:r>
        <w:rPr>
          <w:spacing w:val="-70"/>
        </w:rPr>
        <w:t> </w:t>
      </w:r>
      <w:r>
        <w:rPr>
          <w:spacing w:val="-70"/>
        </w:rPr>
      </w:r>
      <w:r>
        <w:rPr/>
        <w:t>时调整公允价值变动损益。</w:t>
      </w:r>
    </w:p>
    <w:p>
      <w:pPr>
        <w:spacing w:line="240" w:lineRule="auto" w:before="11"/>
        <w:rPr>
          <w:rFonts w:ascii="宋体" w:hAnsi="宋体" w:cs="宋体" w:eastAsia="宋体" w:hint="default"/>
          <w:sz w:val="18"/>
          <w:szCs w:val="18"/>
        </w:rPr>
      </w:pPr>
    </w:p>
    <w:p>
      <w:pPr>
        <w:pStyle w:val="Heading6"/>
        <w:spacing w:line="259" w:lineRule="auto"/>
        <w:ind w:left="513" w:right="1130"/>
        <w:jc w:val="both"/>
      </w:pPr>
      <w:r>
        <w:rPr/>
        <w:t>持有至到期投资，是指到期日固定、回收金额固定或可确定，且本集团有明确意图和能力持</w:t>
      </w:r>
      <w:r>
        <w:rPr>
          <w:w w:val="100"/>
        </w:rPr>
        <w:t> </w:t>
      </w:r>
      <w:r>
        <w:rPr/>
        <w:t>有至到期的非衍生金融资产。持有至到期投资采用实际利率法，按照摊余成本进行后续计量，其</w:t>
      </w:r>
      <w:r>
        <w:rPr>
          <w:spacing w:val="-71"/>
        </w:rPr>
        <w:t> </w:t>
      </w:r>
      <w:r>
        <w:rPr>
          <w:spacing w:val="-71"/>
        </w:rPr>
      </w:r>
      <w:r>
        <w:rPr/>
        <w:t>摊销或减值以及终止确认产生的利得或损失，均计入当期损益。</w:t>
      </w:r>
    </w:p>
    <w:p>
      <w:pPr>
        <w:spacing w:line="240" w:lineRule="auto" w:before="11"/>
        <w:rPr>
          <w:rFonts w:ascii="宋体" w:hAnsi="宋体" w:cs="宋体" w:eastAsia="宋体" w:hint="default"/>
          <w:sz w:val="18"/>
          <w:szCs w:val="18"/>
        </w:rPr>
      </w:pPr>
    </w:p>
    <w:p>
      <w:pPr>
        <w:pStyle w:val="Heading6"/>
        <w:spacing w:line="259" w:lineRule="auto"/>
        <w:ind w:left="513" w:right="1130"/>
        <w:jc w:val="both"/>
      </w:pPr>
      <w:r>
        <w:rPr/>
        <w:t>应收款项，是指在活跃市场中没有报价，回收金额固定或可确定的非衍生金融资产。采用实</w:t>
      </w:r>
      <w:r>
        <w:rPr>
          <w:w w:val="100"/>
        </w:rPr>
        <w:t> </w:t>
      </w:r>
      <w:r>
        <w:rPr/>
        <w:t>际利率法，按照摊余成本进行后续计量，其摊销或减值以及终止确认产生的利得或损失，均计入</w:t>
      </w:r>
      <w:r>
        <w:rPr>
          <w:spacing w:val="-71"/>
        </w:rPr>
        <w:t> </w:t>
      </w:r>
      <w:r>
        <w:rPr>
          <w:spacing w:val="-71"/>
        </w:rPr>
      </w:r>
      <w:r>
        <w:rPr/>
        <w:t>当期损益。</w:t>
      </w:r>
    </w:p>
    <w:p>
      <w:pPr>
        <w:spacing w:line="240" w:lineRule="auto" w:before="11"/>
        <w:rPr>
          <w:rFonts w:ascii="宋体" w:hAnsi="宋体" w:cs="宋体" w:eastAsia="宋体" w:hint="default"/>
          <w:sz w:val="18"/>
          <w:szCs w:val="18"/>
        </w:rPr>
      </w:pPr>
    </w:p>
    <w:p>
      <w:pPr>
        <w:pStyle w:val="Heading6"/>
        <w:spacing w:line="259" w:lineRule="auto"/>
        <w:ind w:left="513" w:right="0"/>
        <w:jc w:val="left"/>
      </w:pPr>
      <w:r>
        <w:rPr/>
        <w:t>可供出售金融资产，是指初始确认时即被指定为可供出售的非衍生金融资产，以及未被划分</w:t>
      </w:r>
      <w:r>
        <w:rPr>
          <w:w w:val="100"/>
        </w:rPr>
        <w:t> </w:t>
      </w:r>
      <w:r>
        <w:rPr/>
        <w:t>为其他类的金融资产。这类资产中，在活跃市场中没有报价且其公允价值不能可靠计量的权益工</w:t>
      </w:r>
      <w:r>
        <w:rPr>
          <w:spacing w:val="-71"/>
        </w:rPr>
        <w:t> </w:t>
      </w:r>
      <w:r>
        <w:rPr>
          <w:spacing w:val="-71"/>
        </w:rPr>
      </w:r>
      <w:r>
        <w:rPr/>
        <w:t>具投资以及与该权益工具挂钩并须通过交付该权益工具结算的衍生金融资产，按成本进行后续计</w:t>
      </w:r>
      <w:r>
        <w:rPr>
          <w:spacing w:val="-71"/>
        </w:rPr>
        <w:t> </w:t>
      </w:r>
      <w:r>
        <w:rPr>
          <w:spacing w:val="-71"/>
        </w:rPr>
      </w:r>
      <w:r>
        <w:rPr>
          <w:spacing w:val="-3"/>
        </w:rPr>
        <w:t>量；其他存在活跃市场报价或虽没有活跃市场报价但公允价值能够可靠计量的，按公允价值计量，</w:t>
      </w:r>
      <w:r>
        <w:rPr>
          <w:spacing w:val="-61"/>
        </w:rPr>
        <w:t> </w:t>
      </w:r>
      <w:r>
        <w:rPr>
          <w:spacing w:val="-61"/>
        </w:rPr>
      </w:r>
      <w:r>
        <w:rPr/>
        <w:t>公允价值变动计入其他综合收益。对于此类金融资产采用公允价值进行后续计量，除减值损失及</w:t>
      </w:r>
      <w:r>
        <w:rPr>
          <w:spacing w:val="-71"/>
        </w:rPr>
        <w:t> </w:t>
      </w:r>
      <w:r>
        <w:rPr>
          <w:spacing w:val="-71"/>
        </w:rPr>
      </w:r>
      <w:r>
        <w:rPr/>
        <w:t>外币货币性金融资产形成的汇兑损益外，可供出售金融资产公允价值变动直接计入股东权益，待</w:t>
      </w:r>
      <w:r>
        <w:rPr>
          <w:spacing w:val="-71"/>
        </w:rPr>
        <w:t> </w:t>
      </w:r>
      <w:r>
        <w:rPr>
          <w:spacing w:val="-71"/>
        </w:rPr>
      </w:r>
      <w:r>
        <w:rPr/>
        <w:t>该金融资产终止确认时，原直接计入权益的公允价值变动累计额转入当期损益。可供出售债务工</w:t>
      </w:r>
      <w:r>
        <w:rPr>
          <w:spacing w:val="-71"/>
        </w:rPr>
        <w:t> </w:t>
      </w:r>
      <w:r>
        <w:rPr>
          <w:spacing w:val="-71"/>
        </w:rPr>
      </w:r>
      <w:r>
        <w:rPr/>
        <w:t>具投资在持有期间按实际利率法计算的利息，以及被投资单位宣告发放的与可供出售权益工具投</w:t>
      </w:r>
      <w:r>
        <w:rPr>
          <w:spacing w:val="-71"/>
        </w:rPr>
        <w:t> </w:t>
      </w:r>
      <w:r>
        <w:rPr>
          <w:spacing w:val="-71"/>
        </w:rPr>
      </w:r>
      <w:r>
        <w:rPr/>
        <w:t>资相关的现金股利，作为投资收益计入当期损益。对于在活跃市场中没有报价且其公允价值不能</w:t>
      </w:r>
      <w:r>
        <w:rPr>
          <w:spacing w:val="-71"/>
        </w:rPr>
        <w:t> </w:t>
      </w:r>
      <w:r>
        <w:rPr>
          <w:spacing w:val="-71"/>
        </w:rPr>
      </w:r>
      <w:r>
        <w:rPr/>
        <w:t>可靠计量的权益工具投资，按成本计量。</w:t>
      </w:r>
    </w:p>
    <w:p>
      <w:pPr>
        <w:spacing w:after="0" w:line="259" w:lineRule="auto"/>
        <w:jc w:val="left"/>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40" w:lineRule="auto" w:before="32"/>
        <w:ind w:left="513" w:right="0" w:firstLine="0"/>
        <w:jc w:val="both"/>
      </w:pPr>
      <w:r>
        <w:rPr>
          <w:rFonts w:ascii="宋体" w:hAnsi="宋体" w:cs="宋体" w:eastAsia="宋体" w:hint="default"/>
        </w:rPr>
        <w:t>2</w:t>
      </w:r>
      <w:r>
        <w:rPr/>
        <w:t>）金融资产转移的确认依据和计量方法</w:t>
      </w:r>
    </w:p>
    <w:p>
      <w:pPr>
        <w:spacing w:line="240" w:lineRule="auto" w:before="3"/>
        <w:rPr>
          <w:rFonts w:ascii="宋体" w:hAnsi="宋体" w:cs="宋体" w:eastAsia="宋体" w:hint="default"/>
          <w:sz w:val="20"/>
          <w:szCs w:val="20"/>
        </w:rPr>
      </w:pPr>
    </w:p>
    <w:p>
      <w:pPr>
        <w:pStyle w:val="Heading6"/>
        <w:spacing w:line="240" w:lineRule="auto"/>
        <w:ind w:left="952" w:right="0" w:firstLine="0"/>
        <w:jc w:val="left"/>
      </w:pPr>
      <w:r>
        <w:rPr>
          <w:spacing w:val="-3"/>
        </w:rPr>
        <w:t>金融资产满足下列条件之一的，予以终止确认：①收取该金融资产现金流量的合同权利终止；</w:t>
      </w:r>
    </w:p>
    <w:p>
      <w:pPr>
        <w:pStyle w:val="Heading6"/>
        <w:spacing w:line="259" w:lineRule="auto" w:before="24"/>
        <w:ind w:left="513" w:right="1130" w:firstLine="0"/>
        <w:jc w:val="both"/>
      </w:pPr>
      <w:r>
        <w:rPr>
          <w:spacing w:val="-2"/>
        </w:rPr>
        <w:t>②该金融资产已转移，且本集团将金融资产所有权上几乎所有的风险和报酬转移给转入方；</w:t>
      </w:r>
      <w:r>
        <w:rPr>
          <w:spacing w:val="-9"/>
        </w:rPr>
        <w:t> </w:t>
      </w:r>
      <w:r>
        <w:rPr>
          <w:spacing w:val="-3"/>
        </w:rPr>
        <w:t>③该</w:t>
      </w:r>
      <w:r>
        <w:rPr>
          <w:spacing w:val="-100"/>
        </w:rPr>
        <w:t> </w:t>
      </w:r>
      <w:r>
        <w:rPr>
          <w:spacing w:val="-100"/>
        </w:rPr>
      </w:r>
      <w:r>
        <w:rPr/>
        <w:t>金融资产已转移，虽然本集团既没有转移也没有保留金融资产所有权上几乎所有的风险和报酬，</w:t>
      </w:r>
      <w:r>
        <w:rPr>
          <w:spacing w:val="-71"/>
        </w:rPr>
        <w:t> </w:t>
      </w:r>
      <w:r>
        <w:rPr>
          <w:spacing w:val="-71"/>
        </w:rPr>
      </w:r>
      <w:r>
        <w:rPr/>
        <w:t>但是放弃了对该金融资产控制。</w:t>
      </w:r>
    </w:p>
    <w:p>
      <w:pPr>
        <w:spacing w:line="240" w:lineRule="auto" w:before="11"/>
        <w:rPr>
          <w:rFonts w:ascii="宋体" w:hAnsi="宋体" w:cs="宋体" w:eastAsia="宋体" w:hint="default"/>
          <w:sz w:val="18"/>
          <w:szCs w:val="18"/>
        </w:rPr>
      </w:pPr>
    </w:p>
    <w:p>
      <w:pPr>
        <w:pStyle w:val="Heading6"/>
        <w:spacing w:line="259" w:lineRule="auto"/>
        <w:ind w:left="513" w:right="1133"/>
        <w:jc w:val="right"/>
      </w:pPr>
      <w:r>
        <w:rPr/>
        <w:t>企业既没有转移也没有保留金融资产所有权上几乎所有的风险和报酬，且未放弃对该金融资</w:t>
      </w:r>
      <w:r>
        <w:rPr>
          <w:w w:val="100"/>
        </w:rPr>
        <w:t> </w:t>
      </w:r>
      <w:r>
        <w:rPr>
          <w:spacing w:val="-1"/>
        </w:rPr>
        <w:t>产控制的，则按照其继续涉入所转移金融资产的程度确认有关金融资产，并相应确认有关负债。</w:t>
      </w:r>
    </w:p>
    <w:p>
      <w:pPr>
        <w:spacing w:line="240" w:lineRule="auto" w:before="11"/>
        <w:rPr>
          <w:rFonts w:ascii="宋体" w:hAnsi="宋体" w:cs="宋体" w:eastAsia="宋体" w:hint="default"/>
          <w:sz w:val="18"/>
          <w:szCs w:val="18"/>
        </w:rPr>
      </w:pPr>
    </w:p>
    <w:p>
      <w:pPr>
        <w:pStyle w:val="Heading6"/>
        <w:spacing w:line="259" w:lineRule="auto"/>
        <w:ind w:left="513" w:right="1133"/>
        <w:jc w:val="both"/>
      </w:pPr>
      <w:r>
        <w:rPr/>
        <w:t>金融资产整体转移满足终止确认条件的，将所转移金融资产的账面价值，与因转移而收到的</w:t>
      </w:r>
      <w:r>
        <w:rPr>
          <w:w w:val="100"/>
        </w:rPr>
        <w:t> </w:t>
      </w:r>
      <w:r>
        <w:rPr/>
        <w:t>对价及原计入其他综合收益的公允价值变动累计额之和的差额计入当期损益。</w:t>
      </w:r>
    </w:p>
    <w:p>
      <w:pPr>
        <w:spacing w:line="240" w:lineRule="auto" w:before="11"/>
        <w:rPr>
          <w:rFonts w:ascii="宋体" w:hAnsi="宋体" w:cs="宋体" w:eastAsia="宋体" w:hint="default"/>
          <w:sz w:val="18"/>
          <w:szCs w:val="18"/>
        </w:rPr>
      </w:pPr>
    </w:p>
    <w:p>
      <w:pPr>
        <w:pStyle w:val="Heading6"/>
        <w:spacing w:line="259" w:lineRule="auto"/>
        <w:ind w:left="513" w:right="1130"/>
        <w:jc w:val="both"/>
      </w:pPr>
      <w:r>
        <w:rPr/>
        <w:t>金融资产部分转移满足终止确认条件的，将所转移金融资产整体的账面价值，在终止确认部</w:t>
      </w:r>
      <w:r>
        <w:rPr>
          <w:w w:val="100"/>
        </w:rPr>
        <w:t> </w:t>
      </w:r>
      <w:r>
        <w:rPr/>
        <w:t>分和未终止确认部分之间，按照各自的相对公允价值进行分摊，并将因转移而收到的对价及应分</w:t>
      </w:r>
      <w:r>
        <w:rPr>
          <w:spacing w:val="-71"/>
        </w:rPr>
        <w:t> </w:t>
      </w:r>
      <w:r>
        <w:rPr>
          <w:spacing w:val="-71"/>
        </w:rPr>
      </w:r>
      <w:r>
        <w:rPr/>
        <w:t>摊至终止确认部分的原计入其他综合收益的公允价值变动累计额之和，与分摊的前述账面金额的</w:t>
      </w:r>
      <w:r>
        <w:rPr>
          <w:spacing w:val="-72"/>
        </w:rPr>
        <w:t> </w:t>
      </w:r>
      <w:r>
        <w:rPr>
          <w:spacing w:val="-72"/>
        </w:rPr>
      </w:r>
      <w:r>
        <w:rPr/>
        <w:t>差额计入当期损益。</w:t>
      </w:r>
    </w:p>
    <w:p>
      <w:pPr>
        <w:pStyle w:val="Heading6"/>
        <w:spacing w:line="552" w:lineRule="exact" w:before="62"/>
        <w:ind w:left="952" w:right="1133" w:hanging="440"/>
        <w:jc w:val="left"/>
      </w:pPr>
      <w:r>
        <w:rPr>
          <w:rFonts w:ascii="宋体" w:hAnsi="宋体" w:cs="宋体" w:eastAsia="宋体" w:hint="default"/>
        </w:rPr>
        <w:t>3</w:t>
      </w:r>
      <w:r>
        <w:rPr/>
        <w:t>）金融资产减值的测试方法及会计处理方法</w:t>
      </w:r>
      <w:r>
        <w:rPr>
          <w:w w:val="100"/>
        </w:rPr>
        <w:t> </w:t>
      </w:r>
      <w:r>
        <w:rPr/>
        <w:t>除以公允价值计量且其变动计入当期损益的金融资产外，本集团于资产负债表日对其他金融</w:t>
      </w:r>
    </w:p>
    <w:p>
      <w:pPr>
        <w:pStyle w:val="Heading6"/>
        <w:spacing w:line="233" w:lineRule="exact"/>
        <w:ind w:left="513" w:right="0" w:firstLine="0"/>
        <w:jc w:val="both"/>
      </w:pPr>
      <w:r>
        <w:rPr/>
        <w:t>资产的账面价值进行检查，如果有客观证据表明某项金融资产发生减值的，计提减值准备。</w:t>
      </w:r>
    </w:p>
    <w:p>
      <w:pPr>
        <w:spacing w:line="240" w:lineRule="auto" w:before="2"/>
        <w:rPr>
          <w:rFonts w:ascii="宋体" w:hAnsi="宋体" w:cs="宋体" w:eastAsia="宋体" w:hint="default"/>
          <w:sz w:val="20"/>
          <w:szCs w:val="20"/>
        </w:rPr>
      </w:pPr>
    </w:p>
    <w:p>
      <w:pPr>
        <w:pStyle w:val="Heading6"/>
        <w:spacing w:line="460" w:lineRule="auto"/>
        <w:ind w:left="513" w:right="6474" w:firstLine="0"/>
        <w:jc w:val="left"/>
      </w:pPr>
      <w:r>
        <w:rPr/>
        <w:t>（</w:t>
      </w:r>
      <w:r>
        <w:rPr>
          <w:rFonts w:ascii="宋体" w:hAnsi="宋体" w:cs="宋体" w:eastAsia="宋体" w:hint="default"/>
        </w:rPr>
        <w:t>2</w:t>
      </w:r>
      <w:r>
        <w:rPr/>
        <w:t>）</w:t>
      </w:r>
      <w:r>
        <w:rPr>
          <w:spacing w:val="57"/>
        </w:rPr>
        <w:t> </w:t>
      </w:r>
      <w:r>
        <w:rPr/>
        <w:t>金融负债</w:t>
      </w:r>
      <w:r>
        <w:rPr>
          <w:spacing w:val="-106"/>
        </w:rPr>
        <w:t> </w:t>
      </w:r>
      <w:r>
        <w:rPr>
          <w:spacing w:val="-106"/>
        </w:rPr>
      </w:r>
      <w:r>
        <w:rPr>
          <w:rFonts w:ascii="宋体" w:hAnsi="宋体" w:cs="宋体" w:eastAsia="宋体" w:hint="default"/>
          <w:spacing w:val="-1"/>
        </w:rPr>
        <w:t>1</w:t>
      </w:r>
      <w:r>
        <w:rPr>
          <w:spacing w:val="-1"/>
        </w:rPr>
        <w:t>）金融负债分类、确认依据和计量方法</w:t>
      </w:r>
    </w:p>
    <w:p>
      <w:pPr>
        <w:pStyle w:val="Heading6"/>
        <w:spacing w:line="259" w:lineRule="auto" w:before="62"/>
        <w:ind w:left="513" w:right="1133"/>
        <w:jc w:val="both"/>
      </w:pPr>
      <w:r>
        <w:rPr/>
        <w:t>本集团的金融负债于初始确认时分类为以公允价值计量且其变动计入当期损益的金融负债和</w:t>
      </w:r>
      <w:r>
        <w:rPr>
          <w:w w:val="100"/>
        </w:rPr>
        <w:t> </w:t>
      </w:r>
      <w:r>
        <w:rPr/>
        <w:t>其他金融负债。</w:t>
      </w:r>
    </w:p>
    <w:p>
      <w:pPr>
        <w:spacing w:line="240" w:lineRule="auto" w:before="11"/>
        <w:rPr>
          <w:rFonts w:ascii="宋体" w:hAnsi="宋体" w:cs="宋体" w:eastAsia="宋体" w:hint="default"/>
          <w:sz w:val="18"/>
          <w:szCs w:val="18"/>
        </w:rPr>
      </w:pPr>
    </w:p>
    <w:p>
      <w:pPr>
        <w:pStyle w:val="Heading6"/>
        <w:spacing w:line="259" w:lineRule="auto"/>
        <w:ind w:left="513" w:right="1130"/>
        <w:jc w:val="both"/>
      </w:pPr>
      <w:r>
        <w:rPr/>
        <w:t>以公允价值计量且其变动计入当期损益的金融负债，包括交易性金融负债和初始确认时指定</w:t>
      </w:r>
      <w:r>
        <w:rPr>
          <w:w w:val="100"/>
        </w:rPr>
        <w:t> </w:t>
      </w:r>
      <w:r>
        <w:rPr/>
        <w:t>为以公允价值计量且其变动计入当期损益的金融负债。按照公允价值进行后续计量，公允价值变</w:t>
      </w:r>
      <w:r>
        <w:rPr>
          <w:spacing w:val="-71"/>
        </w:rPr>
        <w:t> </w:t>
      </w:r>
      <w:r>
        <w:rPr>
          <w:spacing w:val="-71"/>
        </w:rPr>
      </w:r>
      <w:r>
        <w:rPr/>
        <w:t>动形成的利得或损失以及与该金融负债相关的股利和利息支出计入当期损益。</w:t>
      </w:r>
    </w:p>
    <w:p>
      <w:pPr>
        <w:spacing w:line="240" w:lineRule="auto" w:before="11"/>
        <w:rPr>
          <w:rFonts w:ascii="宋体" w:hAnsi="宋体" w:cs="宋体" w:eastAsia="宋体" w:hint="default"/>
          <w:sz w:val="18"/>
          <w:szCs w:val="18"/>
        </w:rPr>
      </w:pPr>
    </w:p>
    <w:p>
      <w:pPr>
        <w:pStyle w:val="Heading6"/>
        <w:spacing w:line="460" w:lineRule="auto"/>
        <w:ind w:left="513" w:right="1832"/>
        <w:jc w:val="left"/>
      </w:pPr>
      <w:r>
        <w:rPr>
          <w:spacing w:val="-1"/>
        </w:rPr>
        <w:t>其他金融负债，采用实际利率法，按照摊余成本进行后续计量。</w:t>
      </w:r>
      <w:r>
        <w:rPr>
          <w:w w:val="100"/>
        </w:rPr>
        <w:t> </w:t>
      </w:r>
      <w:r>
        <w:rPr>
          <w:rFonts w:ascii="宋体" w:hAnsi="宋体" w:cs="宋体" w:eastAsia="宋体" w:hint="default"/>
        </w:rPr>
        <w:t>2</w:t>
      </w:r>
      <w:r>
        <w:rPr/>
        <w:t>）金融负债终止确认条件</w:t>
      </w:r>
    </w:p>
    <w:p>
      <w:pPr>
        <w:pStyle w:val="Heading6"/>
        <w:spacing w:line="259" w:lineRule="auto" w:before="61"/>
        <w:ind w:right="1128"/>
        <w:jc w:val="both"/>
      </w:pPr>
      <w:r>
        <w:rPr>
          <w:spacing w:val="-2"/>
        </w:rPr>
        <w:t>当金融负债的现时义务全部或部分已经解除时，终止确认该金融负债或义务已解除的部分。公司</w:t>
      </w:r>
      <w:r>
        <w:rPr>
          <w:w w:val="100"/>
        </w:rPr>
        <w:t> </w:t>
      </w:r>
      <w:r>
        <w:rPr>
          <w:spacing w:val="-2"/>
        </w:rPr>
        <w:t>与债权人之间签订协议，以承担新金融负债方式替换现存金融负债，且新金融负债与现存金融负债的</w:t>
      </w:r>
      <w:r>
        <w:rPr>
          <w:spacing w:val="-70"/>
        </w:rPr>
        <w:t> </w:t>
      </w:r>
      <w:r>
        <w:rPr>
          <w:spacing w:val="-70"/>
        </w:rPr>
      </w:r>
      <w:r>
        <w:rPr>
          <w:spacing w:val="-2"/>
        </w:rPr>
        <w:t>合同条款实质上不同的，终止确认现存金融负债，并同时确认新金融负债。公司对现存金融负债全部</w:t>
      </w:r>
      <w:r>
        <w:rPr>
          <w:spacing w:val="-65"/>
        </w:rPr>
        <w:t> </w:t>
      </w:r>
      <w:r>
        <w:rPr>
          <w:spacing w:val="-65"/>
        </w:rPr>
      </w:r>
      <w:r>
        <w:rPr>
          <w:spacing w:val="-2"/>
        </w:rPr>
        <w:t>或部分的合同条款作出实质性修改的，终止确认现存金融负债或其一部分，同时将修改条款后的金融</w:t>
      </w:r>
      <w:r>
        <w:rPr>
          <w:spacing w:val="-70"/>
        </w:rPr>
        <w:t> </w:t>
      </w:r>
      <w:r>
        <w:rPr>
          <w:spacing w:val="-70"/>
        </w:rPr>
      </w:r>
      <w:r>
        <w:rPr/>
        <w:t>负债确认为一项新金融负债。终止确认部分的账面价值与支付的对价之间的差额，计入当期损益。</w:t>
      </w:r>
    </w:p>
    <w:p>
      <w:pPr>
        <w:pStyle w:val="Heading6"/>
        <w:spacing w:line="552" w:lineRule="exact" w:before="62"/>
        <w:ind w:left="592" w:right="1133" w:hanging="80"/>
        <w:jc w:val="left"/>
      </w:pPr>
      <w:r>
        <w:rPr/>
        <w:t>（</w:t>
      </w:r>
      <w:r>
        <w:rPr>
          <w:rFonts w:ascii="宋体" w:hAnsi="宋体" w:cs="宋体" w:eastAsia="宋体" w:hint="default"/>
        </w:rPr>
        <w:t>3</w:t>
      </w:r>
      <w:r>
        <w:rPr/>
        <w:t>）金融资产和金融负债的公允价值确定方法</w:t>
      </w:r>
      <w:r>
        <w:rPr>
          <w:w w:val="100"/>
        </w:rPr>
        <w:t> </w:t>
      </w:r>
      <w:r>
        <w:rPr>
          <w:spacing w:val="-2"/>
        </w:rPr>
        <w:t>本集团以主要市场的价格计量金融资产和金融负债的公允价值，不存在主要市场的，以最有利市</w:t>
      </w:r>
    </w:p>
    <w:p>
      <w:pPr>
        <w:pStyle w:val="Heading6"/>
        <w:spacing w:line="233" w:lineRule="exact"/>
        <w:ind w:right="1133" w:firstLine="0"/>
        <w:jc w:val="right"/>
      </w:pPr>
      <w:r>
        <w:rPr>
          <w:spacing w:val="-2"/>
        </w:rPr>
        <w:t>场的价格计量金融资产和金融负债的公允价值，并且采用当时适用并且有足够可利用数据和其他信息</w:t>
      </w:r>
    </w:p>
    <w:p>
      <w:pPr>
        <w:spacing w:after="0" w:line="233" w:lineRule="exact"/>
        <w:jc w:val="right"/>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59" w:lineRule="auto" w:before="32"/>
        <w:ind w:right="1128" w:firstLine="0"/>
        <w:jc w:val="both"/>
      </w:pPr>
      <w:r>
        <w:rPr>
          <w:spacing w:val="-2"/>
        </w:rPr>
        <w:t>支持的估值技术。公允价值计量所使用的输入值分为三个层次，即第一层次输入值是计量日能够取得</w:t>
      </w:r>
      <w:r>
        <w:rPr>
          <w:spacing w:val="-70"/>
        </w:rPr>
        <w:t> </w:t>
      </w:r>
      <w:r>
        <w:rPr>
          <w:spacing w:val="-70"/>
        </w:rPr>
      </w:r>
      <w:r>
        <w:rPr>
          <w:spacing w:val="-2"/>
        </w:rPr>
        <w:t>的相同资产或负债在活跃市场上未经调整的报价；第二层次输入值是除第一层次输入值外相关资产或</w:t>
      </w:r>
      <w:r>
        <w:rPr>
          <w:spacing w:val="-71"/>
        </w:rPr>
        <w:t> </w:t>
      </w:r>
      <w:r>
        <w:rPr>
          <w:spacing w:val="-71"/>
        </w:rPr>
      </w:r>
      <w:r>
        <w:rPr>
          <w:spacing w:val="-2"/>
        </w:rPr>
        <w:t>负债直接或间接可观察的输入值；第三层次输入值是相关资产或负债的不可观察输入值。本集团优先</w:t>
      </w:r>
      <w:r>
        <w:rPr>
          <w:spacing w:val="-70"/>
        </w:rPr>
        <w:t> </w:t>
      </w:r>
      <w:r>
        <w:rPr>
          <w:spacing w:val="-70"/>
        </w:rPr>
      </w:r>
      <w:r>
        <w:rPr>
          <w:spacing w:val="-2"/>
        </w:rPr>
        <w:t>使用第一层次输入值，最后再使用第三层次输入值。公允价值计量结果所属的层次，由对公允价值计</w:t>
      </w:r>
      <w:r>
        <w:rPr>
          <w:spacing w:val="-68"/>
        </w:rPr>
        <w:t> </w:t>
      </w:r>
      <w:r>
        <w:rPr>
          <w:spacing w:val="-68"/>
        </w:rPr>
      </w:r>
      <w:r>
        <w:rPr/>
        <w:t>量整体而言具有重大意义的输入值所属的最低层次决定。</w:t>
      </w:r>
    </w:p>
    <w:p>
      <w:pPr>
        <w:spacing w:line="240" w:lineRule="auto" w:before="2"/>
        <w:rPr>
          <w:rFonts w:ascii="宋体" w:hAnsi="宋体" w:cs="宋体" w:eastAsia="宋体" w:hint="default"/>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10</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本公司将占应收款项比重超过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％的单个客户应收款项确认 为单项金额重大的应收款项。</w:t>
            </w:r>
          </w:p>
        </w:tc>
      </w:tr>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w:t>
            </w:r>
          </w:p>
        </w:tc>
      </w:tr>
    </w:tbl>
    <w:p>
      <w:pPr>
        <w:spacing w:line="240" w:lineRule="auto" w:before="3"/>
        <w:rPr>
          <w:rFonts w:ascii="宋体" w:hAnsi="宋体" w:cs="宋体" w:eastAsia="宋体" w:hint="default"/>
          <w:b/>
          <w:bCs/>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（计算机及服务行业）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（商品批发行业）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（备用金组合）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内部关联方组合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829"/>
        <w:gridCol w:w="2835"/>
        <w:gridCol w:w="2907"/>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50.00%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835"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内部关联方组合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715" w:hRule="exact"/>
        </w:trPr>
        <w:tc>
          <w:tcPr>
            <w:tcW w:w="3191" w:type="dxa"/>
            <w:tcBorders>
              <w:top w:val="single" w:sz="4" w:space="0" w:color="000000"/>
              <w:left w:val="single" w:sz="4" w:space="0" w:color="000000"/>
              <w:bottom w:val="single" w:sz="4" w:space="0" w:color="000000"/>
              <w:right w:val="single" w:sz="10" w:space="0" w:color="FFFFFF"/>
            </w:tcBorders>
          </w:tcPr>
          <w:p>
            <w:pPr>
              <w:pStyle w:val="TableParagraph"/>
              <w:spacing w:line="300"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（备用金组合）不存在减值风险， 不计提坏账准备的应收款项组合。</w:t>
            </w:r>
          </w:p>
        </w:tc>
        <w:tc>
          <w:tcPr>
            <w:tcW w:w="3190" w:type="dxa"/>
            <w:tcBorders>
              <w:top w:val="single" w:sz="4" w:space="0" w:color="000000"/>
              <w:left w:val="single" w:sz="10" w:space="0" w:color="FFFFFF"/>
              <w:bottom w:val="single" w:sz="4" w:space="0" w:color="000000"/>
              <w:right w:val="single" w:sz="4" w:space="0" w:color="000000"/>
            </w:tcBorders>
          </w:tcPr>
          <w:p>
            <w:pPr>
              <w:pStyle w:val="TableParagraph"/>
              <w:spacing w:line="156" w:lineRule="exact"/>
              <w:ind w:left="-8"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159.050pt;height:7.8pt;mso-position-horizontal-relative:char;mso-position-vertical-relative:line" coordorigin="0,0" coordsize="3181,156">
                  <v:group style="position:absolute;left:0;top:0;width:3181;height:156" coordorigin="0,0" coordsize="3181,156">
                    <v:shape style="position:absolute;left:0;top:0;width:3181;height:156" coordorigin="0,0" coordsize="3181,156" path="m0,156l3180,156,3180,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p>
      <w:pPr>
        <w:spacing w:before="44"/>
        <w:ind w:left="152" w:right="1139" w:firstLine="0"/>
        <w:jc w:val="right"/>
        <w:rPr>
          <w:rFonts w:ascii="宋体" w:hAnsi="宋体" w:cs="宋体" w:eastAsia="宋体" w:hint="default"/>
          <w:sz w:val="18"/>
          <w:szCs w:val="18"/>
        </w:rPr>
      </w:pPr>
      <w:r>
        <w:rPr/>
        <w:pict>
          <v:shape style="position:absolute;margin-left:56.459999pt;margin-top:-36.398273pt;width:479.2pt;height:56.35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7"/>
                    <w:gridCol w:w="7302"/>
                  </w:tblGrid>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公司将有确凿证据证明难以收回的应收款项</w:t>
                        </w:r>
                      </w:p>
                    </w:tc>
                  </w:tr>
                  <w:tr>
                    <w:trPr>
                      <w:trHeight w:val="715"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6"/>
                          <w:jc w:val="left"/>
                          <w:rPr>
                            <w:rFonts w:ascii="宋体" w:hAnsi="宋体" w:cs="宋体" w:eastAsia="宋体" w:hint="default"/>
                            <w:sz w:val="18"/>
                            <w:szCs w:val="18"/>
                          </w:rPr>
                        </w:pPr>
                        <w:r>
                          <w:rPr>
                            <w:rFonts w:ascii="宋体" w:hAnsi="宋体" w:cs="宋体" w:eastAsia="宋体" w:hint="default"/>
                            <w:sz w:val="18"/>
                            <w:szCs w:val="18"/>
                          </w:rPr>
                          <w:t>单独进行减值测试，如有客观证据表明已发生减值，确认减值损失，计入当期损益；单独测 </w:t>
                        </w:r>
                        <w:r>
                          <w:rPr>
                            <w:rFonts w:ascii="宋体" w:hAnsi="宋体" w:cs="宋体" w:eastAsia="宋体" w:hint="default"/>
                            <w:spacing w:val="-2"/>
                            <w:sz w:val="18"/>
                            <w:szCs w:val="18"/>
                          </w:rPr>
                          <w:t>试未发生减值的应收款项，包括在具有类似信用风险特征的应收款项组合中再进行减值测试</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8"/>
          <w:szCs w:val="28"/>
        </w:rPr>
      </w:pPr>
    </w:p>
    <w:p>
      <w:pPr>
        <w:pStyle w:val="Heading7"/>
        <w:spacing w:line="240" w:lineRule="auto" w:before="36"/>
        <w:ind w:right="1133"/>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7"/>
        <w:ind w:left="152" w:right="1133"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12"/>
        <w:rPr>
          <w:rFonts w:ascii="宋体" w:hAnsi="宋体" w:cs="宋体" w:eastAsia="宋体" w:hint="default"/>
          <w:sz w:val="21"/>
          <w:szCs w:val="21"/>
        </w:rPr>
      </w:pPr>
    </w:p>
    <w:p>
      <w:pPr>
        <w:pStyle w:val="Heading6"/>
        <w:spacing w:line="259" w:lineRule="auto"/>
        <w:ind w:right="1130"/>
        <w:jc w:val="both"/>
      </w:pPr>
      <w:r>
        <w:rPr>
          <w:spacing w:val="-2"/>
        </w:rPr>
        <w:t>本集团存货主要包括日常活动中持有以备出售的产成品或商品、处于生产过程中的在产品、在生</w:t>
      </w:r>
      <w:r>
        <w:rPr>
          <w:w w:val="100"/>
        </w:rPr>
        <w:t> </w:t>
      </w:r>
      <w:r>
        <w:rPr>
          <w:spacing w:val="-2"/>
        </w:rPr>
        <w:t>产过程或提供劳务过程中耗用的材料和物料等。具体划分为原材料、低值易耗品、库存商品、在建系</w:t>
      </w:r>
      <w:r>
        <w:rPr>
          <w:spacing w:val="-70"/>
        </w:rPr>
        <w:t> </w:t>
      </w:r>
      <w:r>
        <w:rPr>
          <w:spacing w:val="-70"/>
        </w:rPr>
      </w:r>
      <w:r>
        <w:rPr/>
        <w:t>统集成项目成本、发出商品等。</w:t>
      </w:r>
    </w:p>
    <w:p>
      <w:pPr>
        <w:spacing w:line="240" w:lineRule="auto" w:before="11"/>
        <w:rPr>
          <w:rFonts w:ascii="宋体" w:hAnsi="宋体" w:cs="宋体" w:eastAsia="宋体" w:hint="default"/>
          <w:sz w:val="18"/>
          <w:szCs w:val="18"/>
        </w:rPr>
      </w:pPr>
    </w:p>
    <w:p>
      <w:pPr>
        <w:pStyle w:val="Heading6"/>
        <w:spacing w:line="259" w:lineRule="auto"/>
        <w:ind w:right="1130"/>
        <w:jc w:val="both"/>
      </w:pPr>
      <w:r>
        <w:rPr>
          <w:spacing w:val="-2"/>
        </w:rPr>
        <w:t>存货实行永续盘存制，存货在取得时按实际成本计价；领用或发出存货，根据业务的不同分别采</w:t>
      </w:r>
      <w:r>
        <w:rPr>
          <w:w w:val="100"/>
        </w:rPr>
        <w:t> </w:t>
      </w:r>
      <w:r>
        <w:rPr>
          <w:spacing w:val="-2"/>
        </w:rPr>
        <w:t>用加权平均法或个别计价法确定其实际成本，低值易耗品于领用时按一次摊销法摊销；包装物于领用</w:t>
      </w:r>
      <w:r>
        <w:rPr>
          <w:spacing w:val="-70"/>
        </w:rPr>
        <w:t> </w:t>
      </w:r>
      <w:r>
        <w:rPr>
          <w:spacing w:val="-70"/>
        </w:rPr>
      </w:r>
      <w:r>
        <w:rPr/>
        <w:t>时按一次摊销法摊销。</w:t>
      </w:r>
    </w:p>
    <w:p>
      <w:pPr>
        <w:spacing w:line="240" w:lineRule="auto" w:before="11"/>
        <w:rPr>
          <w:rFonts w:ascii="宋体" w:hAnsi="宋体" w:cs="宋体" w:eastAsia="宋体" w:hint="default"/>
          <w:sz w:val="18"/>
          <w:szCs w:val="18"/>
        </w:rPr>
      </w:pPr>
    </w:p>
    <w:p>
      <w:pPr>
        <w:pStyle w:val="Heading6"/>
        <w:spacing w:line="259" w:lineRule="auto"/>
        <w:ind w:right="1130"/>
        <w:jc w:val="both"/>
      </w:pPr>
      <w:r>
        <w:rPr>
          <w:spacing w:val="-2"/>
        </w:rPr>
        <w:t>库存商品、在产品和用于出售的材料等直接用于出售的商品存货，其可变现净值按该存货的估计</w:t>
      </w:r>
      <w:r>
        <w:rPr>
          <w:w w:val="100"/>
        </w:rPr>
        <w:t> </w:t>
      </w:r>
      <w:r>
        <w:rPr>
          <w:spacing w:val="-2"/>
        </w:rPr>
        <w:t>售价减去估计的销售费用和相关税费后的金额确定；用于生产而持有的材料存货，其可变现净值按所</w:t>
      </w:r>
      <w:r>
        <w:rPr>
          <w:spacing w:val="-70"/>
        </w:rPr>
        <w:t> </w:t>
      </w:r>
      <w:r>
        <w:rPr>
          <w:spacing w:val="-70"/>
        </w:rPr>
      </w:r>
      <w:r>
        <w:rPr>
          <w:spacing w:val="-2"/>
        </w:rPr>
        <w:t>生产的产成品的估计售价减去至完工时估计将要发生的成本、估计的销售费用和相关税费后的金额确</w:t>
      </w:r>
      <w:r>
        <w:rPr>
          <w:spacing w:val="-73"/>
        </w:rPr>
        <w:t> </w:t>
      </w:r>
      <w:r>
        <w:rPr>
          <w:spacing w:val="-73"/>
        </w:rPr>
      </w:r>
      <w:r>
        <w:rPr/>
        <w:t>定。</w:t>
      </w:r>
    </w:p>
    <w:p>
      <w:pPr>
        <w:spacing w:line="240" w:lineRule="auto" w:before="2"/>
        <w:rPr>
          <w:rFonts w:ascii="宋体" w:hAnsi="宋体" w:cs="宋体" w:eastAsia="宋体" w:hint="default"/>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12</w:t>
      </w:r>
      <w:r>
        <w:rPr/>
        <w:t>、长期股权投资</w:t>
      </w:r>
      <w:r>
        <w:rPr>
          <w:b w:val="0"/>
          <w:bCs w:val="0"/>
        </w:rPr>
      </w:r>
    </w:p>
    <w:p>
      <w:pPr>
        <w:pStyle w:val="Heading6"/>
        <w:spacing w:line="550" w:lineRule="atLeast" w:before="50"/>
        <w:ind w:left="592" w:right="1133" w:firstLine="0"/>
        <w:jc w:val="left"/>
      </w:pPr>
      <w:r>
        <w:rPr/>
        <w:t>本集团长期股权投资主要是对子公司的投资、对联营企业的投资和对合营企业的投资。</w:t>
      </w:r>
      <w:r>
        <w:rPr>
          <w:w w:val="100"/>
        </w:rPr>
        <w:t> </w:t>
      </w:r>
      <w:r>
        <w:rPr>
          <w:spacing w:val="-2"/>
        </w:rPr>
        <w:t>本集团对共同控制的判断依据是所有参与方或参与方组合集体控制该安排，并且该安排相关活动</w:t>
      </w:r>
    </w:p>
    <w:p>
      <w:pPr>
        <w:pStyle w:val="Heading6"/>
        <w:spacing w:line="240" w:lineRule="auto" w:before="24"/>
        <w:ind w:right="1133" w:firstLine="0"/>
        <w:jc w:val="left"/>
      </w:pPr>
      <w:r>
        <w:rPr/>
        <w:t>的政策必须经过这些集体控制该安排的参与方一致同意。</w:t>
      </w:r>
    </w:p>
    <w:p>
      <w:pPr>
        <w:spacing w:line="240" w:lineRule="auto" w:before="2"/>
        <w:rPr>
          <w:rFonts w:ascii="宋体" w:hAnsi="宋体" w:cs="宋体" w:eastAsia="宋体" w:hint="default"/>
          <w:sz w:val="20"/>
          <w:szCs w:val="20"/>
        </w:rPr>
      </w:pPr>
    </w:p>
    <w:p>
      <w:pPr>
        <w:pStyle w:val="Heading6"/>
        <w:spacing w:line="244" w:lineRule="auto"/>
        <w:ind w:right="1131"/>
        <w:jc w:val="both"/>
      </w:pPr>
      <w:r>
        <w:rPr>
          <w:spacing w:val="-2"/>
        </w:rPr>
        <w:t>本集团直接或通过子公司间接拥有被投资单位</w:t>
      </w:r>
      <w:r>
        <w:rPr>
          <w:rFonts w:ascii="Times New Roman" w:hAnsi="Times New Roman" w:cs="Times New Roman" w:eastAsia="Times New Roman" w:hint="default"/>
          <w:spacing w:val="-2"/>
        </w:rPr>
        <w:t>20</w:t>
      </w:r>
      <w:r>
        <w:rPr>
          <w:spacing w:val="-2"/>
        </w:rPr>
        <w:t>％（含）以上但低于</w:t>
      </w:r>
      <w:r>
        <w:rPr>
          <w:rFonts w:ascii="Times New Roman" w:hAnsi="Times New Roman" w:cs="Times New Roman" w:eastAsia="Times New Roman" w:hint="default"/>
          <w:spacing w:val="-2"/>
        </w:rPr>
        <w:t>50</w:t>
      </w:r>
      <w:r>
        <w:rPr>
          <w:spacing w:val="-2"/>
        </w:rPr>
        <w:t>％的表决权时，通常认为</w:t>
      </w:r>
      <w:r>
        <w:rPr>
          <w:w w:val="100"/>
        </w:rPr>
        <w:t> </w:t>
      </w:r>
      <w:r>
        <w:rPr>
          <w:spacing w:val="-2"/>
        </w:rPr>
        <w:t>对被投资单位具有重大影响。持有被投资单位</w:t>
      </w:r>
      <w:r>
        <w:rPr>
          <w:rFonts w:ascii="Times New Roman" w:hAnsi="Times New Roman" w:cs="Times New Roman" w:eastAsia="Times New Roman" w:hint="default"/>
          <w:spacing w:val="-2"/>
        </w:rPr>
        <w:t>20%</w:t>
      </w:r>
      <w:r>
        <w:rPr>
          <w:spacing w:val="-2"/>
        </w:rPr>
        <w:t>以下表决权的，还需要综合考虑在被投资单位的董</w:t>
      </w:r>
    </w:p>
    <w:p>
      <w:pPr>
        <w:spacing w:after="0" w:line="244" w:lineRule="auto"/>
        <w:jc w:val="both"/>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59" w:lineRule="auto" w:before="32"/>
        <w:ind w:right="1131" w:firstLine="0"/>
        <w:jc w:val="both"/>
      </w:pPr>
      <w:r>
        <w:rPr>
          <w:spacing w:val="-2"/>
        </w:rPr>
        <w:t>事会或类似权力机构中派有代表、或参与被投资单位财务和经营政策制定过程、或与被投资单位之间</w:t>
      </w:r>
      <w:r>
        <w:rPr>
          <w:spacing w:val="-70"/>
        </w:rPr>
        <w:t> </w:t>
      </w:r>
      <w:r>
        <w:rPr>
          <w:spacing w:val="-70"/>
        </w:rPr>
      </w:r>
      <w:r>
        <w:rPr>
          <w:spacing w:val="-2"/>
        </w:rPr>
        <w:t>发生重要交易、或向被投资单位派出管理人员、或向被投资单位提供关键技术资料等事实和情况判断</w:t>
      </w:r>
      <w:r>
        <w:rPr>
          <w:spacing w:val="-70"/>
        </w:rPr>
        <w:t> </w:t>
      </w:r>
      <w:r>
        <w:rPr>
          <w:spacing w:val="-70"/>
        </w:rPr>
      </w:r>
      <w:r>
        <w:rPr/>
        <w:t>对被投资单位具有重大影响。</w:t>
      </w:r>
    </w:p>
    <w:p>
      <w:pPr>
        <w:spacing w:line="240" w:lineRule="auto" w:before="11"/>
        <w:rPr>
          <w:rFonts w:ascii="宋体" w:hAnsi="宋体" w:cs="宋体" w:eastAsia="宋体" w:hint="default"/>
          <w:sz w:val="18"/>
          <w:szCs w:val="18"/>
        </w:rPr>
      </w:pPr>
    </w:p>
    <w:p>
      <w:pPr>
        <w:pStyle w:val="Heading6"/>
        <w:spacing w:line="259" w:lineRule="auto"/>
        <w:ind w:right="0"/>
        <w:jc w:val="left"/>
      </w:pPr>
      <w:r>
        <w:rPr>
          <w:spacing w:val="-5"/>
        </w:rPr>
        <w:t>对被投资单位形成控制的，为本集团的子公司。通过同一控制下的企业合并取得的长期股权投资，</w:t>
      </w:r>
      <w:r>
        <w:rPr>
          <w:w w:val="100"/>
        </w:rPr>
        <w:t> </w:t>
      </w:r>
      <w:r>
        <w:rPr>
          <w:spacing w:val="2"/>
        </w:rPr>
        <w:t>在合并日按照取得被合并方在最终控制方合并报表中净资产的账面价值的份额作为长期股权投资的</w:t>
      </w:r>
      <w:r>
        <w:rPr>
          <w:spacing w:val="-34"/>
        </w:rPr>
        <w:t> </w:t>
      </w:r>
      <w:r>
        <w:rPr>
          <w:spacing w:val="-34"/>
        </w:rPr>
      </w:r>
      <w:r>
        <w:rPr/>
        <w:t>初始投资成本。被合并方在合并日的净资产账面价值为负数的，长期股权投资成本按零确定。</w:t>
      </w:r>
    </w:p>
    <w:p>
      <w:pPr>
        <w:spacing w:line="240" w:lineRule="auto" w:before="11"/>
        <w:rPr>
          <w:rFonts w:ascii="宋体" w:hAnsi="宋体" w:cs="宋体" w:eastAsia="宋体" w:hint="default"/>
          <w:sz w:val="18"/>
          <w:szCs w:val="18"/>
        </w:rPr>
      </w:pPr>
    </w:p>
    <w:p>
      <w:pPr>
        <w:pStyle w:val="Heading6"/>
        <w:spacing w:line="259" w:lineRule="auto"/>
        <w:ind w:right="1131"/>
        <w:jc w:val="both"/>
      </w:pPr>
      <w:r>
        <w:rPr>
          <w:spacing w:val="-2"/>
        </w:rPr>
        <w:t>通过多次交易分步取得同一控制下被投资单位的股权，最终形成企业合并的，应在取得控制权的</w:t>
      </w:r>
      <w:r>
        <w:rPr>
          <w:w w:val="100"/>
        </w:rPr>
        <w:t> </w:t>
      </w:r>
      <w:r>
        <w:rPr>
          <w:spacing w:val="-2"/>
        </w:rPr>
        <w:t>报告期，补充披露在母公司财务报表中的长期股权投资的处理方法。例如：通过多次交易分步取得同</w:t>
      </w:r>
      <w:r>
        <w:rPr>
          <w:spacing w:val="-69"/>
        </w:rPr>
        <w:t> </w:t>
      </w:r>
      <w:r>
        <w:rPr>
          <w:spacing w:val="-69"/>
        </w:rPr>
      </w:r>
      <w:r>
        <w:rPr>
          <w:spacing w:val="-2"/>
        </w:rPr>
        <w:t>一控制下被投资单位的股权，最终形成企业合并，属于一揽子交易的，本集团将各项交易作为一项取</w:t>
      </w:r>
      <w:r>
        <w:rPr>
          <w:spacing w:val="-70"/>
        </w:rPr>
        <w:t> </w:t>
      </w:r>
      <w:r>
        <w:rPr>
          <w:spacing w:val="-70"/>
        </w:rPr>
      </w:r>
      <w:r>
        <w:rPr>
          <w:spacing w:val="-2"/>
        </w:rPr>
        <w:t>得控制权的交易进行会计处理。不属于一览交易的，在合并日，根据合并后享有被合并方净资产在最</w:t>
      </w:r>
      <w:r>
        <w:rPr>
          <w:spacing w:val="-71"/>
        </w:rPr>
        <w:t> </w:t>
      </w:r>
      <w:r>
        <w:rPr>
          <w:spacing w:val="-71"/>
        </w:rPr>
      </w:r>
      <w:r>
        <w:rPr>
          <w:spacing w:val="-2"/>
        </w:rPr>
        <w:t>终控制方合并财务报表中的账面价值的份额作为长期股权投资的的初始投资成本。初始投资成本与达</w:t>
      </w:r>
      <w:r>
        <w:rPr>
          <w:spacing w:val="-72"/>
        </w:rPr>
        <w:t> </w:t>
      </w:r>
      <w:r>
        <w:rPr>
          <w:spacing w:val="-72"/>
        </w:rPr>
      </w:r>
      <w:r>
        <w:rPr>
          <w:spacing w:val="-2"/>
        </w:rPr>
        <w:t>到合并前的长期股权投资账面价值加上合并日进一步取得股份新支付对价的账面价值之和的差额，调</w:t>
      </w:r>
      <w:r>
        <w:rPr>
          <w:spacing w:val="-73"/>
        </w:rPr>
        <w:t> </w:t>
      </w:r>
      <w:r>
        <w:rPr>
          <w:spacing w:val="-73"/>
        </w:rPr>
      </w:r>
      <w:r>
        <w:rPr/>
        <w:t>整资本公积，资本公积不足冲减的，冲减留存收益。</w:t>
      </w:r>
    </w:p>
    <w:p>
      <w:pPr>
        <w:pStyle w:val="Heading6"/>
        <w:spacing w:line="552" w:lineRule="exact" w:before="62"/>
        <w:ind w:left="592" w:right="1133" w:firstLine="0"/>
        <w:jc w:val="left"/>
      </w:pPr>
      <w:r>
        <w:rPr/>
        <w:t>通过非同一控制下的企业合并取得的长期股权投资，以合并成本作为初始投资成本。</w:t>
      </w:r>
      <w:r>
        <w:rPr>
          <w:w w:val="100"/>
        </w:rPr>
        <w:t> </w:t>
      </w:r>
      <w:r>
        <w:rPr>
          <w:spacing w:val="-2"/>
        </w:rPr>
        <w:t>通过多次交易分步取得非同一控制下被投资单位的股权，最终形成企业合并的，应在取得控制权</w:t>
      </w:r>
    </w:p>
    <w:p>
      <w:pPr>
        <w:pStyle w:val="Heading6"/>
        <w:spacing w:line="233" w:lineRule="exact"/>
        <w:ind w:right="0" w:firstLine="0"/>
        <w:jc w:val="both"/>
      </w:pPr>
      <w:r>
        <w:rPr/>
        <w:t>的报告期，补充披露在母公司财务报表中的长期股权投资成本处理方法。例如：通过多次交易分步取</w:t>
      </w:r>
    </w:p>
    <w:p>
      <w:pPr>
        <w:pStyle w:val="Heading6"/>
        <w:spacing w:line="259" w:lineRule="auto" w:before="24"/>
        <w:ind w:right="1128" w:firstLine="0"/>
        <w:jc w:val="both"/>
      </w:pPr>
      <w:r>
        <w:rPr>
          <w:spacing w:val="-2"/>
        </w:rPr>
        <w:t>得非同一控制下被投资单位的股权，最终形成企业合并，属于一揽子交易的，本集团将各项交易作为</w:t>
      </w:r>
      <w:r>
        <w:rPr>
          <w:spacing w:val="-67"/>
        </w:rPr>
        <w:t> </w:t>
      </w:r>
      <w:r>
        <w:rPr>
          <w:spacing w:val="-67"/>
        </w:rPr>
      </w:r>
      <w:r>
        <w:rPr>
          <w:spacing w:val="-2"/>
        </w:rPr>
        <w:t>一项取得控制权的交易进行会计处理。不属于一览交易的，按照原持有的股权投资账面价值加上新增</w:t>
      </w:r>
      <w:r>
        <w:rPr>
          <w:spacing w:val="-69"/>
        </w:rPr>
        <w:t> </w:t>
      </w:r>
      <w:r>
        <w:rPr>
          <w:spacing w:val="-69"/>
        </w:rPr>
      </w:r>
      <w:r>
        <w:rPr>
          <w:spacing w:val="-2"/>
        </w:rPr>
        <w:t>投资成本之和，作为改按成本法核算的初始投资成本。购买日之前持有的股权采用权益法核算的，原</w:t>
      </w:r>
      <w:r>
        <w:rPr>
          <w:spacing w:val="-68"/>
        </w:rPr>
        <w:t> </w:t>
      </w:r>
      <w:r>
        <w:rPr>
          <w:spacing w:val="-68"/>
        </w:rPr>
      </w:r>
      <w:r>
        <w:rPr>
          <w:spacing w:val="-2"/>
        </w:rPr>
        <w:t>权益法核算的相关其他综合收益暂不做调整，在处置该项投资时采用与被投资单位直接处置相关资产</w:t>
      </w:r>
      <w:r>
        <w:rPr>
          <w:spacing w:val="-73"/>
        </w:rPr>
        <w:t> </w:t>
      </w:r>
      <w:r>
        <w:rPr>
          <w:spacing w:val="-73"/>
        </w:rPr>
      </w:r>
      <w:r>
        <w:rPr>
          <w:spacing w:val="2"/>
        </w:rPr>
        <w:t>或负债相同的基础进行会计处理。购买日之前持有的股权在可供出售金融资产中采用公允价值核算</w:t>
      </w:r>
      <w:r>
        <w:rPr>
          <w:spacing w:val="-43"/>
        </w:rPr>
        <w:t> </w:t>
      </w:r>
      <w:r>
        <w:rPr>
          <w:spacing w:val="-43"/>
        </w:rPr>
      </w:r>
      <w:r>
        <w:rPr/>
        <w:t>的，原计入其他综合收益的累计公允价值变动在合并日转入当期投资损益。</w:t>
      </w:r>
    </w:p>
    <w:p>
      <w:pPr>
        <w:spacing w:line="240" w:lineRule="auto" w:before="11"/>
        <w:rPr>
          <w:rFonts w:ascii="宋体" w:hAnsi="宋体" w:cs="宋体" w:eastAsia="宋体" w:hint="default"/>
          <w:sz w:val="18"/>
          <w:szCs w:val="18"/>
        </w:rPr>
      </w:pPr>
    </w:p>
    <w:p>
      <w:pPr>
        <w:pStyle w:val="Heading6"/>
        <w:spacing w:line="256" w:lineRule="auto"/>
        <w:ind w:right="1126"/>
        <w:jc w:val="both"/>
      </w:pPr>
      <w:r>
        <w:rPr>
          <w:spacing w:val="-2"/>
        </w:rPr>
        <w:t>除上述通过企业合并取得的长期股权投资外，以支付现金取得的长期股权投资，按照实际支付的</w:t>
      </w:r>
      <w:r>
        <w:rPr>
          <w:w w:val="100"/>
        </w:rPr>
        <w:t> </w:t>
      </w:r>
      <w:r>
        <w:rPr>
          <w:spacing w:val="-2"/>
        </w:rPr>
        <w:t>购买价款作为投资成本；以发行权益性证券取得的长期股权投资，按照发行权益性证券的公允价值作</w:t>
      </w:r>
      <w:r>
        <w:rPr>
          <w:spacing w:val="-69"/>
        </w:rPr>
        <w:t> </w:t>
      </w:r>
      <w:r>
        <w:rPr>
          <w:spacing w:val="-69"/>
        </w:rPr>
      </w:r>
      <w:r>
        <w:rPr/>
        <w:t>为投资成本；投资者投入的长期股权投资，按照投资合同或协议约定的价值作为投资成本；</w:t>
      </w:r>
      <w:r>
        <w:rPr>
          <w:rFonts w:ascii="Times New Roman" w:hAnsi="Times New Roman" w:cs="Times New Roman" w:eastAsia="Times New Roman" w:hint="default"/>
        </w:rPr>
        <w:t>[</w:t>
      </w:r>
      <w:r>
        <w:rPr/>
        <w:t>公司如</w:t>
      </w:r>
      <w:r>
        <w:rPr>
          <w:spacing w:val="-6"/>
        </w:rPr>
        <w:t> </w:t>
      </w:r>
      <w:r>
        <w:rPr>
          <w:spacing w:val="-6"/>
        </w:rPr>
      </w:r>
      <w:r>
        <w:rPr>
          <w:spacing w:val="-2"/>
        </w:rPr>
        <w:t>有以债务重组、非货币性资产交换等方式取得的长期股权投资，应根据相关企业会计准则的规定并结</w:t>
      </w:r>
      <w:r>
        <w:rPr>
          <w:spacing w:val="-70"/>
        </w:rPr>
        <w:t> </w:t>
      </w:r>
      <w:r>
        <w:rPr>
          <w:spacing w:val="-70"/>
        </w:rPr>
      </w:r>
      <w:r>
        <w:rPr/>
        <w:t>合公司的实际情况披露确定投资成本的方法。</w:t>
      </w:r>
    </w:p>
    <w:p>
      <w:pPr>
        <w:pStyle w:val="Heading6"/>
        <w:spacing w:line="552" w:lineRule="exact" w:before="64"/>
        <w:ind w:left="592" w:right="1133" w:firstLine="0"/>
        <w:jc w:val="left"/>
      </w:pPr>
      <w:r>
        <w:rPr/>
        <w:t>本集团对子公司投资采用成本法核算，对合营企业及联营企业投资采用权益法核算。</w:t>
      </w:r>
      <w:r>
        <w:rPr>
          <w:w w:val="100"/>
        </w:rPr>
        <w:t> </w:t>
      </w:r>
      <w:r>
        <w:rPr>
          <w:spacing w:val="-2"/>
        </w:rPr>
        <w:t>后续计量采用成本法核算的长期股权投资，在追加投资时，按照追加投资支付的成本额公允价值</w:t>
      </w:r>
    </w:p>
    <w:p>
      <w:pPr>
        <w:pStyle w:val="Heading6"/>
        <w:spacing w:line="233" w:lineRule="exact"/>
        <w:ind w:right="0" w:firstLine="0"/>
        <w:jc w:val="both"/>
      </w:pPr>
      <w:r>
        <w:rPr/>
        <w:t>及发生的相关交易费用增加长期股权投资成本的账面价值。被投资单位宣告分派的现金股利或利润，</w:t>
      </w:r>
    </w:p>
    <w:p>
      <w:pPr>
        <w:pStyle w:val="Heading6"/>
        <w:spacing w:line="240" w:lineRule="auto" w:before="24"/>
        <w:ind w:right="0" w:firstLine="0"/>
        <w:jc w:val="both"/>
      </w:pPr>
      <w:r>
        <w:rPr/>
        <w:t>按照应享有的金额确认为当期投资收益。</w:t>
      </w:r>
    </w:p>
    <w:p>
      <w:pPr>
        <w:spacing w:line="240" w:lineRule="auto" w:before="3"/>
        <w:rPr>
          <w:rFonts w:ascii="宋体" w:hAnsi="宋体" w:cs="宋体" w:eastAsia="宋体" w:hint="default"/>
          <w:sz w:val="20"/>
          <w:szCs w:val="20"/>
        </w:rPr>
      </w:pPr>
    </w:p>
    <w:p>
      <w:pPr>
        <w:pStyle w:val="Heading6"/>
        <w:spacing w:line="259" w:lineRule="auto"/>
        <w:ind w:right="1131"/>
        <w:jc w:val="both"/>
      </w:pPr>
      <w:r>
        <w:rPr>
          <w:spacing w:val="-2"/>
        </w:rPr>
        <w:t>后续计量采用权益法核算的长期股权投资，随着被他投资单位所有者权益的变动相应调整增加或</w:t>
      </w:r>
      <w:r>
        <w:rPr>
          <w:w w:val="100"/>
        </w:rPr>
        <w:t> </w:t>
      </w:r>
      <w:r>
        <w:rPr>
          <w:spacing w:val="-2"/>
        </w:rPr>
        <w:t>减少长期股权投资的账面价值。其中在确认应享有被投资单位净损益的份额时，以取得投资时被投资</w:t>
      </w:r>
      <w:r>
        <w:rPr>
          <w:spacing w:val="-70"/>
        </w:rPr>
        <w:t> </w:t>
      </w:r>
      <w:r>
        <w:rPr>
          <w:spacing w:val="-70"/>
        </w:rPr>
      </w:r>
      <w:r>
        <w:rPr>
          <w:spacing w:val="-2"/>
        </w:rPr>
        <w:t>单位各项可辨认资产等的公允价值为基础，按照本集团的会计政策及会计期间，并抵销与联营企业及</w:t>
      </w:r>
      <w:r>
        <w:rPr>
          <w:spacing w:val="-70"/>
        </w:rPr>
        <w:t> </w:t>
      </w:r>
      <w:r>
        <w:rPr>
          <w:spacing w:val="-70"/>
        </w:rPr>
      </w:r>
      <w:r>
        <w:rPr>
          <w:spacing w:val="-2"/>
        </w:rPr>
        <w:t>合营企业之间发生的内部交易损益按照持股比例计算归属于投资企业的部分，对被投资单位的净利润</w:t>
      </w:r>
      <w:r>
        <w:rPr>
          <w:spacing w:val="-73"/>
        </w:rPr>
        <w:t> </w:t>
      </w:r>
      <w:r>
        <w:rPr>
          <w:spacing w:val="-73"/>
        </w:rPr>
      </w:r>
      <w:r>
        <w:rPr/>
        <w:t>进行调整后确认。</w:t>
      </w:r>
    </w:p>
    <w:p>
      <w:pPr>
        <w:spacing w:line="240" w:lineRule="auto" w:before="11"/>
        <w:rPr>
          <w:rFonts w:ascii="宋体" w:hAnsi="宋体" w:cs="宋体" w:eastAsia="宋体" w:hint="default"/>
          <w:sz w:val="18"/>
          <w:szCs w:val="18"/>
        </w:rPr>
      </w:pPr>
    </w:p>
    <w:p>
      <w:pPr>
        <w:pStyle w:val="Heading6"/>
        <w:spacing w:line="240" w:lineRule="auto"/>
        <w:ind w:left="592" w:right="0" w:firstLine="0"/>
        <w:jc w:val="left"/>
      </w:pPr>
      <w:r>
        <w:rPr/>
        <w:t>处置长期股权投资，其账面价值与实际取得价款的差额，计入当期投资收益。采用权益法核算的</w:t>
      </w:r>
    </w:p>
    <w:p>
      <w:pPr>
        <w:spacing w:after="0" w:line="240" w:lineRule="auto"/>
        <w:jc w:val="left"/>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61" w:lineRule="auto" w:before="32"/>
        <w:ind w:right="1133" w:firstLine="0"/>
        <w:jc w:val="left"/>
      </w:pPr>
      <w:r>
        <w:rPr>
          <w:spacing w:val="-2"/>
        </w:rPr>
        <w:t>长期股权投资，因被投资单位除净损益以外所有者权益的其他变动而计入所有者权益的，处置该项投</w:t>
      </w:r>
      <w:r>
        <w:rPr>
          <w:spacing w:val="-70"/>
        </w:rPr>
        <w:t> </w:t>
      </w:r>
      <w:r>
        <w:rPr>
          <w:spacing w:val="-70"/>
        </w:rPr>
      </w:r>
      <w:r>
        <w:rPr/>
        <w:t>资时将原计入所有者权益的部分按相应比例转入当期投资损益。</w:t>
      </w:r>
    </w:p>
    <w:p>
      <w:pPr>
        <w:spacing w:line="240" w:lineRule="auto" w:before="9"/>
        <w:rPr>
          <w:rFonts w:ascii="宋体" w:hAnsi="宋体" w:cs="宋体" w:eastAsia="宋体" w:hint="default"/>
          <w:sz w:val="18"/>
          <w:szCs w:val="18"/>
        </w:rPr>
      </w:pPr>
    </w:p>
    <w:p>
      <w:pPr>
        <w:pStyle w:val="Heading6"/>
        <w:spacing w:line="259" w:lineRule="auto"/>
        <w:ind w:right="1131"/>
        <w:jc w:val="both"/>
      </w:pPr>
      <w:r>
        <w:rPr>
          <w:spacing w:val="-2"/>
        </w:rPr>
        <w:t>因处置部分股权投资等原因丧失了对被投资单位的共同控制或重大影响的，处置后的剩余股权改</w:t>
      </w:r>
      <w:r>
        <w:rPr>
          <w:w w:val="100"/>
        </w:rPr>
        <w:t> </w:t>
      </w:r>
      <w:r>
        <w:rPr>
          <w:spacing w:val="-2"/>
        </w:rPr>
        <w:t>按可供出售金融资产核算，剩余股权在丧失共同控制或重大影响之日的公允价值与账面价值之间的差</w:t>
      </w:r>
      <w:r>
        <w:rPr>
          <w:spacing w:val="-73"/>
        </w:rPr>
        <w:t> </w:t>
      </w:r>
      <w:r>
        <w:rPr>
          <w:spacing w:val="-73"/>
        </w:rPr>
      </w:r>
      <w:r>
        <w:rPr>
          <w:spacing w:val="-2"/>
        </w:rPr>
        <w:t>额计入当期损益。原股权投资因采用权益法核算而确认的其他综合收益，在终止采用权益法核算时采</w:t>
      </w:r>
      <w:r>
        <w:rPr>
          <w:spacing w:val="-70"/>
        </w:rPr>
        <w:t> </w:t>
      </w:r>
      <w:r>
        <w:rPr>
          <w:spacing w:val="-70"/>
        </w:rPr>
      </w:r>
      <w:r>
        <w:rPr/>
        <w:t>用与被投资单位直接处置相关资产或负债相同的基础进行会计处理。</w:t>
      </w:r>
    </w:p>
    <w:p>
      <w:pPr>
        <w:spacing w:line="240" w:lineRule="auto" w:before="11"/>
        <w:rPr>
          <w:rFonts w:ascii="宋体" w:hAnsi="宋体" w:cs="宋体" w:eastAsia="宋体" w:hint="default"/>
          <w:sz w:val="18"/>
          <w:szCs w:val="18"/>
        </w:rPr>
      </w:pPr>
    </w:p>
    <w:p>
      <w:pPr>
        <w:pStyle w:val="Heading6"/>
        <w:spacing w:line="259" w:lineRule="auto"/>
        <w:ind w:right="1090"/>
        <w:jc w:val="both"/>
      </w:pPr>
      <w:r>
        <w:rPr>
          <w:spacing w:val="-2"/>
        </w:rPr>
        <w:t>因处置部分长期股权投资丧失了对被投资单位控制的，处置后的剩余股权能够对被投资单位实施</w:t>
      </w:r>
      <w:r>
        <w:rPr>
          <w:w w:val="100"/>
        </w:rPr>
        <w:t> </w:t>
      </w:r>
      <w:r>
        <w:rPr>
          <w:spacing w:val="-1"/>
        </w:rPr>
        <w:t>共同控制或施加重大影响的，改按权益法核算，处置股权账面价值和处置对价的差额计入投资收益，</w:t>
      </w:r>
      <w:r>
        <w:rPr>
          <w:spacing w:val="-73"/>
        </w:rPr>
        <w:t> </w:t>
      </w:r>
      <w:r>
        <w:rPr>
          <w:spacing w:val="-73"/>
        </w:rPr>
      </w:r>
      <w:r>
        <w:rPr>
          <w:spacing w:val="-2"/>
        </w:rPr>
        <w:t>并对该剩余股权视同自取得时即采用权益法核算进行调整；处置后的剩余股权不能对被投资单位实施</w:t>
      </w:r>
      <w:r>
        <w:rPr>
          <w:spacing w:val="-73"/>
        </w:rPr>
        <w:t> </w:t>
      </w:r>
      <w:r>
        <w:rPr>
          <w:spacing w:val="-73"/>
        </w:rPr>
      </w:r>
      <w:r>
        <w:rPr>
          <w:spacing w:val="-2"/>
        </w:rPr>
        <w:t>共同控制或施加重大影响的，改按可供出售金融资产的有关规定进行会计处理，处置股权账面价值和</w:t>
      </w:r>
      <w:r>
        <w:rPr>
          <w:spacing w:val="-70"/>
        </w:rPr>
        <w:t> </w:t>
      </w:r>
      <w:r>
        <w:rPr>
          <w:spacing w:val="-70"/>
        </w:rPr>
      </w:r>
      <w:r>
        <w:rPr>
          <w:spacing w:val="-2"/>
        </w:rPr>
        <w:t>处置对价的差额计入投资收益，剩余股权在丧失控制之日的公允价值与账面价值间的差额计入当期投</w:t>
      </w:r>
      <w:r>
        <w:rPr>
          <w:spacing w:val="-73"/>
        </w:rPr>
        <w:t> </w:t>
      </w:r>
      <w:r>
        <w:rPr>
          <w:spacing w:val="-73"/>
        </w:rPr>
      </w:r>
      <w:r>
        <w:rPr/>
        <w:t>资损益。</w:t>
      </w:r>
    </w:p>
    <w:p>
      <w:pPr>
        <w:spacing w:line="240" w:lineRule="auto" w:before="12"/>
        <w:rPr>
          <w:rFonts w:ascii="宋体" w:hAnsi="宋体" w:cs="宋体" w:eastAsia="宋体" w:hint="default"/>
          <w:sz w:val="18"/>
          <w:szCs w:val="18"/>
        </w:rPr>
      </w:pPr>
    </w:p>
    <w:p>
      <w:pPr>
        <w:pStyle w:val="Heading6"/>
        <w:spacing w:line="254" w:lineRule="auto"/>
        <w:ind w:right="0"/>
        <w:jc w:val="left"/>
      </w:pPr>
      <w:r>
        <w:rPr/>
        <w:t>本集团对于分步处置股权至丧失控股权的各项交易不属于一揽子交易的，对每一项交易分别进行</w:t>
      </w:r>
      <w:r>
        <w:rPr>
          <w:w w:val="100"/>
        </w:rPr>
        <w:t> </w:t>
      </w:r>
      <w:r>
        <w:rPr>
          <w:spacing w:val="-4"/>
        </w:rPr>
        <w:t>会计处理。属于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的，将各项交易作为一项处置子公司并丧失控制权的交易进行会计处理，</w:t>
      </w:r>
      <w:r>
        <w:rPr>
          <w:spacing w:val="-56"/>
        </w:rPr>
        <w:t> </w:t>
      </w:r>
      <w:r>
        <w:rPr>
          <w:spacing w:val="-56"/>
        </w:rPr>
      </w:r>
      <w:r>
        <w:rPr/>
        <w:t>但是，在丧失控制权之前每一次交易处置价款与所处置的股权对应的长期股权投资账面价值之间的差</w:t>
      </w:r>
      <w:r>
        <w:rPr>
          <w:w w:val="100"/>
        </w:rPr>
        <w:t> </w:t>
      </w:r>
      <w:r>
        <w:rPr/>
        <w:t>额，确认为其他综合收益，到丧失控制权时再一并转入丧失控制权的当期损益。</w:t>
      </w:r>
    </w:p>
    <w:p>
      <w:pPr>
        <w:spacing w:line="240" w:lineRule="auto" w:before="6"/>
        <w:rPr>
          <w:rFonts w:ascii="宋体" w:hAnsi="宋体" w:cs="宋体" w:eastAsia="宋体" w:hint="default"/>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w:t>
      </w:r>
    </w:p>
    <w:p>
      <w:pPr>
        <w:spacing w:line="240" w:lineRule="auto" w:before="12"/>
        <w:rPr>
          <w:rFonts w:ascii="宋体" w:hAnsi="宋体" w:cs="宋体" w:eastAsia="宋体" w:hint="default"/>
          <w:sz w:val="21"/>
          <w:szCs w:val="21"/>
        </w:rPr>
      </w:pPr>
    </w:p>
    <w:p>
      <w:pPr>
        <w:pStyle w:val="Heading6"/>
        <w:spacing w:line="240" w:lineRule="auto"/>
        <w:ind w:left="592" w:right="1133" w:firstLine="0"/>
        <w:jc w:val="left"/>
      </w:pPr>
      <w:r>
        <w:rPr/>
        <w:t>成本法计量</w:t>
      </w:r>
    </w:p>
    <w:p>
      <w:pPr>
        <w:spacing w:before="95"/>
        <w:ind w:left="152" w:right="1133" w:firstLine="0"/>
        <w:jc w:val="left"/>
        <w:rPr>
          <w:rFonts w:ascii="宋体" w:hAnsi="宋体" w:cs="宋体" w:eastAsia="宋体" w:hint="default"/>
          <w:sz w:val="18"/>
          <w:szCs w:val="18"/>
        </w:rPr>
      </w:pPr>
      <w:r>
        <w:rPr>
          <w:rFonts w:ascii="宋体" w:hAnsi="宋体" w:cs="宋体" w:eastAsia="宋体" w:hint="default"/>
          <w:sz w:val="18"/>
          <w:szCs w:val="18"/>
        </w:rPr>
        <w:t>折旧或摊销方法</w:t>
      </w:r>
    </w:p>
    <w:p>
      <w:pPr>
        <w:pStyle w:val="Heading6"/>
        <w:spacing w:line="550" w:lineRule="atLeast" w:before="25"/>
        <w:ind w:left="592" w:right="1133" w:firstLine="0"/>
        <w:jc w:val="left"/>
      </w:pPr>
      <w:r>
        <w:rPr/>
        <w:t>本集团投资性房地产包括已出租的土地使用权、已出租的建筑物等。采用成本模式计量。</w:t>
      </w:r>
      <w:r>
        <w:rPr>
          <w:w w:val="100"/>
        </w:rPr>
        <w:t> </w:t>
      </w:r>
      <w:r>
        <w:rPr>
          <w:spacing w:val="-2"/>
        </w:rPr>
        <w:t>本集团投资性房地产采用年限平均法计提折旧或摊销。各类投资性房地产的预计使用寿命、净残</w:t>
      </w:r>
    </w:p>
    <w:p>
      <w:pPr>
        <w:pStyle w:val="Heading6"/>
        <w:spacing w:line="240" w:lineRule="auto" w:before="24"/>
        <w:ind w:right="1133" w:firstLine="0"/>
        <w:jc w:val="left"/>
      </w:pPr>
      <w:r>
        <w:rPr/>
        <w:t>值率及年折旧</w:t>
      </w:r>
      <w:r>
        <w:rPr>
          <w:rFonts w:ascii="Times New Roman" w:hAnsi="Times New Roman" w:cs="Times New Roman" w:eastAsia="Times New Roman" w:hint="default"/>
        </w:rPr>
        <w:t>(</w:t>
      </w:r>
      <w:r>
        <w:rPr/>
        <w:t>摊销</w:t>
      </w:r>
      <w:r>
        <w:rPr>
          <w:rFonts w:ascii="Times New Roman" w:hAnsi="Times New Roman" w:cs="Times New Roman" w:eastAsia="Times New Roman" w:hint="default"/>
        </w:rPr>
        <w:t>)</w:t>
      </w:r>
      <w:r>
        <w:rPr/>
        <w:t>率如下：</w:t>
      </w:r>
    </w:p>
    <w:p>
      <w:pPr>
        <w:spacing w:line="240" w:lineRule="auto" w:before="5"/>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2492"/>
        <w:gridCol w:w="2329"/>
        <w:gridCol w:w="2127"/>
        <w:gridCol w:w="2127"/>
      </w:tblGrid>
      <w:tr>
        <w:trPr>
          <w:trHeight w:val="331" w:hRule="exact"/>
        </w:trPr>
        <w:tc>
          <w:tcPr>
            <w:tcW w:w="24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3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049" w:right="0"/>
              <w:jc w:val="left"/>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预计残值率（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847" w:right="0"/>
              <w:jc w:val="left"/>
              <w:rPr>
                <w:rFonts w:ascii="宋体" w:hAnsi="宋体" w:cs="宋体" w:eastAsia="宋体" w:hint="default"/>
                <w:sz w:val="18"/>
                <w:szCs w:val="18"/>
              </w:rPr>
            </w:pPr>
            <w:r>
              <w:rPr>
                <w:rFonts w:ascii="宋体" w:hAnsi="宋体" w:cs="宋体" w:eastAsia="宋体" w:hint="default"/>
                <w:b/>
                <w:bCs/>
                <w:sz w:val="18"/>
                <w:szCs w:val="18"/>
              </w:rPr>
              <w:t>年折旧率（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62" w:hRule="exact"/>
        </w:trPr>
        <w:tc>
          <w:tcPr>
            <w:tcW w:w="249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32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left="948" w:right="0"/>
              <w:jc w:val="left"/>
              <w:rPr>
                <w:rFonts w:ascii="Times New Roman" w:hAnsi="Times New Roman" w:cs="Times New Roman" w:eastAsia="Times New Roman" w:hint="default"/>
                <w:sz w:val="18"/>
                <w:szCs w:val="18"/>
              </w:rPr>
            </w:pPr>
            <w:r>
              <w:rPr>
                <w:rFonts w:ascii="Times New Roman"/>
                <w:sz w:val="18"/>
              </w:rPr>
              <w:t>40-50</w:t>
            </w:r>
          </w:p>
        </w:tc>
        <w:tc>
          <w:tcPr>
            <w:tcW w:w="212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left="4" w:right="0"/>
              <w:jc w:val="center"/>
              <w:rPr>
                <w:rFonts w:ascii="Times New Roman" w:hAnsi="Times New Roman" w:cs="Times New Roman" w:eastAsia="Times New Roman" w:hint="default"/>
                <w:sz w:val="18"/>
                <w:szCs w:val="18"/>
              </w:rPr>
            </w:pPr>
            <w:r>
              <w:rPr>
                <w:rFonts w:ascii="Times New Roman"/>
                <w:sz w:val="18"/>
              </w:rPr>
              <w:t>0</w:t>
            </w:r>
          </w:p>
        </w:tc>
        <w:tc>
          <w:tcPr>
            <w:tcW w:w="212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left="5" w:right="0"/>
              <w:jc w:val="center"/>
              <w:rPr>
                <w:rFonts w:ascii="Times New Roman" w:hAnsi="Times New Roman" w:cs="Times New Roman" w:eastAsia="Times New Roman" w:hint="default"/>
                <w:sz w:val="18"/>
                <w:szCs w:val="18"/>
              </w:rPr>
            </w:pPr>
            <w:r>
              <w:rPr>
                <w:rFonts w:ascii="Times New Roman"/>
                <w:sz w:val="18"/>
              </w:rPr>
              <w:t>2-2.5</w:t>
            </w:r>
          </w:p>
        </w:tc>
      </w:tr>
      <w:tr>
        <w:trPr>
          <w:trHeight w:val="348" w:hRule="exact"/>
        </w:trPr>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48" w:right="0"/>
              <w:jc w:val="left"/>
              <w:rPr>
                <w:rFonts w:ascii="Times New Roman" w:hAnsi="Times New Roman" w:cs="Times New Roman" w:eastAsia="Times New Roman" w:hint="default"/>
                <w:sz w:val="18"/>
                <w:szCs w:val="18"/>
              </w:rPr>
            </w:pPr>
            <w:r>
              <w:rPr>
                <w:rFonts w:ascii="Times New Roman"/>
                <w:sz w:val="18"/>
              </w:rPr>
              <w:t>20-35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2.71-4.75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7"/>
        <w:spacing w:line="240" w:lineRule="auto" w:before="36"/>
        <w:ind w:right="1133"/>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firstLine="420"/>
        <w:jc w:val="left"/>
      </w:pPr>
      <w:r>
        <w:rPr>
          <w:spacing w:val="-2"/>
        </w:rPr>
        <w:t>本集团固定资产是指同时具有以下特征，即为生产商品、提供劳务、出租或经营管理而持有的，使用</w:t>
      </w:r>
      <w:r>
        <w:rPr>
          <w:w w:val="100"/>
        </w:rPr>
        <w:t> </w:t>
      </w:r>
      <w:r>
        <w:rPr>
          <w:spacing w:val="-3"/>
        </w:rPr>
        <w:t>年限超过一年的有形资产。本集团固定资产单位价值 </w:t>
      </w:r>
      <w:r>
        <w:rPr>
          <w:rFonts w:ascii="Times New Roman" w:hAnsi="Times New Roman" w:cs="Times New Roman" w:eastAsia="Times New Roman" w:hint="default"/>
        </w:rPr>
        <w:t>5,000 </w:t>
      </w:r>
      <w:r>
        <w:rPr>
          <w:spacing w:val="-5"/>
        </w:rPr>
        <w:t>元以上的，按年限平均法计提折旧；自 </w:t>
      </w:r>
      <w:r>
        <w:rPr>
          <w:rFonts w:ascii="Times New Roman" w:hAnsi="Times New Roman" w:cs="Times New Roman" w:eastAsia="Times New Roman" w:hint="default"/>
        </w:rPr>
        <w:t>2015</w:t>
      </w:r>
      <w:r>
        <w:rPr>
          <w:rFonts w:ascii="Times New Roman" w:hAnsi="Times New Roman" w:cs="Times New Roman" w:eastAsia="Times New Roman" w:hint="default"/>
          <w:spacing w:val="-31"/>
        </w:rPr>
        <w:t> </w:t>
      </w:r>
      <w:r>
        <w:rPr/>
        <w:t>年</w:t>
      </w:r>
    </w:p>
    <w:p>
      <w:pPr>
        <w:pStyle w:val="BodyText"/>
        <w:spacing w:line="264" w:lineRule="auto"/>
        <w:ind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月起，单位价值</w:t>
      </w:r>
      <w:r>
        <w:rPr>
          <w:spacing w:val="-54"/>
        </w:rPr>
        <w:t> </w:t>
      </w:r>
      <w:r>
        <w:rPr>
          <w:rFonts w:ascii="Times New Roman" w:hAnsi="Times New Roman" w:cs="Times New Roman" w:eastAsia="Times New Roman" w:hint="default"/>
        </w:rPr>
        <w:t>5,000</w:t>
      </w:r>
      <w:r>
        <w:rPr>
          <w:rFonts w:ascii="Times New Roman" w:hAnsi="Times New Roman" w:cs="Times New Roman" w:eastAsia="Times New Roman" w:hint="default"/>
          <w:spacing w:val="-4"/>
        </w:rPr>
        <w:t> </w:t>
      </w:r>
      <w:r>
        <w:rPr/>
        <w:t>元（含）以下的固定资产，采用加速折旧法一次性计提折旧。固定资产在与其有</w:t>
      </w:r>
      <w:r>
        <w:rPr>
          <w:w w:val="100"/>
        </w:rPr>
        <w:t> </w:t>
      </w:r>
      <w:r>
        <w:rPr>
          <w:spacing w:val="-5"/>
        </w:rPr>
        <w:t>关的经济利益很可能流入本集团、且其成本能够可靠计量时予以确认。本集团固定资产包括房屋及建筑物、</w:t>
      </w:r>
      <w:r>
        <w:rPr>
          <w:spacing w:val="-4"/>
        </w:rPr>
        <w:t> </w:t>
      </w:r>
      <w:r>
        <w:rPr>
          <w:spacing w:val="-4"/>
        </w:rPr>
      </w:r>
      <w:r>
        <w:rPr>
          <w:spacing w:val="-5"/>
        </w:rPr>
        <w:t>电子设备、运输设备、办公设备及家具等。除已提足折旧仍继续使用的固定资产和单独计价入账的土地外，</w:t>
      </w:r>
    </w:p>
    <w:p>
      <w:pPr>
        <w:spacing w:after="0" w:line="264"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73" w:lineRule="auto" w:before="36"/>
        <w:ind w:right="1126"/>
        <w:jc w:val="both"/>
      </w:pPr>
      <w:r>
        <w:rPr>
          <w:spacing w:val="-2"/>
        </w:rPr>
        <w:t>本集团对所有固定资产计提折旧。本集团于每年年度终了，对固定资产的预计使用寿命、预计净残值和折</w:t>
      </w:r>
      <w:r>
        <w:rPr>
          <w:spacing w:val="-42"/>
        </w:rPr>
        <w:t> </w:t>
      </w:r>
      <w:r>
        <w:rPr>
          <w:spacing w:val="-42"/>
        </w:rPr>
      </w:r>
      <w:r>
        <w:rPr>
          <w:spacing w:val="-2"/>
        </w:rPr>
        <w:t>旧方法进行复核，如发生改变，则作为会计估计变更处理。本集团固定资产的分类折旧年限、预计净残值</w:t>
      </w:r>
      <w:r>
        <w:rPr>
          <w:spacing w:val="-50"/>
        </w:rPr>
        <w:t> </w:t>
      </w:r>
      <w:r>
        <w:rPr>
          <w:spacing w:val="-50"/>
        </w:rPr>
      </w:r>
      <w:r>
        <w:rPr/>
        <w:t>率、折旧率如下：</w:t>
      </w:r>
    </w:p>
    <w:p>
      <w:pPr>
        <w:spacing w:line="240" w:lineRule="auto" w:before="7"/>
        <w:rPr>
          <w:rFonts w:ascii="宋体" w:hAnsi="宋体" w:cs="宋体" w:eastAsia="宋体" w:hint="default"/>
          <w:sz w:val="23"/>
          <w:szCs w:val="23"/>
        </w:rPr>
      </w:pPr>
    </w:p>
    <w:p>
      <w:pPr>
        <w:pStyle w:val="Heading7"/>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19.00%-31.67%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办公设备及家具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3"/>
        <w:rPr>
          <w:rFonts w:ascii="宋体" w:hAnsi="宋体" w:cs="宋体" w:eastAsia="宋体" w:hint="default"/>
          <w:b/>
          <w:bCs/>
          <w:sz w:val="19"/>
          <w:szCs w:val="19"/>
        </w:rPr>
      </w:pPr>
    </w:p>
    <w:p>
      <w:pPr>
        <w:pStyle w:val="Heading7"/>
        <w:spacing w:line="240" w:lineRule="auto" w:before="36"/>
        <w:ind w:right="1133"/>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2" w:right="1133"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1"/>
        <w:rPr>
          <w:rFonts w:ascii="宋体" w:hAnsi="宋体" w:cs="宋体" w:eastAsia="宋体" w:hint="default"/>
          <w:sz w:val="22"/>
          <w:szCs w:val="22"/>
        </w:rPr>
      </w:pPr>
    </w:p>
    <w:p>
      <w:pPr>
        <w:pStyle w:val="Heading6"/>
        <w:spacing w:line="259" w:lineRule="auto"/>
        <w:ind w:right="1130"/>
        <w:jc w:val="both"/>
      </w:pPr>
      <w:r>
        <w:rPr>
          <w:spacing w:val="-2"/>
        </w:rPr>
        <w:t>在建工程在达到预定可使用状态之日起，根据工程预算、造价或工程实际成本等，按估计的价值</w:t>
      </w:r>
      <w:r>
        <w:rPr>
          <w:w w:val="100"/>
        </w:rPr>
        <w:t> </w:t>
      </w:r>
      <w:r>
        <w:rPr/>
        <w:t>结转固定资产，次月起开始计提折旧，待办理了竣工决算手续后再对固定资产原值差异进行调整。</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7"/>
        <w:spacing w:line="240" w:lineRule="auto"/>
        <w:ind w:right="1133"/>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1"/>
        <w:rPr>
          <w:rFonts w:ascii="宋体" w:hAnsi="宋体" w:cs="宋体" w:eastAsia="宋体" w:hint="default"/>
          <w:b/>
          <w:bCs/>
          <w:sz w:val="24"/>
          <w:szCs w:val="24"/>
        </w:rPr>
      </w:pPr>
    </w:p>
    <w:p>
      <w:pPr>
        <w:pStyle w:val="Heading6"/>
        <w:spacing w:line="254" w:lineRule="auto"/>
        <w:ind w:right="0"/>
        <w:jc w:val="left"/>
      </w:pPr>
      <w:r>
        <w:rPr/>
        <w:t>发生的可直接归属于需要经过</w:t>
      </w:r>
      <w:r>
        <w:rPr>
          <w:rFonts w:ascii="Times New Roman" w:hAnsi="Times New Roman" w:cs="Times New Roman" w:eastAsia="Times New Roman" w:hint="default"/>
        </w:rPr>
        <w:t>1</w:t>
      </w:r>
      <w:r>
        <w:rPr/>
        <w:t>年以上的购建或者生产活动才能达到预定可使用或者可销售状态</w:t>
      </w:r>
      <w:r>
        <w:rPr>
          <w:w w:val="100"/>
        </w:rPr>
        <w:t> </w:t>
      </w:r>
      <w:r>
        <w:rPr/>
        <w:t>的固定资产、投资性房地产和存货等的借款费用，在资产支出已经发生、借款费用已经发生、为使资</w:t>
      </w:r>
      <w:r>
        <w:rPr>
          <w:w w:val="100"/>
        </w:rPr>
        <w:t> </w:t>
      </w:r>
      <w:r>
        <w:rPr/>
        <w:t>产达到预定可使用或可销售状态所必要的购建或生产活动已经开始时，开始资本化；当购建或生产符</w:t>
      </w:r>
      <w:r>
        <w:rPr>
          <w:w w:val="100"/>
        </w:rPr>
        <w:t> </w:t>
      </w:r>
      <w:r>
        <w:rPr/>
        <w:t>合资本化条件的资产达到预定可使用或可销售状态时，停止资本化，其后发生的借款费用计入当期损</w:t>
      </w:r>
      <w:r>
        <w:rPr>
          <w:w w:val="100"/>
        </w:rPr>
        <w:t> </w:t>
      </w:r>
      <w:r>
        <w:rPr>
          <w:spacing w:val="-2"/>
        </w:rPr>
        <w:t>益。如果符合资本化条件的资产在购建或者生产过程中发生非正常中断、且中断时间连续超过</w:t>
      </w:r>
      <w:r>
        <w:rPr>
          <w:rFonts w:ascii="Times New Roman" w:hAnsi="Times New Roman" w:cs="Times New Roman" w:eastAsia="Times New Roman" w:hint="default"/>
          <w:spacing w:val="-2"/>
        </w:rPr>
        <w:t>3</w:t>
      </w:r>
      <w:r>
        <w:rPr>
          <w:spacing w:val="-2"/>
        </w:rPr>
        <w:t>个月，</w:t>
      </w:r>
      <w:r>
        <w:rPr>
          <w:spacing w:val="-66"/>
        </w:rPr>
        <w:t> </w:t>
      </w:r>
      <w:r>
        <w:rPr>
          <w:spacing w:val="-66"/>
        </w:rPr>
      </w:r>
      <w:r>
        <w:rPr/>
        <w:t>暂停借款费用的资本化，直至资产的购建或生产活动重新开始。</w:t>
      </w:r>
    </w:p>
    <w:p>
      <w:pPr>
        <w:spacing w:line="240" w:lineRule="auto" w:before="2"/>
        <w:rPr>
          <w:rFonts w:ascii="宋体" w:hAnsi="宋体" w:cs="宋体" w:eastAsia="宋体" w:hint="default"/>
          <w:sz w:val="19"/>
          <w:szCs w:val="19"/>
        </w:rPr>
      </w:pPr>
    </w:p>
    <w:p>
      <w:pPr>
        <w:pStyle w:val="Heading6"/>
        <w:spacing w:line="259" w:lineRule="auto"/>
        <w:ind w:right="1131"/>
        <w:jc w:val="both"/>
      </w:pPr>
      <w:r>
        <w:rPr>
          <w:spacing w:val="-2"/>
        </w:rPr>
        <w:t>专门借款当期实际发生的利息费用，扣除尚未动用的借款资金存入银行取得的利息收入或进行暂</w:t>
      </w:r>
      <w:r>
        <w:rPr>
          <w:w w:val="100"/>
        </w:rPr>
        <w:t> </w:t>
      </w:r>
      <w:r>
        <w:rPr>
          <w:spacing w:val="-2"/>
        </w:rPr>
        <w:t>时性投资取得的投资收益后的金额予以资本化；一般借款根据累计资产支出超过专门借款部分的资产</w:t>
      </w:r>
      <w:r>
        <w:rPr>
          <w:spacing w:val="-72"/>
        </w:rPr>
        <w:t> </w:t>
      </w:r>
      <w:r>
        <w:rPr>
          <w:spacing w:val="-72"/>
        </w:rPr>
      </w:r>
      <w:r>
        <w:rPr>
          <w:spacing w:val="-2"/>
        </w:rPr>
        <w:t>支出加权平均数乘以所占用一般借款的资本化率，确定资本化金额。资本化率根据一般借款加权平均</w:t>
      </w:r>
      <w:r>
        <w:rPr>
          <w:spacing w:val="-70"/>
        </w:rPr>
        <w:t> </w:t>
      </w:r>
      <w:r>
        <w:rPr>
          <w:spacing w:val="-70"/>
        </w:rPr>
      </w:r>
      <w:r>
        <w:rPr/>
        <w:t>利率计算确定。</w:t>
      </w:r>
    </w:p>
    <w:p>
      <w:pPr>
        <w:spacing w:line="240" w:lineRule="auto" w:before="2"/>
        <w:rPr>
          <w:rFonts w:ascii="宋体" w:hAnsi="宋体" w:cs="宋体" w:eastAsia="宋体" w:hint="default"/>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0"/>
        <w:rPr>
          <w:rFonts w:ascii="宋体" w:hAnsi="宋体" w:cs="宋体" w:eastAsia="宋体" w:hint="default"/>
          <w:b/>
          <w:bCs/>
          <w:sz w:val="24"/>
          <w:szCs w:val="24"/>
        </w:rPr>
      </w:pPr>
    </w:p>
    <w:p>
      <w:pPr>
        <w:pStyle w:val="Heading6"/>
        <w:spacing w:line="259" w:lineRule="auto"/>
        <w:ind w:right="1128"/>
        <w:jc w:val="both"/>
      </w:pPr>
      <w:r>
        <w:rPr>
          <w:spacing w:val="-3"/>
        </w:rPr>
        <w:t>本集团无形资产包括土地使用权、商标权、专利技术、非专利技术、软件著作权等，按取得时的</w:t>
      </w:r>
      <w:r>
        <w:rPr>
          <w:w w:val="100"/>
        </w:rPr>
        <w:t> </w:t>
      </w:r>
      <w:r>
        <w:rPr>
          <w:spacing w:val="-2"/>
        </w:rPr>
        <w:t>实际成本计量，其中，购入的无形资产，按实际支付的价款和相关的其他支出作为实际成本；投资者</w:t>
      </w:r>
      <w:r>
        <w:rPr>
          <w:spacing w:val="-72"/>
        </w:rPr>
        <w:t> </w:t>
      </w:r>
      <w:r>
        <w:rPr>
          <w:spacing w:val="-72"/>
        </w:rPr>
      </w:r>
      <w:r>
        <w:rPr>
          <w:spacing w:val="-2"/>
        </w:rPr>
        <w:t>投入的无形资产，按投资合同或协议约定的价值确定实际成本，但合同或协议约定价值不公允的，按</w:t>
      </w:r>
    </w:p>
    <w:p>
      <w:pPr>
        <w:spacing w:after="0" w:line="259" w:lineRule="auto"/>
        <w:jc w:val="both"/>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61" w:lineRule="auto" w:before="32"/>
        <w:ind w:right="1133" w:firstLine="0"/>
        <w:jc w:val="left"/>
      </w:pPr>
      <w:r>
        <w:rPr>
          <w:spacing w:val="-2"/>
        </w:rPr>
        <w:t>公允价值确定实际成本；对非同一控制下合并中取得被购买方拥有的但在其财务报表中未确认的无形</w:t>
      </w:r>
      <w:r>
        <w:rPr>
          <w:spacing w:val="-71"/>
        </w:rPr>
        <w:t> </w:t>
      </w:r>
      <w:r>
        <w:rPr>
          <w:spacing w:val="-71"/>
        </w:rPr>
      </w:r>
      <w:r>
        <w:rPr/>
        <w:t>资产，在对被购买方资产进行初始确认时，按公允价值确认为无形资产。</w:t>
      </w:r>
    </w:p>
    <w:p>
      <w:pPr>
        <w:spacing w:line="240" w:lineRule="auto" w:before="9"/>
        <w:rPr>
          <w:rFonts w:ascii="宋体" w:hAnsi="宋体" w:cs="宋体" w:eastAsia="宋体" w:hint="default"/>
          <w:sz w:val="18"/>
          <w:szCs w:val="18"/>
        </w:rPr>
      </w:pPr>
    </w:p>
    <w:p>
      <w:pPr>
        <w:pStyle w:val="Heading6"/>
        <w:spacing w:line="259" w:lineRule="auto"/>
        <w:ind w:right="1130"/>
        <w:jc w:val="both"/>
      </w:pPr>
      <w:r>
        <w:rPr>
          <w:spacing w:val="-2"/>
        </w:rPr>
        <w:t>土地使用权从出让起始日起，按其出让年限平均摊销；无形资产按预计使用年限、合同规定的受</w:t>
      </w:r>
      <w:r>
        <w:rPr>
          <w:w w:val="100"/>
        </w:rPr>
        <w:t> </w:t>
      </w:r>
      <w:r>
        <w:rPr>
          <w:spacing w:val="-2"/>
        </w:rPr>
        <w:t>益年限和法律规定的有效年限三者中最短者分期平均摊销。摊销金额按其受益对象计入相关资产成本</w:t>
      </w:r>
      <w:r>
        <w:rPr>
          <w:spacing w:val="-73"/>
        </w:rPr>
        <w:t> </w:t>
      </w:r>
      <w:r>
        <w:rPr>
          <w:spacing w:val="-73"/>
        </w:rPr>
      </w:r>
      <w:r>
        <w:rPr>
          <w:spacing w:val="-2"/>
        </w:rPr>
        <w:t>和当期损益。对使用寿命有限的无形资产的预计使用寿命及摊销方法于每年年度终了进行复核，如发</w:t>
      </w:r>
      <w:r>
        <w:rPr>
          <w:spacing w:val="-70"/>
        </w:rPr>
        <w:t> </w:t>
      </w:r>
      <w:r>
        <w:rPr>
          <w:spacing w:val="-70"/>
        </w:rPr>
      </w:r>
      <w:r>
        <w:rPr/>
        <w:t>生改变，则作为会计估计变更处理。</w:t>
      </w:r>
    </w:p>
    <w:p>
      <w:pPr>
        <w:spacing w:line="240" w:lineRule="auto" w:before="2"/>
        <w:rPr>
          <w:rFonts w:ascii="宋体" w:hAnsi="宋体" w:cs="宋体" w:eastAsia="宋体" w:hint="default"/>
          <w:sz w:val="24"/>
          <w:szCs w:val="24"/>
        </w:rPr>
      </w:pPr>
    </w:p>
    <w:p>
      <w:pPr>
        <w:spacing w:line="480" w:lineRule="auto" w:before="0"/>
        <w:ind w:left="592" w:right="1133" w:hanging="440"/>
        <w:jc w:val="left"/>
        <w:rPr>
          <w:rFonts w:ascii="宋体" w:hAnsi="宋体" w:cs="宋体" w:eastAsia="宋体" w:hint="default"/>
          <w:sz w:val="22"/>
          <w:szCs w:val="22"/>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100"/>
          <w:sz w:val="21"/>
          <w:szCs w:val="21"/>
        </w:rPr>
        <w:t> </w:t>
      </w:r>
      <w:r>
        <w:rPr>
          <w:rFonts w:ascii="宋体" w:hAnsi="宋体" w:cs="宋体" w:eastAsia="宋体" w:hint="default"/>
          <w:sz w:val="22"/>
          <w:szCs w:val="22"/>
        </w:rPr>
        <w:t>本公司内部研究开发项目的支出分为研究阶段支出与开发阶段支出。</w:t>
      </w:r>
      <w:r>
        <w:rPr>
          <w:rFonts w:ascii="宋体" w:hAnsi="宋体" w:cs="宋体" w:eastAsia="宋体" w:hint="default"/>
          <w:w w:val="100"/>
          <w:sz w:val="22"/>
          <w:szCs w:val="22"/>
        </w:rPr>
        <w:t> </w:t>
      </w:r>
      <w:r>
        <w:rPr>
          <w:rFonts w:ascii="宋体" w:hAnsi="宋体" w:cs="宋体" w:eastAsia="宋体" w:hint="default"/>
          <w:sz w:val="22"/>
          <w:szCs w:val="22"/>
        </w:rPr>
        <w:t>研究阶段的支出，于发生时计入当期损益。</w:t>
      </w:r>
    </w:p>
    <w:p>
      <w:pPr>
        <w:pStyle w:val="Heading6"/>
        <w:spacing w:line="259" w:lineRule="auto" w:before="44"/>
        <w:ind w:right="1130"/>
        <w:jc w:val="both"/>
      </w:pPr>
      <w:r>
        <w:rPr>
          <w:spacing w:val="-2"/>
        </w:rPr>
        <w:t>开发阶段的支出同时满足下列条件的，确认为无形资产，不能满足下述条件的开发阶段的支出计</w:t>
      </w:r>
      <w:r>
        <w:rPr>
          <w:w w:val="100"/>
        </w:rPr>
        <w:t> </w:t>
      </w:r>
      <w:r>
        <w:rPr/>
        <w:t>入当期损益：</w:t>
      </w:r>
    </w:p>
    <w:p>
      <w:pPr>
        <w:spacing w:line="240" w:lineRule="auto" w:before="11"/>
        <w:rPr>
          <w:rFonts w:ascii="宋体" w:hAnsi="宋体" w:cs="宋体" w:eastAsia="宋体" w:hint="default"/>
          <w:sz w:val="18"/>
          <w:szCs w:val="18"/>
        </w:rPr>
      </w:pPr>
    </w:p>
    <w:p>
      <w:pPr>
        <w:pStyle w:val="Heading6"/>
        <w:spacing w:line="240" w:lineRule="auto"/>
        <w:ind w:left="592" w:right="1133" w:firstLine="0"/>
        <w:jc w:val="left"/>
      </w:pPr>
      <w:r>
        <w:rPr/>
        <w:t>（</w:t>
      </w:r>
      <w:r>
        <w:rPr>
          <w:rFonts w:ascii="Times New Roman" w:hAnsi="Times New Roman" w:cs="Times New Roman" w:eastAsia="Times New Roman" w:hint="default"/>
        </w:rPr>
        <w:t>1</w:t>
      </w:r>
      <w:r>
        <w:rPr/>
        <w:t>）完成该无形资产以使其能够使用或出售在技术上具有可行性；</w:t>
      </w:r>
    </w:p>
    <w:p>
      <w:pPr>
        <w:spacing w:line="240" w:lineRule="auto" w:before="12"/>
        <w:rPr>
          <w:rFonts w:ascii="宋体" w:hAnsi="宋体" w:cs="宋体" w:eastAsia="宋体" w:hint="default"/>
          <w:sz w:val="18"/>
          <w:szCs w:val="18"/>
        </w:rPr>
      </w:pPr>
    </w:p>
    <w:p>
      <w:pPr>
        <w:pStyle w:val="Heading6"/>
        <w:spacing w:line="240" w:lineRule="auto"/>
        <w:ind w:left="592" w:right="1133" w:firstLine="0"/>
        <w:jc w:val="left"/>
      </w:pPr>
      <w:r>
        <w:rPr/>
        <w:t>（</w:t>
      </w:r>
      <w:r>
        <w:rPr>
          <w:rFonts w:ascii="Times New Roman" w:hAnsi="Times New Roman" w:cs="Times New Roman" w:eastAsia="Times New Roman" w:hint="default"/>
        </w:rPr>
        <w:t>2</w:t>
      </w:r>
      <w:r>
        <w:rPr/>
        <w:t>）具有完成该无形资产并使用或出售的意图；</w:t>
      </w:r>
    </w:p>
    <w:p>
      <w:pPr>
        <w:spacing w:line="240" w:lineRule="auto" w:before="12"/>
        <w:rPr>
          <w:rFonts w:ascii="宋体" w:hAnsi="宋体" w:cs="宋体" w:eastAsia="宋体" w:hint="default"/>
          <w:sz w:val="18"/>
          <w:szCs w:val="18"/>
        </w:rPr>
      </w:pPr>
    </w:p>
    <w:p>
      <w:pPr>
        <w:pStyle w:val="Heading6"/>
        <w:spacing w:line="244" w:lineRule="auto"/>
        <w:ind w:right="1133"/>
        <w:jc w:val="both"/>
      </w:pPr>
      <w:r>
        <w:rPr/>
        <w:t>（</w:t>
      </w:r>
      <w:r>
        <w:rPr>
          <w:rFonts w:ascii="Times New Roman" w:hAnsi="Times New Roman" w:cs="Times New Roman" w:eastAsia="Times New Roman" w:hint="default"/>
        </w:rPr>
        <w:t>3</w:t>
      </w:r>
      <w:r>
        <w:rPr/>
        <w:t>）无形资产产生经济利益的方式，包括能够证明运用该无形资产生产的产品存在市场或无形</w:t>
      </w:r>
      <w:r>
        <w:rPr>
          <w:w w:val="100"/>
        </w:rPr>
        <w:t> </w:t>
      </w:r>
      <w:r>
        <w:rPr/>
        <w:t>资产自身存在市场，无形资产将在内部使用的，能够证明其有用性；</w:t>
      </w:r>
    </w:p>
    <w:p>
      <w:pPr>
        <w:spacing w:line="240" w:lineRule="auto" w:before="11"/>
        <w:rPr>
          <w:rFonts w:ascii="宋体" w:hAnsi="宋体" w:cs="宋体" w:eastAsia="宋体" w:hint="default"/>
          <w:sz w:val="19"/>
          <w:szCs w:val="19"/>
        </w:rPr>
      </w:pPr>
    </w:p>
    <w:p>
      <w:pPr>
        <w:pStyle w:val="Heading6"/>
        <w:spacing w:line="244" w:lineRule="auto"/>
        <w:ind w:right="1133"/>
        <w:jc w:val="both"/>
      </w:pPr>
      <w:r>
        <w:rPr/>
        <w:t>（</w:t>
      </w:r>
      <w:r>
        <w:rPr>
          <w:rFonts w:ascii="Times New Roman" w:hAnsi="Times New Roman" w:cs="Times New Roman" w:eastAsia="Times New Roman" w:hint="default"/>
        </w:rPr>
        <w:t>4</w:t>
      </w:r>
      <w:r>
        <w:rPr/>
        <w:t>）有足够的技术、财务资源和其他资源支持，以完成该无形资产的开发，并有能力使用或出</w:t>
      </w:r>
      <w:r>
        <w:rPr>
          <w:w w:val="100"/>
        </w:rPr>
        <w:t> </w:t>
      </w:r>
      <w:r>
        <w:rPr/>
        <w:t>售该无形资产；</w:t>
      </w:r>
    </w:p>
    <w:p>
      <w:pPr>
        <w:spacing w:line="240" w:lineRule="auto" w:before="11"/>
        <w:rPr>
          <w:rFonts w:ascii="宋体" w:hAnsi="宋体" w:cs="宋体" w:eastAsia="宋体" w:hint="default"/>
          <w:sz w:val="19"/>
          <w:szCs w:val="19"/>
        </w:rPr>
      </w:pPr>
    </w:p>
    <w:p>
      <w:pPr>
        <w:pStyle w:val="Heading6"/>
        <w:spacing w:line="434" w:lineRule="auto"/>
        <w:ind w:left="592" w:right="1133" w:firstLine="0"/>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2"/>
        </w:rPr>
        <w:t>无法区分研究阶段支出和开发阶段支出的，将发生的研发支出全部计入当期损益。</w:t>
      </w:r>
    </w:p>
    <w:p>
      <w:pPr>
        <w:spacing w:line="240" w:lineRule="auto" w:before="0"/>
        <w:rPr>
          <w:rFonts w:ascii="宋体" w:hAnsi="宋体" w:cs="宋体" w:eastAsia="宋体" w:hint="default"/>
          <w:sz w:val="22"/>
          <w:szCs w:val="22"/>
        </w:rPr>
      </w:pPr>
    </w:p>
    <w:p>
      <w:pPr>
        <w:pStyle w:val="Heading7"/>
        <w:spacing w:line="240" w:lineRule="auto" w:before="179"/>
        <w:ind w:right="1133"/>
        <w:jc w:val="left"/>
        <w:rPr>
          <w:b w:val="0"/>
          <w:bCs w:val="0"/>
        </w:rPr>
      </w:pPr>
      <w:r>
        <w:rPr>
          <w:rFonts w:ascii="Times New Roman" w:hAnsi="Times New Roman" w:cs="Times New Roman" w:eastAsia="Times New Roman" w:hint="default"/>
        </w:rPr>
        <w:t>18</w:t>
      </w:r>
      <w:r>
        <w:rPr/>
        <w:t>、长期资产减值</w:t>
      </w:r>
      <w:r>
        <w:rPr>
          <w:b w:val="0"/>
          <w:bCs w:val="0"/>
        </w:rPr>
      </w:r>
    </w:p>
    <w:p>
      <w:pPr>
        <w:spacing w:line="240" w:lineRule="auto" w:before="11"/>
        <w:rPr>
          <w:rFonts w:ascii="宋体" w:hAnsi="宋体" w:cs="宋体" w:eastAsia="宋体" w:hint="default"/>
          <w:b/>
          <w:bCs/>
          <w:sz w:val="23"/>
          <w:szCs w:val="23"/>
        </w:rPr>
      </w:pPr>
    </w:p>
    <w:p>
      <w:pPr>
        <w:pStyle w:val="Heading6"/>
        <w:spacing w:line="259" w:lineRule="auto"/>
        <w:ind w:right="1128"/>
        <w:jc w:val="both"/>
      </w:pPr>
      <w:r>
        <w:rPr>
          <w:spacing w:val="-2"/>
        </w:rPr>
        <w:t>本集团于每一资产负债表日对长期股权投资、采用成本模式计量的投资性房地产、固定资产、在</w:t>
      </w:r>
      <w:r>
        <w:rPr>
          <w:w w:val="100"/>
        </w:rPr>
        <w:t> </w:t>
      </w:r>
      <w:r>
        <w:rPr>
          <w:spacing w:val="-2"/>
        </w:rPr>
        <w:t>建工程、采用成本模式计量的生产性生物资产、使用寿命有限的无形资产等项目进行检查，当存在减</w:t>
      </w:r>
      <w:r>
        <w:rPr>
          <w:spacing w:val="-68"/>
        </w:rPr>
        <w:t> </w:t>
      </w:r>
      <w:r>
        <w:rPr>
          <w:spacing w:val="-68"/>
        </w:rPr>
      </w:r>
      <w:r>
        <w:rPr>
          <w:spacing w:val="-2"/>
        </w:rPr>
        <w:t>值迹象时，本集团进行减值测试。对商誉和使用寿命不确定的无形资产，无论是否存在减值迹象，每</w:t>
      </w:r>
      <w:r>
        <w:rPr>
          <w:spacing w:val="-72"/>
        </w:rPr>
        <w:t> </w:t>
      </w:r>
      <w:r>
        <w:rPr>
          <w:spacing w:val="-72"/>
        </w:rPr>
      </w:r>
      <w:r>
        <w:rPr/>
        <w:t>年末均进行减值测试。</w:t>
      </w:r>
    </w:p>
    <w:p>
      <w:pPr>
        <w:spacing w:line="240" w:lineRule="auto" w:before="11"/>
        <w:rPr>
          <w:rFonts w:ascii="宋体" w:hAnsi="宋体" w:cs="宋体" w:eastAsia="宋体" w:hint="default"/>
          <w:sz w:val="18"/>
          <w:szCs w:val="18"/>
        </w:rPr>
      </w:pPr>
    </w:p>
    <w:p>
      <w:pPr>
        <w:pStyle w:val="Heading6"/>
        <w:spacing w:line="261" w:lineRule="auto"/>
        <w:ind w:right="1130"/>
        <w:jc w:val="both"/>
      </w:pPr>
      <w:r>
        <w:rPr>
          <w:spacing w:val="-2"/>
        </w:rPr>
        <w:t>减值测试后，若该资产的账面价值超过其可收回金额，其差额确认为减值损失，上述资产的减值</w:t>
      </w:r>
      <w:r>
        <w:rPr>
          <w:w w:val="100"/>
        </w:rPr>
        <w:t> </w:t>
      </w:r>
      <w:r>
        <w:rPr/>
        <w:t>损失一经确认，在以后会计期间不予转回。</w:t>
      </w:r>
    </w:p>
    <w:p>
      <w:pPr>
        <w:spacing w:line="240" w:lineRule="auto" w:before="13"/>
        <w:rPr>
          <w:rFonts w:ascii="宋体" w:hAnsi="宋体" w:cs="宋体" w:eastAsia="宋体" w:hint="default"/>
          <w:sz w:val="23"/>
          <w:szCs w:val="23"/>
        </w:rPr>
      </w:pPr>
    </w:p>
    <w:p>
      <w:pPr>
        <w:pStyle w:val="Heading7"/>
        <w:spacing w:line="240" w:lineRule="auto"/>
        <w:ind w:right="1133"/>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0"/>
        <w:rPr>
          <w:rFonts w:ascii="宋体" w:hAnsi="宋体" w:cs="宋体" w:eastAsia="宋体" w:hint="default"/>
          <w:b/>
          <w:bCs/>
          <w:sz w:val="24"/>
          <w:szCs w:val="24"/>
        </w:rPr>
      </w:pPr>
    </w:p>
    <w:p>
      <w:pPr>
        <w:pStyle w:val="Heading6"/>
        <w:spacing w:line="259" w:lineRule="auto"/>
        <w:ind w:right="1128"/>
        <w:jc w:val="both"/>
      </w:pPr>
      <w:r>
        <w:rPr>
          <w:spacing w:val="2"/>
        </w:rPr>
        <w:t>本集团的长期待摊费用包括摊销期限在一年以上的经营租赁方式租入的固定资产改良支出等各</w:t>
      </w:r>
      <w:r>
        <w:rPr>
          <w:w w:val="100"/>
        </w:rPr>
        <w:t> </w:t>
      </w:r>
      <w:r>
        <w:rPr>
          <w:spacing w:val="-2"/>
        </w:rPr>
        <w:t>项费用。该等费用在受益期内平均摊销，如果长期待摊费用项目不能使以后会计期间受益，则将尚未</w:t>
      </w:r>
      <w:r>
        <w:rPr>
          <w:spacing w:val="-68"/>
        </w:rPr>
        <w:t> </w:t>
      </w:r>
      <w:r>
        <w:rPr>
          <w:spacing w:val="-68"/>
        </w:rPr>
      </w:r>
      <w:r>
        <w:rPr/>
        <w:t>摊销的该项目的摊余价值全部转入当期损益。</w:t>
      </w:r>
    </w:p>
    <w:p>
      <w:pPr>
        <w:spacing w:after="0" w:line="259"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1133"/>
        <w:jc w:val="left"/>
        <w:rPr>
          <w:b w:val="0"/>
          <w:bCs w:val="0"/>
        </w:rPr>
      </w:pPr>
      <w:r>
        <w:rPr>
          <w:rFonts w:ascii="Times New Roman" w:hAnsi="Times New Roman" w:cs="Times New Roman" w:eastAsia="Times New Roman" w:hint="default"/>
        </w:rPr>
        <w:t>20</w:t>
      </w:r>
      <w:r>
        <w:rPr/>
        <w:t>、职工薪酬</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1"/>
        <w:rPr>
          <w:rFonts w:ascii="宋体" w:hAnsi="宋体" w:cs="宋体" w:eastAsia="宋体" w:hint="default"/>
          <w:b/>
          <w:bCs/>
          <w:sz w:val="23"/>
          <w:szCs w:val="23"/>
        </w:rPr>
      </w:pPr>
    </w:p>
    <w:p>
      <w:pPr>
        <w:pStyle w:val="Heading6"/>
        <w:spacing w:line="259" w:lineRule="auto"/>
        <w:ind w:right="1130"/>
        <w:jc w:val="both"/>
      </w:pPr>
      <w:r>
        <w:rPr>
          <w:spacing w:val="-2"/>
        </w:rPr>
        <w:t>短期薪酬主要包括工资、奖金、津贴和补贴、职工福利费、医疗保险费、生育保险费、工伤保险</w:t>
      </w:r>
      <w:r>
        <w:rPr>
          <w:w w:val="100"/>
        </w:rPr>
        <w:t> </w:t>
      </w:r>
      <w:r>
        <w:rPr>
          <w:spacing w:val="-2"/>
        </w:rPr>
        <w:t>费、住房公积金、工会经费和职工教育经费、非货币性福利等，在职工提供服务的会计期间，将实际</w:t>
      </w:r>
      <w:r>
        <w:rPr>
          <w:spacing w:val="-71"/>
        </w:rPr>
        <w:t> </w:t>
      </w:r>
      <w:r>
        <w:rPr>
          <w:spacing w:val="-71"/>
        </w:rPr>
      </w:r>
      <w:r>
        <w:rPr/>
        <w:t>发生的短期薪酬确认为负债，并按照受益对象计入当期损益或相关资产成本。</w:t>
      </w:r>
    </w:p>
    <w:p>
      <w:pPr>
        <w:spacing w:line="240" w:lineRule="auto" w:before="2"/>
        <w:rPr>
          <w:rFonts w:ascii="宋体" w:hAnsi="宋体" w:cs="宋体" w:eastAsia="宋体" w:hint="default"/>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0"/>
        <w:rPr>
          <w:rFonts w:ascii="宋体" w:hAnsi="宋体" w:cs="宋体" w:eastAsia="宋体" w:hint="default"/>
          <w:b/>
          <w:bCs/>
          <w:sz w:val="24"/>
          <w:szCs w:val="24"/>
        </w:rPr>
      </w:pPr>
    </w:p>
    <w:p>
      <w:pPr>
        <w:pStyle w:val="Heading6"/>
        <w:spacing w:line="259" w:lineRule="auto"/>
        <w:ind w:right="1130"/>
        <w:jc w:val="both"/>
      </w:pPr>
      <w:r>
        <w:rPr>
          <w:spacing w:val="-2"/>
        </w:rPr>
        <w:t>离职后福利主要包括基本养老保险、失业保险以及年金等，按照公司承担的风险和义务，分类为</w:t>
      </w:r>
      <w:r>
        <w:rPr>
          <w:w w:val="100"/>
        </w:rPr>
        <w:t> </w:t>
      </w:r>
      <w:r>
        <w:rPr>
          <w:spacing w:val="-2"/>
        </w:rPr>
        <w:t>设定提存计划。对于设定提存计划在根据在资产负债表日为换取职工在会计期间提供的服务而向单独</w:t>
      </w:r>
      <w:r>
        <w:rPr>
          <w:spacing w:val="-73"/>
        </w:rPr>
        <w:t> </w:t>
      </w:r>
      <w:r>
        <w:rPr>
          <w:spacing w:val="-73"/>
        </w:rPr>
      </w:r>
      <w:r>
        <w:rPr/>
        <w:t>主体缴存的提存金确认为负债，并按照受益对象计入当期损益或相关资产成本。</w:t>
      </w:r>
    </w:p>
    <w:p>
      <w:pPr>
        <w:spacing w:line="240" w:lineRule="auto" w:before="2"/>
        <w:rPr>
          <w:rFonts w:ascii="宋体" w:hAnsi="宋体" w:cs="宋体" w:eastAsia="宋体" w:hint="default"/>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1"/>
        <w:rPr>
          <w:rFonts w:ascii="宋体" w:hAnsi="宋体" w:cs="宋体" w:eastAsia="宋体" w:hint="default"/>
          <w:b/>
          <w:bCs/>
          <w:sz w:val="23"/>
          <w:szCs w:val="23"/>
        </w:rPr>
      </w:pPr>
    </w:p>
    <w:p>
      <w:pPr>
        <w:pStyle w:val="Heading6"/>
        <w:spacing w:line="259" w:lineRule="auto"/>
        <w:ind w:right="1131"/>
        <w:jc w:val="both"/>
      </w:pPr>
      <w:r>
        <w:rPr>
          <w:spacing w:val="-2"/>
        </w:rPr>
        <w:t>职工内部退休计划采用与上述辞退福利相同的原则处理。本公司将自职工停止提供服务日至正常</w:t>
      </w:r>
      <w:r>
        <w:rPr>
          <w:w w:val="100"/>
        </w:rPr>
        <w:t> </w:t>
      </w:r>
      <w:r>
        <w:rPr>
          <w:spacing w:val="-2"/>
        </w:rPr>
        <w:t>退休日的期间拟支付的内退人员工资和缴纳的社会保险费等，在符合预计负债确认条件时，计入当期</w:t>
      </w:r>
      <w:r>
        <w:rPr>
          <w:spacing w:val="-70"/>
        </w:rPr>
        <w:t> </w:t>
      </w:r>
      <w:r>
        <w:rPr>
          <w:spacing w:val="-70"/>
        </w:rPr>
      </w:r>
      <w:r>
        <w:rPr/>
        <w:t>损益（辞退福利）。</w:t>
      </w:r>
    </w:p>
    <w:p>
      <w:pPr>
        <w:spacing w:line="240" w:lineRule="auto" w:before="2"/>
        <w:rPr>
          <w:rFonts w:ascii="宋体" w:hAnsi="宋体" w:cs="宋体" w:eastAsia="宋体" w:hint="default"/>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21</w:t>
      </w:r>
      <w:r>
        <w:rPr/>
        <w:t>、预计负债</w:t>
      </w:r>
      <w:r>
        <w:rPr>
          <w:b w:val="0"/>
          <w:bCs w:val="0"/>
        </w:rPr>
      </w:r>
    </w:p>
    <w:p>
      <w:pPr>
        <w:spacing w:line="240" w:lineRule="auto" w:before="0"/>
        <w:rPr>
          <w:rFonts w:ascii="宋体" w:hAnsi="宋体" w:cs="宋体" w:eastAsia="宋体" w:hint="default"/>
          <w:b/>
          <w:bCs/>
          <w:sz w:val="24"/>
          <w:szCs w:val="24"/>
        </w:rPr>
      </w:pPr>
    </w:p>
    <w:p>
      <w:pPr>
        <w:pStyle w:val="Heading6"/>
        <w:spacing w:line="259" w:lineRule="auto"/>
        <w:ind w:right="1128"/>
        <w:jc w:val="both"/>
      </w:pPr>
      <w:r>
        <w:rPr>
          <w:spacing w:val="-2"/>
        </w:rPr>
        <w:t>当与对外担保、商业承兑汇票贴现、未决诉讼或仲裁、产品质量保证等或有事项相关的业务同时</w:t>
      </w:r>
      <w:r>
        <w:rPr>
          <w:w w:val="100"/>
        </w:rPr>
        <w:t> </w:t>
      </w:r>
      <w:r>
        <w:rPr>
          <w:spacing w:val="-2"/>
        </w:rPr>
        <w:t>符合以下条件时，本集团将其确认为负债：该义务是本集团承担的现时义务；该义务的履行很可能导</w:t>
      </w:r>
      <w:r>
        <w:rPr>
          <w:spacing w:val="-66"/>
        </w:rPr>
        <w:t> </w:t>
      </w:r>
      <w:r>
        <w:rPr>
          <w:spacing w:val="-66"/>
        </w:rPr>
      </w:r>
      <w:r>
        <w:rPr/>
        <w:t>致经济利益流出企业；该义务的金额能够可靠地计量。</w:t>
      </w:r>
    </w:p>
    <w:p>
      <w:pPr>
        <w:spacing w:line="240" w:lineRule="auto" w:before="11"/>
        <w:rPr>
          <w:rFonts w:ascii="宋体" w:hAnsi="宋体" w:cs="宋体" w:eastAsia="宋体" w:hint="default"/>
          <w:sz w:val="18"/>
          <w:szCs w:val="18"/>
        </w:rPr>
      </w:pPr>
    </w:p>
    <w:p>
      <w:pPr>
        <w:pStyle w:val="Heading6"/>
        <w:spacing w:line="259" w:lineRule="auto"/>
        <w:ind w:right="1130"/>
        <w:jc w:val="both"/>
      </w:pPr>
      <w:r>
        <w:rPr>
          <w:spacing w:val="-2"/>
        </w:rPr>
        <w:t>在资产负债表日，考虑与或有事项有关的风险、不确定性和货币时间价值等因素，按照履行相关</w:t>
      </w:r>
      <w:r>
        <w:rPr>
          <w:w w:val="100"/>
        </w:rPr>
        <w:t> </w:t>
      </w:r>
      <w:r>
        <w:rPr/>
        <w:t>现时义务所需支出的最佳估计数对预计负债进行计量。</w:t>
      </w:r>
    </w:p>
    <w:p>
      <w:pPr>
        <w:spacing w:line="240" w:lineRule="auto" w:before="11"/>
        <w:rPr>
          <w:rFonts w:ascii="宋体" w:hAnsi="宋体" w:cs="宋体" w:eastAsia="宋体" w:hint="default"/>
          <w:sz w:val="18"/>
          <w:szCs w:val="18"/>
        </w:rPr>
      </w:pPr>
    </w:p>
    <w:p>
      <w:pPr>
        <w:pStyle w:val="Heading6"/>
        <w:spacing w:line="259" w:lineRule="auto"/>
        <w:ind w:right="1092"/>
        <w:jc w:val="both"/>
      </w:pPr>
      <w:r>
        <w:rPr>
          <w:spacing w:val="-1"/>
        </w:rPr>
        <w:t>如果清偿预计负债所需支出全部或部分预期由第三方补偿的，补偿金额在基本确定能够收到时，</w:t>
      </w:r>
      <w:r>
        <w:rPr>
          <w:w w:val="100"/>
        </w:rPr>
        <w:t> </w:t>
      </w:r>
      <w:r>
        <w:rPr/>
        <w:t>作为资产单独确认，且确认的补偿金额不超过预计负债的账面价值。</w:t>
      </w:r>
    </w:p>
    <w:p>
      <w:pPr>
        <w:spacing w:line="240" w:lineRule="auto" w:before="2"/>
        <w:rPr>
          <w:rFonts w:ascii="宋体" w:hAnsi="宋体" w:cs="宋体" w:eastAsia="宋体" w:hint="default"/>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22</w:t>
      </w:r>
      <w:r>
        <w:rPr/>
        <w:t>、股份支付</w:t>
      </w:r>
      <w:r>
        <w:rPr>
          <w:b w:val="0"/>
          <w:bCs w:val="0"/>
        </w:rPr>
      </w:r>
    </w:p>
    <w:p>
      <w:pPr>
        <w:spacing w:line="240" w:lineRule="auto" w:before="11"/>
        <w:rPr>
          <w:rFonts w:ascii="宋体" w:hAnsi="宋体" w:cs="宋体" w:eastAsia="宋体" w:hint="default"/>
          <w:b/>
          <w:bCs/>
          <w:sz w:val="23"/>
          <w:szCs w:val="23"/>
        </w:rPr>
      </w:pPr>
    </w:p>
    <w:p>
      <w:pPr>
        <w:pStyle w:val="Heading6"/>
        <w:spacing w:line="259" w:lineRule="auto"/>
        <w:ind w:right="1090"/>
        <w:jc w:val="right"/>
      </w:pPr>
      <w:r>
        <w:rPr>
          <w:spacing w:val="2"/>
        </w:rPr>
        <w:t>用以换取职工提供服务的以权益结算的股份支付，以授予职工权益工具在授予日的公允价值计</w:t>
      </w:r>
      <w:r>
        <w:rPr>
          <w:w w:val="100"/>
        </w:rPr>
        <w:t> </w:t>
      </w:r>
      <w:r>
        <w:rPr>
          <w:spacing w:val="-2"/>
        </w:rPr>
        <w:t>量。该公允价值的金额在完成等待期内的服务或达到规定业绩条件才可行权的情况下，在等待期内以</w:t>
      </w:r>
      <w:r>
        <w:rPr>
          <w:w w:val="100"/>
        </w:rPr>
        <w:t> </w:t>
      </w:r>
      <w:r>
        <w:rPr>
          <w:spacing w:val="-1"/>
        </w:rPr>
        <w:t>对可行权权益工具数量的最佳估计为基础，按直线法计算计入相关成本或费用，相应增加资本公积。</w:t>
      </w:r>
    </w:p>
    <w:p>
      <w:pPr>
        <w:spacing w:line="240" w:lineRule="auto" w:before="12"/>
        <w:rPr>
          <w:rFonts w:ascii="宋体" w:hAnsi="宋体" w:cs="宋体" w:eastAsia="宋体" w:hint="default"/>
          <w:sz w:val="18"/>
          <w:szCs w:val="18"/>
        </w:rPr>
      </w:pPr>
    </w:p>
    <w:p>
      <w:pPr>
        <w:pStyle w:val="Heading6"/>
        <w:spacing w:line="259" w:lineRule="auto"/>
        <w:ind w:right="1090"/>
        <w:jc w:val="both"/>
      </w:pPr>
      <w:r>
        <w:rPr>
          <w:spacing w:val="-2"/>
        </w:rPr>
        <w:t>以现金结算的股份支付，按照本集团承担的以股份或其他权益工具为基础确定的负债的公允价值</w:t>
      </w:r>
      <w:r>
        <w:rPr>
          <w:w w:val="100"/>
        </w:rPr>
        <w:t> </w:t>
      </w:r>
      <w:r>
        <w:rPr>
          <w:spacing w:val="-1"/>
        </w:rPr>
        <w:t>计量。如授予后立即可行权，在授予日以承担负债的公允价值计入相关成本或费用，相应增加负债；</w:t>
      </w:r>
      <w:r>
        <w:rPr>
          <w:spacing w:val="-73"/>
        </w:rPr>
        <w:t> </w:t>
      </w:r>
      <w:r>
        <w:rPr>
          <w:spacing w:val="-73"/>
        </w:rPr>
      </w:r>
      <w:r>
        <w:rPr>
          <w:spacing w:val="-2"/>
        </w:rPr>
        <w:t>如需完成等待期内的服务或达到规定业绩条件以后才可行权，在等待期的每个资产负债表日，以对可</w:t>
      </w:r>
      <w:r>
        <w:rPr>
          <w:spacing w:val="-68"/>
        </w:rPr>
        <w:t> </w:t>
      </w:r>
      <w:r>
        <w:rPr>
          <w:spacing w:val="-68"/>
        </w:rPr>
      </w:r>
      <w:r>
        <w:rPr>
          <w:spacing w:val="-2"/>
        </w:rPr>
        <w:t>行权情况的最佳估计为基础，按照本集团承担负债的公允价值金额，将当期取得的服务计入成本或费</w:t>
      </w:r>
      <w:r>
        <w:rPr>
          <w:spacing w:val="-70"/>
        </w:rPr>
        <w:t> </w:t>
      </w:r>
      <w:r>
        <w:rPr>
          <w:spacing w:val="-70"/>
        </w:rPr>
      </w:r>
      <w:r>
        <w:rPr/>
        <w:t>用，相应调整负债。</w:t>
      </w:r>
    </w:p>
    <w:p>
      <w:pPr>
        <w:spacing w:line="240" w:lineRule="auto" w:before="11"/>
        <w:rPr>
          <w:rFonts w:ascii="宋体" w:hAnsi="宋体" w:cs="宋体" w:eastAsia="宋体" w:hint="default"/>
          <w:sz w:val="18"/>
          <w:szCs w:val="18"/>
        </w:rPr>
      </w:pPr>
    </w:p>
    <w:p>
      <w:pPr>
        <w:pStyle w:val="Heading6"/>
        <w:spacing w:line="259" w:lineRule="auto"/>
        <w:ind w:right="1133"/>
        <w:jc w:val="both"/>
      </w:pPr>
      <w:r>
        <w:rPr>
          <w:spacing w:val="-2"/>
        </w:rPr>
        <w:t>在相关负债结算前的每个资产负债表日以及结算日，对负债的公允价值重新计量，其变动计入当</w:t>
      </w:r>
      <w:r>
        <w:rPr>
          <w:w w:val="100"/>
        </w:rPr>
        <w:t> </w:t>
      </w:r>
      <w:r>
        <w:rPr/>
        <w:t>期损益。</w:t>
      </w:r>
    </w:p>
    <w:p>
      <w:pPr>
        <w:spacing w:after="0" w:line="259" w:lineRule="auto"/>
        <w:jc w:val="both"/>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59" w:lineRule="auto" w:before="32"/>
        <w:ind w:right="1131"/>
        <w:jc w:val="both"/>
      </w:pPr>
      <w:r>
        <w:rPr>
          <w:spacing w:val="-2"/>
        </w:rPr>
        <w:t>本集团在等待期内取消所授予权益工具的（因未满足可行权条件而被取消的除外），作为加速行</w:t>
      </w:r>
      <w:r>
        <w:rPr>
          <w:w w:val="100"/>
        </w:rPr>
        <w:t> </w:t>
      </w:r>
      <w:r>
        <w:rPr>
          <w:spacing w:val="-2"/>
        </w:rPr>
        <w:t>权处理，即视同剩余等待期内的股权支付计划已经全部满足可行权条件，在取消所授予权益工具的当</w:t>
      </w:r>
      <w:r>
        <w:rPr>
          <w:spacing w:val="-70"/>
        </w:rPr>
        <w:t> </w:t>
      </w:r>
      <w:r>
        <w:rPr>
          <w:spacing w:val="-70"/>
        </w:rPr>
      </w:r>
      <w:r>
        <w:rPr/>
        <w:t>期确认剩余等待期内的所有费用。</w:t>
      </w:r>
    </w:p>
    <w:p>
      <w:pPr>
        <w:spacing w:line="240" w:lineRule="auto" w:before="2"/>
        <w:rPr>
          <w:rFonts w:ascii="宋体" w:hAnsi="宋体" w:cs="宋体" w:eastAsia="宋体" w:hint="default"/>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23</w:t>
      </w:r>
      <w:r>
        <w:rPr/>
        <w:t>、收入</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2" w:right="1133"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7"/>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11"/>
        <w:rPr>
          <w:rFonts w:ascii="宋体" w:hAnsi="宋体" w:cs="宋体" w:eastAsia="宋体" w:hint="default"/>
          <w:sz w:val="20"/>
          <w:szCs w:val="20"/>
        </w:rPr>
      </w:pPr>
    </w:p>
    <w:p>
      <w:pPr>
        <w:pStyle w:val="Heading6"/>
        <w:spacing w:line="259" w:lineRule="auto"/>
        <w:ind w:right="1092"/>
        <w:jc w:val="both"/>
      </w:pPr>
      <w:r>
        <w:rPr>
          <w:spacing w:val="-1"/>
        </w:rPr>
        <w:t>本集团的营业收入主要包括销售自行开发研制的软件产品收入、销售商品收入、系统集成收入、</w:t>
      </w:r>
      <w:r>
        <w:rPr>
          <w:w w:val="100"/>
        </w:rPr>
        <w:t> </w:t>
      </w:r>
      <w:r>
        <w:rPr>
          <w:spacing w:val="-2"/>
        </w:rPr>
        <w:t>技术支持与维护收入、一次性技术开发收入、让渡资产使用权收入、业务推广费收入。收入确认政策</w:t>
      </w:r>
      <w:r>
        <w:rPr>
          <w:spacing w:val="-71"/>
        </w:rPr>
        <w:t> </w:t>
      </w:r>
      <w:r>
        <w:rPr>
          <w:spacing w:val="-71"/>
        </w:rPr>
      </w:r>
      <w:r>
        <w:rPr/>
        <w:t>如下：</w:t>
      </w:r>
    </w:p>
    <w:p>
      <w:pPr>
        <w:pStyle w:val="Heading6"/>
        <w:spacing w:line="552" w:lineRule="exact" w:before="62"/>
        <w:ind w:left="592" w:right="1133" w:firstLine="0"/>
        <w:jc w:val="left"/>
      </w:pPr>
      <w:r>
        <w:rPr/>
        <w:t>（</w:t>
      </w:r>
      <w:r>
        <w:rPr>
          <w:rFonts w:ascii="Times New Roman" w:hAnsi="Times New Roman" w:cs="Times New Roman" w:eastAsia="Times New Roman" w:hint="default"/>
        </w:rPr>
        <w:t>1</w:t>
      </w:r>
      <w:r>
        <w:rPr/>
        <w:t>）销售自行开发研制的软件产品收入</w:t>
      </w:r>
      <w:r>
        <w:rPr>
          <w:spacing w:val="-108"/>
        </w:rPr>
        <w:t> </w:t>
      </w:r>
      <w:r>
        <w:rPr>
          <w:spacing w:val="-108"/>
        </w:rPr>
      </w:r>
      <w:r>
        <w:rPr/>
        <w:t>自行开发研制的软件产品是指公司拥有著作权，销售时不转让所有权的软件产品。</w:t>
      </w:r>
      <w:r>
        <w:rPr>
          <w:w w:val="100"/>
        </w:rPr>
        <w:t> </w:t>
      </w:r>
      <w:r>
        <w:rPr>
          <w:spacing w:val="-2"/>
        </w:rPr>
        <w:t>对于不需要安装就可以使用的软件产品，本集团在已将软件产品使用权上的主要风险和报酬转给</w:t>
      </w:r>
    </w:p>
    <w:p>
      <w:pPr>
        <w:pStyle w:val="Heading6"/>
        <w:spacing w:line="233" w:lineRule="exact"/>
        <w:ind w:right="0" w:firstLine="0"/>
        <w:jc w:val="left"/>
      </w:pPr>
      <w:r>
        <w:rPr/>
        <w:t>购货方；本集团既没有保留与使用权相联系的继续管理权；也没有对已售出的软件产品实施控制；与</w:t>
      </w:r>
    </w:p>
    <w:p>
      <w:pPr>
        <w:pStyle w:val="Heading6"/>
        <w:spacing w:line="460" w:lineRule="auto" w:before="24"/>
        <w:ind w:left="592" w:right="1133" w:hanging="440"/>
        <w:jc w:val="left"/>
      </w:pPr>
      <w:r>
        <w:rPr>
          <w:spacing w:val="-1"/>
        </w:rPr>
        <w:t>交易相关的经济利益能够流入企业；相关的收入和成本能够可靠地计量时，确认收入实现。</w:t>
      </w:r>
      <w:r>
        <w:rPr>
          <w:spacing w:val="-77"/>
        </w:rPr>
        <w:t> </w:t>
      </w:r>
      <w:r>
        <w:rPr>
          <w:spacing w:val="-77"/>
        </w:rPr>
      </w:r>
      <w:r>
        <w:rPr/>
        <w:t>对于系统集成中的软件产品收入，按系统集成收入确认的原则确认。</w:t>
      </w:r>
    </w:p>
    <w:p>
      <w:pPr>
        <w:pStyle w:val="Heading6"/>
        <w:spacing w:line="240" w:lineRule="auto" w:before="61"/>
        <w:ind w:left="592" w:right="1133" w:firstLine="0"/>
        <w:jc w:val="left"/>
      </w:pPr>
      <w:r>
        <w:rPr/>
        <w:t>（</w:t>
      </w:r>
      <w:r>
        <w:rPr>
          <w:rFonts w:ascii="Times New Roman" w:hAnsi="Times New Roman" w:cs="Times New Roman" w:eastAsia="Times New Roman" w:hint="default"/>
        </w:rPr>
        <w:t>2</w:t>
      </w:r>
      <w:r>
        <w:rPr/>
        <w:t>）销售商品收入</w:t>
      </w:r>
    </w:p>
    <w:p>
      <w:pPr>
        <w:spacing w:line="240" w:lineRule="auto" w:before="12"/>
        <w:rPr>
          <w:rFonts w:ascii="宋体" w:hAnsi="宋体" w:cs="宋体" w:eastAsia="宋体" w:hint="default"/>
          <w:sz w:val="18"/>
          <w:szCs w:val="18"/>
        </w:rPr>
      </w:pPr>
    </w:p>
    <w:p>
      <w:pPr>
        <w:pStyle w:val="Heading6"/>
        <w:spacing w:line="259" w:lineRule="auto"/>
        <w:ind w:right="1128"/>
        <w:jc w:val="both"/>
      </w:pPr>
      <w:r>
        <w:rPr>
          <w:spacing w:val="-2"/>
        </w:rPr>
        <w:t>本集团已将外购商品的所有权的主要风险和报酬转给购货方；既没有保留与所有权相联系的继续</w:t>
      </w:r>
      <w:r>
        <w:rPr>
          <w:w w:val="100"/>
        </w:rPr>
        <w:t> </w:t>
      </w:r>
      <w:r>
        <w:rPr>
          <w:spacing w:val="-2"/>
        </w:rPr>
        <w:t>管理权；也没有对已售出的所有权实施控制；与交易相关的经济利益能够流入企业；相关的收入和成</w:t>
      </w:r>
      <w:r>
        <w:rPr>
          <w:spacing w:val="-68"/>
        </w:rPr>
        <w:t> </w:t>
      </w:r>
      <w:r>
        <w:rPr>
          <w:spacing w:val="-68"/>
        </w:rPr>
      </w:r>
      <w:r>
        <w:rPr/>
        <w:t>本能够可靠地计量时，确认收入实现。</w:t>
      </w:r>
    </w:p>
    <w:p>
      <w:pPr>
        <w:spacing w:line="240" w:lineRule="auto" w:before="11"/>
        <w:rPr>
          <w:rFonts w:ascii="宋体" w:hAnsi="宋体" w:cs="宋体" w:eastAsia="宋体" w:hint="default"/>
          <w:sz w:val="18"/>
          <w:szCs w:val="18"/>
        </w:rPr>
      </w:pPr>
    </w:p>
    <w:p>
      <w:pPr>
        <w:pStyle w:val="Heading6"/>
        <w:spacing w:line="240" w:lineRule="auto"/>
        <w:ind w:left="592" w:right="1133" w:firstLine="0"/>
        <w:jc w:val="left"/>
      </w:pPr>
      <w:r>
        <w:rPr/>
        <w:t>对于系统集成中的外购商品收入，按系统集成收入确认的原则确认。</w:t>
      </w:r>
    </w:p>
    <w:p>
      <w:pPr>
        <w:spacing w:line="240" w:lineRule="auto" w:before="2"/>
        <w:rPr>
          <w:rFonts w:ascii="宋体" w:hAnsi="宋体" w:cs="宋体" w:eastAsia="宋体" w:hint="default"/>
          <w:sz w:val="20"/>
          <w:szCs w:val="20"/>
        </w:rPr>
      </w:pPr>
    </w:p>
    <w:p>
      <w:pPr>
        <w:pStyle w:val="Heading6"/>
        <w:spacing w:line="434" w:lineRule="auto"/>
        <w:ind w:left="592" w:right="3554" w:firstLine="0"/>
        <w:jc w:val="left"/>
      </w:pPr>
      <w:r>
        <w:rPr/>
        <w:t>（</w:t>
      </w:r>
      <w:r>
        <w:rPr>
          <w:rFonts w:ascii="Times New Roman" w:hAnsi="Times New Roman" w:cs="Times New Roman" w:eastAsia="Times New Roman" w:hint="default"/>
        </w:rPr>
        <w:t>3</w:t>
      </w:r>
      <w:r>
        <w:rPr/>
        <w:t>）系统集成收入</w:t>
      </w:r>
      <w:r>
        <w:rPr>
          <w:w w:val="100"/>
        </w:rPr>
        <w:t> </w:t>
      </w:r>
      <w:r>
        <w:rPr>
          <w:spacing w:val="-1"/>
        </w:rPr>
        <w:t>系统集成包括外购商品、自行开发软件产品的销售及安装。</w:t>
      </w:r>
    </w:p>
    <w:p>
      <w:pPr>
        <w:pStyle w:val="Heading6"/>
        <w:spacing w:line="259" w:lineRule="auto" w:before="86"/>
        <w:ind w:right="1128"/>
        <w:jc w:val="both"/>
      </w:pPr>
      <w:r>
        <w:rPr>
          <w:spacing w:val="-2"/>
        </w:rPr>
        <w:t>本集团在将系统集成中外购商品的所有权、自行开发研制的软件产品使用权上的主要风险和报酬</w:t>
      </w:r>
      <w:r>
        <w:rPr>
          <w:w w:val="100"/>
        </w:rPr>
        <w:t> </w:t>
      </w:r>
      <w:r>
        <w:rPr>
          <w:spacing w:val="-2"/>
        </w:rPr>
        <w:t>转给购货方，本集团既没有保留与所有权及使用权相联系的继续管理权；也没有对已售出的使用权及</w:t>
      </w:r>
      <w:r>
        <w:rPr>
          <w:spacing w:val="-70"/>
        </w:rPr>
        <w:t> </w:t>
      </w:r>
      <w:r>
        <w:rPr>
          <w:spacing w:val="-70"/>
        </w:rPr>
      </w:r>
      <w:r>
        <w:rPr>
          <w:spacing w:val="-2"/>
        </w:rPr>
        <w:t>所有权实施控制；系统安装调试完毕并取得购货方的确认；与交易相关的经济利益能够流入企业；相</w:t>
      </w:r>
      <w:r>
        <w:rPr>
          <w:spacing w:val="-67"/>
        </w:rPr>
        <w:t> </w:t>
      </w:r>
      <w:r>
        <w:rPr>
          <w:spacing w:val="-67"/>
        </w:rPr>
      </w:r>
      <w:r>
        <w:rPr/>
        <w:t>关的收入和成本能够可靠地计量时，确认收入实现。</w:t>
      </w:r>
    </w:p>
    <w:p>
      <w:pPr>
        <w:pStyle w:val="Heading6"/>
        <w:spacing w:line="530" w:lineRule="atLeast" w:before="21"/>
        <w:ind w:left="592" w:right="1133" w:firstLine="0"/>
        <w:jc w:val="left"/>
      </w:pPr>
      <w:r>
        <w:rPr/>
        <w:t>（</w:t>
      </w:r>
      <w:r>
        <w:rPr>
          <w:rFonts w:ascii="Times New Roman" w:hAnsi="Times New Roman" w:cs="Times New Roman" w:eastAsia="Times New Roman" w:hint="default"/>
        </w:rPr>
        <w:t>4</w:t>
      </w:r>
      <w:r>
        <w:rPr/>
        <w:t>）技术支持与维护收入</w:t>
      </w:r>
      <w:r>
        <w:rPr>
          <w:w w:val="100"/>
        </w:rPr>
        <w:t> </w:t>
      </w:r>
      <w:r>
        <w:rPr>
          <w:spacing w:val="-2"/>
        </w:rPr>
        <w:t>技术支持与维护主要是指根据合同规定向用户提供的后续服务，后续服务包括系统维护、技术与</w:t>
      </w:r>
    </w:p>
    <w:p>
      <w:pPr>
        <w:pStyle w:val="Heading6"/>
        <w:spacing w:line="240" w:lineRule="auto" w:before="24"/>
        <w:ind w:right="1133" w:firstLine="0"/>
        <w:jc w:val="left"/>
      </w:pPr>
      <w:r>
        <w:rPr/>
        <w:t>应用咨询、产品升级等。</w:t>
      </w:r>
    </w:p>
    <w:p>
      <w:pPr>
        <w:spacing w:after="0" w:line="240" w:lineRule="auto"/>
        <w:jc w:val="left"/>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61" w:lineRule="auto" w:before="32"/>
        <w:ind w:right="1131"/>
        <w:jc w:val="both"/>
      </w:pPr>
      <w:r>
        <w:rPr>
          <w:spacing w:val="-2"/>
        </w:rPr>
        <w:t>本集团在劳务已经提供，收到价款或取得收款的依据后，根据与用户签订的技术支持与维护合同</w:t>
      </w:r>
      <w:r>
        <w:rPr>
          <w:w w:val="100"/>
        </w:rPr>
        <w:t> </w:t>
      </w:r>
      <w:r>
        <w:rPr/>
        <w:t>规定的维护期间及合同总金额，按提供技术支持与维护的进度确认技术与维护收入。</w:t>
      </w:r>
    </w:p>
    <w:p>
      <w:pPr>
        <w:pStyle w:val="Heading6"/>
        <w:spacing w:line="530" w:lineRule="atLeast" w:before="19"/>
        <w:ind w:left="592" w:right="1133" w:firstLine="0"/>
        <w:jc w:val="left"/>
      </w:pPr>
      <w:r>
        <w:rPr/>
        <w:t>（</w:t>
      </w:r>
      <w:r>
        <w:rPr>
          <w:rFonts w:ascii="Times New Roman" w:hAnsi="Times New Roman" w:cs="Times New Roman" w:eastAsia="Times New Roman" w:hint="default"/>
        </w:rPr>
        <w:t>5</w:t>
      </w:r>
      <w:r>
        <w:rPr/>
        <w:t>）一次性技术开发收入</w:t>
      </w:r>
      <w:r>
        <w:rPr>
          <w:w w:val="100"/>
        </w:rPr>
        <w:t> </w:t>
      </w:r>
      <w:r>
        <w:rPr>
          <w:spacing w:val="-2"/>
        </w:rPr>
        <w:t>一次性技术开发主要是指根据本集团客户的要求对自行开发研究的软件进行再次开发，向客户一</w:t>
      </w:r>
    </w:p>
    <w:p>
      <w:pPr>
        <w:pStyle w:val="Heading6"/>
        <w:spacing w:line="460" w:lineRule="auto" w:before="24"/>
        <w:ind w:left="592" w:right="1133" w:hanging="440"/>
        <w:jc w:val="left"/>
      </w:pPr>
      <w:r>
        <w:rPr/>
        <w:t>次性收取的技术开发费。</w:t>
      </w:r>
      <w:r>
        <w:rPr>
          <w:w w:val="100"/>
        </w:rPr>
        <w:t> </w:t>
      </w:r>
      <w:r>
        <w:rPr>
          <w:spacing w:val="-1"/>
        </w:rPr>
        <w:t>本集团在劳务已经提供，收到价款或取得收款的依据，项目完工时确认收入的实现。</w:t>
      </w:r>
    </w:p>
    <w:p>
      <w:pPr>
        <w:pStyle w:val="Heading6"/>
        <w:spacing w:line="434" w:lineRule="auto" w:before="61"/>
        <w:ind w:left="592" w:right="5091" w:firstLine="0"/>
        <w:jc w:val="left"/>
      </w:pPr>
      <w:r>
        <w:rPr/>
        <w:t>（</w:t>
      </w:r>
      <w:r>
        <w:rPr>
          <w:rFonts w:ascii="Times New Roman" w:hAnsi="Times New Roman" w:cs="Times New Roman" w:eastAsia="Times New Roman" w:hint="default"/>
        </w:rPr>
        <w:t>6</w:t>
      </w:r>
      <w:r>
        <w:rPr/>
        <w:t>）让渡资产使用权收入</w:t>
      </w:r>
      <w:r>
        <w:rPr>
          <w:w w:val="100"/>
        </w:rPr>
        <w:t> </w:t>
      </w:r>
      <w:r>
        <w:rPr>
          <w:spacing w:val="-1"/>
        </w:rPr>
        <w:t>让渡资产使用权收入包括资金使用费收入等。</w:t>
      </w:r>
    </w:p>
    <w:p>
      <w:pPr>
        <w:pStyle w:val="Heading6"/>
        <w:spacing w:line="261" w:lineRule="auto" w:before="86"/>
        <w:ind w:right="1130"/>
        <w:jc w:val="both"/>
      </w:pPr>
      <w:r>
        <w:rPr>
          <w:spacing w:val="-2"/>
        </w:rPr>
        <w:t>本集团在收入的金额能够可靠地计量，相关的经济利益很可能流入企业时，确认让渡资产使用权</w:t>
      </w:r>
      <w:r>
        <w:rPr>
          <w:w w:val="100"/>
        </w:rPr>
        <w:t> </w:t>
      </w:r>
      <w:r>
        <w:rPr/>
        <w:t>收入。</w:t>
      </w:r>
    </w:p>
    <w:p>
      <w:pPr>
        <w:pStyle w:val="Heading6"/>
        <w:spacing w:line="530" w:lineRule="atLeast" w:before="19"/>
        <w:ind w:left="592" w:right="1133" w:firstLine="0"/>
        <w:jc w:val="left"/>
      </w:pPr>
      <w:r>
        <w:rPr/>
        <w:t>（</w:t>
      </w:r>
      <w:r>
        <w:rPr>
          <w:rFonts w:ascii="Times New Roman" w:hAnsi="Times New Roman" w:cs="Times New Roman" w:eastAsia="Times New Roman" w:hint="default"/>
        </w:rPr>
        <w:t>7</w:t>
      </w:r>
      <w:r>
        <w:rPr/>
        <w:t>）业务推广费收入</w:t>
      </w:r>
      <w:r>
        <w:rPr>
          <w:w w:val="100"/>
        </w:rPr>
        <w:t> </w:t>
      </w:r>
      <w:r>
        <w:rPr>
          <w:spacing w:val="-2"/>
        </w:rPr>
        <w:t>业务推广费收入主要是指在使用本公司产品的商户系统中安装架设支付宝或微信支付通道，为支</w:t>
      </w:r>
    </w:p>
    <w:p>
      <w:pPr>
        <w:pStyle w:val="Heading6"/>
        <w:spacing w:line="240" w:lineRule="auto" w:before="24"/>
        <w:ind w:right="1133" w:firstLine="0"/>
        <w:jc w:val="left"/>
      </w:pPr>
      <w:r>
        <w:rPr/>
        <w:t>付宝或微信的支付提供推广和安装服务，支付宝或微信向本公司支付一定的推广和服务费</w:t>
      </w:r>
    </w:p>
    <w:p>
      <w:pPr>
        <w:spacing w:line="240" w:lineRule="auto" w:before="6"/>
        <w:rPr>
          <w:rFonts w:ascii="宋体" w:hAnsi="宋体" w:cs="宋体" w:eastAsia="宋体" w:hint="default"/>
          <w:sz w:val="25"/>
          <w:szCs w:val="25"/>
        </w:rPr>
      </w:pPr>
    </w:p>
    <w:p>
      <w:pPr>
        <w:pStyle w:val="Heading7"/>
        <w:spacing w:line="240" w:lineRule="auto"/>
        <w:ind w:right="1133"/>
        <w:jc w:val="left"/>
        <w:rPr>
          <w:b w:val="0"/>
          <w:bCs w:val="0"/>
        </w:rPr>
      </w:pPr>
      <w:r>
        <w:rPr>
          <w:rFonts w:ascii="Times New Roman" w:hAnsi="Times New Roman" w:cs="Times New Roman" w:eastAsia="Times New Roman" w:hint="default"/>
        </w:rPr>
        <w:t>24</w:t>
      </w:r>
      <w:r>
        <w:rPr/>
        <w:t>、政府补助</w:t>
      </w:r>
      <w:r>
        <w:rPr>
          <w:b w:val="0"/>
          <w:bCs w:val="0"/>
        </w:rPr>
      </w:r>
    </w:p>
    <w:p>
      <w:pPr>
        <w:spacing w:line="240" w:lineRule="auto" w:before="0"/>
        <w:rPr>
          <w:rFonts w:ascii="宋体" w:hAnsi="宋体" w:cs="宋体" w:eastAsia="宋体" w:hint="default"/>
          <w:b/>
          <w:bCs/>
          <w:sz w:val="24"/>
          <w:szCs w:val="24"/>
        </w:rPr>
      </w:pPr>
    </w:p>
    <w:p>
      <w:pPr>
        <w:pStyle w:val="Heading6"/>
        <w:spacing w:line="259" w:lineRule="auto"/>
        <w:ind w:right="1090"/>
        <w:jc w:val="both"/>
      </w:pPr>
      <w:r>
        <w:rPr>
          <w:spacing w:val="-2"/>
        </w:rPr>
        <w:t>本集团的政府补助包括从政府无偿取得货币性资产或非货币性资产。其中，与资产相关的政府补</w:t>
      </w:r>
      <w:r>
        <w:rPr>
          <w:w w:val="100"/>
        </w:rPr>
        <w:t> </w:t>
      </w:r>
      <w:r>
        <w:rPr>
          <w:spacing w:val="-1"/>
        </w:rPr>
        <w:t>助，是指本集团取得的、用于购建或以其他方式形成长期资产的政府补助；与收益相关的政府补助，</w:t>
      </w:r>
      <w:r>
        <w:rPr>
          <w:spacing w:val="-73"/>
        </w:rPr>
        <w:t> </w:t>
      </w:r>
      <w:r>
        <w:rPr>
          <w:spacing w:val="-73"/>
        </w:rPr>
      </w:r>
      <w:r>
        <w:rPr>
          <w:spacing w:val="-2"/>
        </w:rPr>
        <w:t>是指除与资产相关的政府补助之外的政府补助。如果政府文件中未明确规定补助对象，本集团按照上</w:t>
      </w:r>
      <w:r>
        <w:rPr>
          <w:spacing w:val="-70"/>
        </w:rPr>
        <w:t> </w:t>
      </w:r>
      <w:r>
        <w:rPr>
          <w:spacing w:val="-70"/>
        </w:rPr>
      </w:r>
      <w:r>
        <w:rPr/>
        <w:t>述区分原则进行判断，难以区分的，整体归类为与收益相关的政府补助。</w:t>
      </w:r>
    </w:p>
    <w:p>
      <w:pPr>
        <w:spacing w:line="240" w:lineRule="auto" w:before="11"/>
        <w:rPr>
          <w:rFonts w:ascii="宋体" w:hAnsi="宋体" w:cs="宋体" w:eastAsia="宋体" w:hint="default"/>
          <w:sz w:val="18"/>
          <w:szCs w:val="18"/>
        </w:rPr>
      </w:pPr>
    </w:p>
    <w:p>
      <w:pPr>
        <w:pStyle w:val="Heading6"/>
        <w:spacing w:line="259" w:lineRule="auto"/>
        <w:ind w:right="1128"/>
        <w:jc w:val="both"/>
      </w:pPr>
      <w:r>
        <w:rPr>
          <w:spacing w:val="-2"/>
        </w:rPr>
        <w:t>政府补助为货币性资产的，按照实际收到的金额计量，对于按照固定的定额标准拨付的补助，或</w:t>
      </w:r>
      <w:r>
        <w:rPr>
          <w:w w:val="100"/>
        </w:rPr>
        <w:t> </w:t>
      </w:r>
      <w:r>
        <w:rPr/>
        <w:t>对年末有确凿证据表明能够符合财政扶持政策规定的相关条件且预计能够收到财政扶持资金时</w:t>
      </w:r>
      <w:r>
        <w:rPr>
          <w:spacing w:val="58"/>
        </w:rPr>
        <w:t> </w:t>
      </w:r>
      <w:r>
        <w:rPr/>
        <w:t>，按</w:t>
      </w:r>
      <w:r>
        <w:rPr>
          <w:spacing w:val="-102"/>
        </w:rPr>
        <w:t> </w:t>
      </w:r>
      <w:r>
        <w:rPr>
          <w:spacing w:val="-102"/>
        </w:rPr>
      </w:r>
      <w:r>
        <w:rPr>
          <w:spacing w:val="-2"/>
        </w:rPr>
        <w:t>照应收的金额计量；政府补助为非货币性资产的，按照公允价值计量，公允价值不能可靠取得的，按</w:t>
      </w:r>
      <w:r>
        <w:rPr>
          <w:spacing w:val="-69"/>
        </w:rPr>
        <w:t> </w:t>
      </w:r>
      <w:r>
        <w:rPr>
          <w:spacing w:val="-69"/>
        </w:rPr>
      </w:r>
      <w:r>
        <w:rPr/>
        <w:t>照名义金额</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计量。</w:t>
      </w:r>
    </w:p>
    <w:p>
      <w:pPr>
        <w:spacing w:line="240" w:lineRule="auto" w:before="6"/>
        <w:rPr>
          <w:rFonts w:ascii="宋体" w:hAnsi="宋体" w:cs="宋体" w:eastAsia="宋体" w:hint="default"/>
          <w:sz w:val="17"/>
          <w:szCs w:val="17"/>
        </w:rPr>
      </w:pPr>
    </w:p>
    <w:p>
      <w:pPr>
        <w:pStyle w:val="Heading6"/>
        <w:spacing w:line="259" w:lineRule="auto"/>
        <w:ind w:right="1130"/>
        <w:jc w:val="both"/>
      </w:pPr>
      <w:r>
        <w:rPr>
          <w:spacing w:val="-2"/>
        </w:rPr>
        <w:t>与资产相关的政府补助确认为递延收益，在相关资产使用寿命内按照系统、合理的方法计入当期</w:t>
      </w:r>
      <w:r>
        <w:rPr>
          <w:w w:val="100"/>
        </w:rPr>
        <w:t> </w:t>
      </w:r>
      <w:r>
        <w:rPr>
          <w:spacing w:val="-2"/>
        </w:rPr>
        <w:t>损益。相关资产在使用寿命结束前被出售、转让、报废或发生毁损的，将尚未分配的相关递延收益余</w:t>
      </w:r>
      <w:r>
        <w:rPr>
          <w:spacing w:val="-69"/>
        </w:rPr>
        <w:t> </w:t>
      </w:r>
      <w:r>
        <w:rPr>
          <w:spacing w:val="-69"/>
        </w:rPr>
      </w:r>
      <w:r>
        <w:rPr/>
        <w:t>额转入资产处置当期的损益。</w:t>
      </w:r>
    </w:p>
    <w:p>
      <w:pPr>
        <w:spacing w:line="240" w:lineRule="auto" w:before="11"/>
        <w:rPr>
          <w:rFonts w:ascii="宋体" w:hAnsi="宋体" w:cs="宋体" w:eastAsia="宋体" w:hint="default"/>
          <w:sz w:val="18"/>
          <w:szCs w:val="18"/>
        </w:rPr>
      </w:pPr>
    </w:p>
    <w:p>
      <w:pPr>
        <w:pStyle w:val="Heading6"/>
        <w:spacing w:line="259" w:lineRule="auto"/>
        <w:ind w:right="1128"/>
        <w:jc w:val="both"/>
      </w:pPr>
      <w:r>
        <w:rPr>
          <w:spacing w:val="-2"/>
        </w:rPr>
        <w:t>与收益相关的政府补助，用于补偿以后期间的相关成本费用或损失的，确认为递延收益，并在确</w:t>
      </w:r>
      <w:r>
        <w:rPr>
          <w:w w:val="100"/>
        </w:rPr>
        <w:t> </w:t>
      </w:r>
      <w:r>
        <w:rPr>
          <w:spacing w:val="-2"/>
        </w:rPr>
        <w:t>认相关成本费用或损失的期间计入当期损益。与日常活动相关的政府补助，按照经济业务实质，计入</w:t>
      </w:r>
      <w:r>
        <w:rPr>
          <w:spacing w:val="-67"/>
        </w:rPr>
        <w:t> </w:t>
      </w:r>
      <w:r>
        <w:rPr>
          <w:spacing w:val="-67"/>
        </w:rPr>
      </w:r>
      <w:r>
        <w:rPr/>
        <w:t>其他收益或冲减相关成本费用。与日常活动无关的政府补助，计入营业外收支。</w:t>
      </w:r>
    </w:p>
    <w:p>
      <w:pPr>
        <w:spacing w:line="240" w:lineRule="auto" w:before="11"/>
        <w:rPr>
          <w:rFonts w:ascii="宋体" w:hAnsi="宋体" w:cs="宋体" w:eastAsia="宋体" w:hint="default"/>
          <w:sz w:val="18"/>
          <w:szCs w:val="18"/>
        </w:rPr>
      </w:pPr>
    </w:p>
    <w:p>
      <w:pPr>
        <w:pStyle w:val="Heading6"/>
        <w:spacing w:line="259" w:lineRule="auto"/>
        <w:ind w:right="1133"/>
        <w:jc w:val="both"/>
      </w:pPr>
      <w:r>
        <w:rPr>
          <w:spacing w:val="-2"/>
        </w:rPr>
        <w:t>本集团取得政策性优惠贷款贴息的，区分财政将贴息资金拨付给贷款银行和财政将贴息资金直接</w:t>
      </w:r>
      <w:r>
        <w:rPr>
          <w:w w:val="100"/>
        </w:rPr>
        <w:t> </w:t>
      </w:r>
      <w:r>
        <w:rPr/>
        <w:t>拨付给本集团两种情况，分别按照以下原则进行会计处理：</w:t>
      </w:r>
    </w:p>
    <w:p>
      <w:pPr>
        <w:spacing w:line="240" w:lineRule="auto" w:before="11"/>
        <w:rPr>
          <w:rFonts w:ascii="宋体" w:hAnsi="宋体" w:cs="宋体" w:eastAsia="宋体" w:hint="default"/>
          <w:sz w:val="18"/>
          <w:szCs w:val="18"/>
        </w:rPr>
      </w:pPr>
    </w:p>
    <w:p>
      <w:pPr>
        <w:pStyle w:val="Heading6"/>
        <w:spacing w:line="244" w:lineRule="auto"/>
        <w:ind w:right="1131"/>
        <w:jc w:val="both"/>
      </w:pPr>
      <w:r>
        <w:rPr/>
        <w:t>（</w:t>
      </w:r>
      <w:r>
        <w:rPr>
          <w:rFonts w:ascii="Times New Roman" w:hAnsi="Times New Roman" w:cs="Times New Roman" w:eastAsia="Times New Roman" w:hint="default"/>
        </w:rPr>
        <w:t>1</w:t>
      </w:r>
      <w:r>
        <w:rPr/>
        <w:t>）财政将贴息资金拨付给贷款银行，由贷款银行以政策性优惠利率向本集团提供贷款的，本</w:t>
      </w:r>
      <w:r>
        <w:rPr>
          <w:w w:val="100"/>
        </w:rPr>
        <w:t> </w:t>
      </w:r>
      <w:r>
        <w:rPr>
          <w:spacing w:val="-2"/>
        </w:rPr>
        <w:t>集团以实际收到的借款金额作为借款的入账价值，按照借款本金和该政策性优惠利率计算相关借款费</w:t>
      </w:r>
    </w:p>
    <w:p>
      <w:pPr>
        <w:spacing w:after="0" w:line="244" w:lineRule="auto"/>
        <w:jc w:val="both"/>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59" w:lineRule="auto" w:before="32"/>
        <w:ind w:right="1131" w:firstLine="0"/>
        <w:jc w:val="both"/>
      </w:pPr>
      <w:r>
        <w:rPr>
          <w:spacing w:val="-2"/>
        </w:rPr>
        <w:t>用（或以借款的公允价值作为借款的入账价值并按照实际利率法计算借款费用，实际收到的金额与借</w:t>
      </w:r>
      <w:r>
        <w:rPr>
          <w:spacing w:val="-70"/>
        </w:rPr>
        <w:t> </w:t>
      </w:r>
      <w:r>
        <w:rPr>
          <w:spacing w:val="-70"/>
        </w:rPr>
      </w:r>
      <w:r>
        <w:rPr>
          <w:spacing w:val="-2"/>
        </w:rPr>
        <w:t>款公允价值之间的差额确认为递延收益。递延收益在借款存续期内采用实际利率法摊销，冲减相关借</w:t>
      </w:r>
      <w:r>
        <w:rPr>
          <w:spacing w:val="-70"/>
        </w:rPr>
        <w:t> </w:t>
      </w:r>
      <w:r>
        <w:rPr>
          <w:spacing w:val="-70"/>
        </w:rPr>
      </w:r>
      <w:r>
        <w:rPr/>
        <w:t>款费用）。</w:t>
      </w:r>
    </w:p>
    <w:p>
      <w:pPr>
        <w:spacing w:line="240" w:lineRule="auto" w:before="11"/>
        <w:rPr>
          <w:rFonts w:ascii="宋体" w:hAnsi="宋体" w:cs="宋体" w:eastAsia="宋体" w:hint="default"/>
          <w:sz w:val="18"/>
          <w:szCs w:val="18"/>
        </w:rPr>
      </w:pPr>
    </w:p>
    <w:p>
      <w:pPr>
        <w:pStyle w:val="Heading6"/>
        <w:spacing w:line="446" w:lineRule="auto"/>
        <w:ind w:left="592" w:right="1133" w:firstLine="0"/>
        <w:jc w:val="left"/>
      </w:pPr>
      <w:r>
        <w:rPr/>
        <w:t>（</w:t>
      </w:r>
      <w:r>
        <w:rPr>
          <w:rFonts w:ascii="Times New Roman" w:hAnsi="Times New Roman" w:cs="Times New Roman" w:eastAsia="Times New Roman" w:hint="default"/>
        </w:rPr>
        <w:t>2</w:t>
      </w:r>
      <w:r>
        <w:rPr/>
        <w:t>）财政将贴息资金直接拨付给本集团，本集团将对应的贴息冲减相关借款费用。</w:t>
      </w:r>
      <w:r>
        <w:rPr>
          <w:w w:val="100"/>
        </w:rPr>
        <w:t> </w:t>
      </w:r>
      <w:r>
        <w:rPr>
          <w:spacing w:val="-1"/>
        </w:rPr>
        <w:t>本集团已确认的政府补助需要退回的，在需要退回的当期分情况按照以下规定进行会计处理：</w:t>
      </w:r>
      <w:r>
        <w:rPr>
          <w:spacing w:val="-79"/>
        </w:rPr>
        <w:t> </w:t>
      </w:r>
      <w:r>
        <w:rPr>
          <w:spacing w:val="-79"/>
        </w:rPr>
      </w:r>
      <w:r>
        <w:rPr>
          <w:rFonts w:ascii="Times New Roman" w:hAnsi="Times New Roman" w:cs="Times New Roman" w:eastAsia="Times New Roman" w:hint="default"/>
        </w:rPr>
        <w:t>1</w:t>
      </w:r>
      <w:r>
        <w:rPr/>
        <w:t>）初始确认时冲减相关资产账面价值的，调整资产账面价值。</w:t>
      </w:r>
    </w:p>
    <w:p>
      <w:pPr>
        <w:pStyle w:val="Heading6"/>
        <w:spacing w:line="240" w:lineRule="auto" w:before="38"/>
        <w:ind w:left="592" w:right="1133" w:firstLine="0"/>
        <w:jc w:val="left"/>
      </w:pPr>
      <w:r>
        <w:rPr>
          <w:rFonts w:ascii="Times New Roman" w:hAnsi="Times New Roman" w:cs="Times New Roman" w:eastAsia="Times New Roman" w:hint="default"/>
        </w:rPr>
        <w:t>2</w:t>
      </w:r>
      <w:r>
        <w:rPr/>
        <w:t>）存在相关递延收益的，冲减相关递延收益账面余额，超出部分计入当期损益。</w:t>
      </w:r>
    </w:p>
    <w:p>
      <w:pPr>
        <w:spacing w:line="240" w:lineRule="auto" w:before="12"/>
        <w:rPr>
          <w:rFonts w:ascii="宋体" w:hAnsi="宋体" w:cs="宋体" w:eastAsia="宋体" w:hint="default"/>
          <w:sz w:val="18"/>
          <w:szCs w:val="18"/>
        </w:rPr>
      </w:pPr>
    </w:p>
    <w:p>
      <w:pPr>
        <w:pStyle w:val="Heading6"/>
        <w:spacing w:line="240" w:lineRule="auto"/>
        <w:ind w:left="592" w:right="1133" w:firstLine="0"/>
        <w:jc w:val="left"/>
      </w:pPr>
      <w:r>
        <w:rPr>
          <w:rFonts w:ascii="Times New Roman" w:hAnsi="Times New Roman" w:cs="Times New Roman" w:eastAsia="Times New Roman" w:hint="default"/>
        </w:rPr>
        <w:t>3</w:t>
      </w:r>
      <w:r>
        <w:rPr/>
        <w:t>）属于其他情况的，直接计入当期损益。</w:t>
      </w:r>
    </w:p>
    <w:p>
      <w:pPr>
        <w:spacing w:line="240" w:lineRule="auto" w:before="3"/>
        <w:rPr>
          <w:rFonts w:ascii="宋体" w:hAnsi="宋体" w:cs="宋体" w:eastAsia="宋体" w:hint="default"/>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24"/>
          <w:szCs w:val="24"/>
        </w:rPr>
      </w:pPr>
    </w:p>
    <w:p>
      <w:pPr>
        <w:pStyle w:val="Heading6"/>
        <w:spacing w:line="252" w:lineRule="auto"/>
        <w:ind w:right="1128"/>
        <w:jc w:val="both"/>
      </w:pPr>
      <w:r>
        <w:rPr/>
        <w:t>本集团递延所得税资产和递延所得税负债根据资产和负债的计税基础与其账面价值的差额</w:t>
      </w:r>
      <w:r>
        <w:rPr>
          <w:rFonts w:ascii="Times New Roman" w:hAnsi="Times New Roman" w:cs="Times New Roman" w:eastAsia="Times New Roman" w:hint="default"/>
        </w:rPr>
        <w:t>(</w:t>
      </w:r>
      <w:r>
        <w:rPr/>
        <w:t>暂时</w:t>
      </w:r>
      <w:r>
        <w:rPr>
          <w:w w:val="100"/>
        </w:rPr>
        <w:t> </w:t>
      </w:r>
      <w:r>
        <w:rPr/>
        <w:t>性差异</w:t>
      </w:r>
      <w:r>
        <w:rPr>
          <w:rFonts w:ascii="Times New Roman" w:hAnsi="Times New Roman" w:cs="Times New Roman" w:eastAsia="Times New Roman" w:hint="default"/>
        </w:rPr>
        <w:t>)</w:t>
      </w:r>
      <w:r>
        <w:rPr/>
        <w:t>计算确认。对于按照税法规定能够于以后年度抵减应纳税所得额的可抵扣亏损，确认相应的</w:t>
      </w:r>
      <w:r>
        <w:rPr>
          <w:spacing w:val="-14"/>
        </w:rPr>
        <w:t> </w:t>
      </w:r>
      <w:r>
        <w:rPr>
          <w:spacing w:val="-14"/>
        </w:rPr>
      </w:r>
      <w:r>
        <w:rPr>
          <w:spacing w:val="-2"/>
        </w:rPr>
        <w:t>递延所得税资产。对于商誉的初始确认产生的暂时性差异，不确认相应的递延所得税负债。对于既不</w:t>
      </w:r>
      <w:r>
        <w:rPr>
          <w:spacing w:val="-67"/>
        </w:rPr>
        <w:t> </w:t>
      </w:r>
      <w:r>
        <w:rPr>
          <w:spacing w:val="-67"/>
        </w:rPr>
      </w:r>
      <w:r>
        <w:rPr/>
        <w:t>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的非企业合并的交易中产生的资产或负债的初始</w:t>
      </w:r>
      <w:r>
        <w:rPr>
          <w:spacing w:val="-78"/>
        </w:rPr>
        <w:t> </w:t>
      </w:r>
      <w:r>
        <w:rPr>
          <w:spacing w:val="-78"/>
        </w:rPr>
      </w:r>
      <w:r>
        <w:rPr>
          <w:spacing w:val="-2"/>
        </w:rPr>
        <w:t>确认形成的暂时性差异，不确认相应的递延所得税资产和递延所得税负债。于资产负债表日，递延所</w:t>
      </w:r>
      <w:r>
        <w:rPr>
          <w:spacing w:val="-65"/>
        </w:rPr>
        <w:t> </w:t>
      </w:r>
      <w:r>
        <w:rPr>
          <w:spacing w:val="-65"/>
        </w:rPr>
      </w:r>
      <w:r>
        <w:rPr/>
        <w:t>得税资产和递延所得税负债，按照预期收回该资产或清偿该负债期间的适用税率计量。</w:t>
      </w:r>
    </w:p>
    <w:p>
      <w:pPr>
        <w:spacing w:line="240" w:lineRule="auto" w:before="4"/>
        <w:rPr>
          <w:rFonts w:ascii="宋体" w:hAnsi="宋体" w:cs="宋体" w:eastAsia="宋体" w:hint="default"/>
          <w:sz w:val="19"/>
          <w:szCs w:val="19"/>
        </w:rPr>
      </w:pPr>
    </w:p>
    <w:p>
      <w:pPr>
        <w:pStyle w:val="Heading6"/>
        <w:spacing w:line="259" w:lineRule="auto"/>
        <w:ind w:right="1133"/>
        <w:jc w:val="both"/>
      </w:pPr>
      <w:r>
        <w:rPr>
          <w:spacing w:val="-2"/>
        </w:rPr>
        <w:t>本集团以很可能取得用来抵扣可抵扣暂时性差异、可抵扣亏损和税款抵减的未来应纳税所得额为</w:t>
      </w:r>
      <w:r>
        <w:rPr>
          <w:w w:val="100"/>
        </w:rPr>
        <w:t> </w:t>
      </w:r>
      <w:r>
        <w:rPr/>
        <w:t>限，确认递延所得税资产。</w:t>
      </w:r>
    </w:p>
    <w:p>
      <w:pPr>
        <w:spacing w:line="240" w:lineRule="auto" w:before="2"/>
        <w:rPr>
          <w:rFonts w:ascii="宋体" w:hAnsi="宋体" w:cs="宋体" w:eastAsia="宋体" w:hint="default"/>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26</w:t>
      </w:r>
      <w:r>
        <w:rPr/>
        <w:t>、租赁</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0"/>
        <w:rPr>
          <w:rFonts w:ascii="宋体" w:hAnsi="宋体" w:cs="宋体" w:eastAsia="宋体" w:hint="default"/>
          <w:b/>
          <w:bCs/>
          <w:sz w:val="24"/>
          <w:szCs w:val="24"/>
        </w:rPr>
      </w:pPr>
    </w:p>
    <w:p>
      <w:pPr>
        <w:pStyle w:val="Heading6"/>
        <w:spacing w:line="259" w:lineRule="auto"/>
        <w:ind w:right="1142"/>
        <w:jc w:val="both"/>
      </w:pPr>
      <w:r>
        <w:rPr>
          <w:spacing w:val="2"/>
        </w:rPr>
        <w:t>本集团作为经营租赁承租方的租金在租赁期内的各个期间按直线法计入相关资产成本或当期损</w:t>
      </w:r>
      <w:r>
        <w:rPr>
          <w:w w:val="100"/>
        </w:rPr>
        <w:t> </w:t>
      </w:r>
      <w:r>
        <w:rPr/>
        <w:t>益。</w:t>
      </w:r>
    </w:p>
    <w:p>
      <w:pPr>
        <w:spacing w:line="240" w:lineRule="auto" w:before="2"/>
        <w:rPr>
          <w:rFonts w:ascii="宋体" w:hAnsi="宋体" w:cs="宋体" w:eastAsia="宋体" w:hint="default"/>
          <w:sz w:val="24"/>
          <w:szCs w:val="24"/>
        </w:rPr>
      </w:pPr>
    </w:p>
    <w:p>
      <w:pPr>
        <w:pStyle w:val="Heading7"/>
        <w:spacing w:line="240" w:lineRule="auto"/>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1"/>
        <w:rPr>
          <w:rFonts w:ascii="宋体" w:hAnsi="宋体" w:cs="宋体" w:eastAsia="宋体" w:hint="default"/>
          <w:b/>
          <w:bCs/>
          <w:sz w:val="23"/>
          <w:szCs w:val="23"/>
        </w:rPr>
      </w:pPr>
    </w:p>
    <w:p>
      <w:pPr>
        <w:pStyle w:val="Heading6"/>
        <w:spacing w:line="259" w:lineRule="auto"/>
        <w:ind w:right="1131"/>
        <w:jc w:val="both"/>
      </w:pPr>
      <w:r>
        <w:rPr>
          <w:spacing w:val="-2"/>
        </w:rPr>
        <w:t>本集团作为融资租赁承租方时，在租赁开始日，按租赁开始日租赁资产的公允价值与最低租赁付</w:t>
      </w:r>
      <w:r>
        <w:rPr>
          <w:w w:val="100"/>
        </w:rPr>
        <w:t> </w:t>
      </w:r>
      <w:r>
        <w:rPr>
          <w:spacing w:val="-2"/>
        </w:rPr>
        <w:t>款额的现值两者中较低者，作为融资租入固定资产的入账价值，将最低租赁付款额作为长期应付款的</w:t>
      </w:r>
      <w:r>
        <w:rPr>
          <w:spacing w:val="-70"/>
        </w:rPr>
        <w:t> </w:t>
      </w:r>
      <w:r>
        <w:rPr>
          <w:spacing w:val="-70"/>
        </w:rPr>
      </w:r>
      <w:r>
        <w:rPr/>
        <w:t>入账价值，将两者的差额记录为未确认融资费用。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pStyle w:val="Heading7"/>
        <w:spacing w:line="240" w:lineRule="auto"/>
        <w:ind w:right="0"/>
        <w:jc w:val="both"/>
        <w:rPr>
          <w:b w:val="0"/>
          <w:bCs w:val="0"/>
        </w:rPr>
      </w:pPr>
      <w:r>
        <w:rPr>
          <w:rFonts w:ascii="Times New Roman" w:hAnsi="Times New Roman" w:cs="Times New Roman" w:eastAsia="Times New Roman" w:hint="default"/>
        </w:rPr>
        <w:t>27</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2"/>
        <w:gridCol w:w="3188"/>
        <w:gridCol w:w="3179"/>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2276"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7" w:lineRule="auto"/>
              <w:ind w:left="24" w:right="19"/>
              <w:jc w:val="left"/>
              <w:rPr>
                <w:rFonts w:ascii="宋体" w:hAnsi="宋体" w:cs="宋体" w:eastAsia="宋体" w:hint="default"/>
                <w:sz w:val="18"/>
                <w:szCs w:val="18"/>
              </w:rPr>
            </w:pPr>
            <w:r>
              <w:rPr>
                <w:rFonts w:ascii="宋体" w:hAnsi="宋体" w:cs="宋体" w:eastAsia="宋体" w:hint="default"/>
                <w:sz w:val="18"/>
                <w:szCs w:val="18"/>
              </w:rPr>
              <w:t>根据财政部颁发的《关于修订印发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6"/>
                <w:sz w:val="18"/>
                <w:szCs w:val="18"/>
              </w:rPr>
              <w:t>年度一般企业财务报表格式的通知》（财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会〔</w:t>
            </w:r>
            <w:r>
              <w:rPr>
                <w:rFonts w:ascii="Times New Roman" w:hAnsi="Times New Roman" w:cs="Times New Roman" w:eastAsia="Times New Roman" w:hint="default"/>
                <w:spacing w:val="-11"/>
                <w:sz w:val="18"/>
                <w:szCs w:val="18"/>
              </w:rPr>
              <w:t>2018</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15 </w:t>
            </w:r>
            <w:r>
              <w:rPr>
                <w:rFonts w:ascii="宋体" w:hAnsi="宋体" w:cs="宋体" w:eastAsia="宋体" w:hint="default"/>
                <w:spacing w:val="-10"/>
                <w:sz w:val="18"/>
                <w:szCs w:val="18"/>
              </w:rPr>
              <w:t>号）的有关规定，对于</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日及之后的财务报表按照新报 表格式编制，并对可比期间的比较数据 按照新报表格式要求进行调整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pacing w:val="-6"/>
                <w:sz w:val="18"/>
                <w:szCs w:val="18"/>
              </w:rPr>
              <w:t>日，公司召开第六届董事</w:t>
            </w:r>
          </w:p>
          <w:p>
            <w:pPr>
              <w:pStyle w:val="TableParagraph"/>
              <w:spacing w:line="307" w:lineRule="auto" w:before="63"/>
              <w:ind w:left="23" w:right="14"/>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年第一次临时会议，审议通过《关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于公司会计政策变更的议案》，《关于公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8"/>
                <w:sz w:val="18"/>
                <w:szCs w:val="18"/>
              </w:rPr>
              <w:t>司会计政策变更的公告》（</w:t>
            </w:r>
            <w:r>
              <w:rPr>
                <w:rFonts w:ascii="Times New Roman" w:hAnsi="Times New Roman" w:cs="Times New Roman" w:eastAsia="Times New Roman" w:hint="default"/>
                <w:spacing w:val="-8"/>
                <w:sz w:val="18"/>
                <w:szCs w:val="18"/>
              </w:rPr>
              <w:t>2019-04</w:t>
            </w:r>
            <w:r>
              <w:rPr>
                <w:rFonts w:ascii="宋体" w:hAnsi="宋体" w:cs="宋体" w:eastAsia="宋体" w:hint="default"/>
                <w:spacing w:val="-8"/>
                <w:sz w:val="18"/>
                <w:szCs w:val="18"/>
              </w:rPr>
              <w:t>）详见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pacing w:val="-21"/>
                <w:sz w:val="18"/>
                <w:szCs w:val="18"/>
              </w:rPr>
              <w:t>日的《中国证券报》、《证</w:t>
            </w:r>
            <w:r>
              <w:rPr>
                <w:rFonts w:ascii="宋体" w:hAnsi="宋体" w:cs="宋体" w:eastAsia="宋体" w:hint="default"/>
                <w:sz w:val="18"/>
                <w:szCs w:val="18"/>
              </w:rPr>
              <w:t> 券时报》及巨潮资讯网 </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6"/>
              <w:ind w:left="23" w:right="17"/>
              <w:jc w:val="left"/>
              <w:rPr>
                <w:rFonts w:ascii="宋体" w:hAnsi="宋体" w:cs="宋体" w:eastAsia="宋体" w:hint="default"/>
                <w:sz w:val="18"/>
                <w:szCs w:val="18"/>
              </w:rPr>
            </w:pPr>
            <w:r>
              <w:rPr>
                <w:rFonts w:ascii="宋体" w:hAnsi="宋体" w:cs="宋体" w:eastAsia="宋体" w:hint="default"/>
                <w:sz w:val="18"/>
                <w:szCs w:val="18"/>
              </w:rPr>
              <w:t>本集团因未提前执行新金融准则和新收 入准则，因此在编制</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报表时，按照《一般企业财务报表格式</w:t>
            </w:r>
          </w:p>
          <w:p>
            <w:pPr>
              <w:pStyle w:val="TableParagraph"/>
              <w:spacing w:line="316" w:lineRule="auto" w:before="24"/>
              <w:ind w:left="23" w:right="94"/>
              <w:jc w:val="left"/>
              <w:rPr>
                <w:rFonts w:ascii="宋体" w:hAnsi="宋体" w:cs="宋体" w:eastAsia="宋体" w:hint="default"/>
                <w:sz w:val="18"/>
                <w:szCs w:val="18"/>
              </w:rPr>
            </w:pPr>
            <w:r>
              <w:rPr>
                <w:rFonts w:ascii="宋体" w:hAnsi="宋体" w:cs="宋体" w:eastAsia="宋体" w:hint="default"/>
                <w:sz w:val="18"/>
                <w:szCs w:val="18"/>
              </w:rPr>
              <w:t>（适用于尚未执行新金融准则和新收入 </w:t>
            </w:r>
            <w:r>
              <w:rPr>
                <w:rFonts w:ascii="宋体" w:hAnsi="宋体" w:cs="宋体" w:eastAsia="宋体" w:hint="default"/>
                <w:spacing w:val="-8"/>
                <w:sz w:val="18"/>
                <w:szCs w:val="18"/>
              </w:rPr>
              <w:t>准则的企业）》格式进行列报</w:t>
            </w:r>
          </w:p>
        </w:tc>
      </w:tr>
    </w:tbl>
    <w:p>
      <w:pPr>
        <w:spacing w:line="240" w:lineRule="auto" w:before="2"/>
        <w:rPr>
          <w:rFonts w:ascii="宋体" w:hAnsi="宋体" w:cs="宋体" w:eastAsia="宋体" w:hint="default"/>
          <w:sz w:val="14"/>
          <w:szCs w:val="14"/>
        </w:rPr>
      </w:pPr>
    </w:p>
    <w:p>
      <w:pPr>
        <w:pStyle w:val="Heading6"/>
        <w:spacing w:line="244" w:lineRule="auto" w:before="32"/>
        <w:ind w:right="0"/>
        <w:jc w:val="left"/>
      </w:pPr>
      <w:r>
        <w:rPr>
          <w:spacing w:val="-4"/>
        </w:rPr>
        <w:t>根据财政部颁发的《关于修订印发</w:t>
      </w:r>
      <w:r>
        <w:rPr>
          <w:rFonts w:ascii="Times New Roman" w:hAnsi="Times New Roman" w:cs="Times New Roman" w:eastAsia="Times New Roman" w:hint="default"/>
          <w:spacing w:val="-4"/>
        </w:rPr>
        <w:t>2018</w:t>
      </w:r>
      <w:r>
        <w:rPr>
          <w:spacing w:val="-4"/>
        </w:rPr>
        <w:t>年度一般企业财务报表格式的通知》（财会〔</w:t>
      </w:r>
      <w:r>
        <w:rPr>
          <w:rFonts w:ascii="Times New Roman" w:hAnsi="Times New Roman" w:cs="Times New Roman" w:eastAsia="Times New Roman" w:hint="default"/>
          <w:spacing w:val="-4"/>
        </w:rPr>
        <w:t>2018</w:t>
      </w:r>
      <w:r>
        <w:rPr>
          <w:spacing w:val="-4"/>
        </w:rPr>
        <w:t>〕</w:t>
      </w:r>
      <w:r>
        <w:rPr>
          <w:rFonts w:ascii="Times New Roman" w:hAnsi="Times New Roman" w:cs="Times New Roman" w:eastAsia="Times New Roman" w:hint="default"/>
          <w:spacing w:val="-4"/>
        </w:rPr>
        <w:t>15</w:t>
      </w:r>
      <w:r>
        <w:rPr>
          <w:spacing w:val="-4"/>
        </w:rPr>
        <w:t>号）</w:t>
      </w:r>
      <w:r>
        <w:rPr>
          <w:w w:val="100"/>
        </w:rPr>
        <w:t> </w:t>
      </w:r>
      <w:r>
        <w:rPr/>
        <w:t>的有关规定，对于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日及之后的财务报表按照新报表格式编制，并对可比期间的比较数据</w:t>
      </w:r>
      <w:r>
        <w:rPr>
          <w:spacing w:val="-46"/>
        </w:rPr>
        <w:t> </w:t>
      </w:r>
      <w:r>
        <w:rPr>
          <w:spacing w:val="-46"/>
        </w:rPr>
      </w:r>
      <w:r>
        <w:rPr/>
        <w:t>按照新报表格式要求进行调整。本集团因未提前执行新金融准则和新收入准则，因此在编制</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31</w:t>
      </w:r>
      <w:r>
        <w:rPr/>
        <w:t>日报表时，按照《一般企业财务报表格式（适用于尚未执行新金融准则和新收入准则的企业）》</w:t>
      </w:r>
      <w:r>
        <w:rPr>
          <w:w w:val="100"/>
        </w:rPr>
        <w:t> </w:t>
      </w:r>
      <w:r>
        <w:rPr/>
        <w:t>格式进行列报，主要变化内容如下：</w:t>
      </w:r>
    </w:p>
    <w:p>
      <w:pPr>
        <w:spacing w:line="240" w:lineRule="auto" w:before="5"/>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704"/>
        <w:gridCol w:w="1981"/>
        <w:gridCol w:w="2271"/>
        <w:gridCol w:w="3545"/>
      </w:tblGrid>
      <w:tr>
        <w:trPr>
          <w:trHeight w:val="334" w:hRule="exact"/>
        </w:trPr>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32" w:right="0"/>
              <w:jc w:val="left"/>
              <w:rPr>
                <w:rFonts w:ascii="宋体" w:hAnsi="宋体" w:cs="宋体" w:eastAsia="宋体" w:hint="default"/>
                <w:sz w:val="18"/>
                <w:szCs w:val="18"/>
              </w:rPr>
            </w:pPr>
            <w:r>
              <w:rPr>
                <w:rFonts w:ascii="宋体" w:hAnsi="宋体" w:cs="宋体" w:eastAsia="宋体" w:hint="default"/>
                <w:b/>
                <w:bCs/>
                <w:sz w:val="18"/>
                <w:szCs w:val="18"/>
              </w:rPr>
              <w:t>新报表名称</w:t>
            </w:r>
            <w:r>
              <w:rPr>
                <w:rFonts w:ascii="宋体" w:hAnsi="宋体" w:cs="宋体" w:eastAsia="宋体" w:hint="default"/>
                <w:sz w:val="18"/>
                <w:szCs w:val="18"/>
              </w:rPr>
            </w:r>
          </w:p>
        </w:tc>
        <w:tc>
          <w:tcPr>
            <w:tcW w:w="22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676" w:right="0"/>
              <w:jc w:val="left"/>
              <w:rPr>
                <w:rFonts w:ascii="宋体" w:hAnsi="宋体" w:cs="宋体" w:eastAsia="宋体" w:hint="default"/>
                <w:sz w:val="18"/>
                <w:szCs w:val="18"/>
              </w:rPr>
            </w:pPr>
            <w:r>
              <w:rPr>
                <w:rFonts w:ascii="宋体" w:hAnsi="宋体" w:cs="宋体" w:eastAsia="宋体" w:hint="default"/>
                <w:b/>
                <w:bCs/>
                <w:sz w:val="18"/>
                <w:szCs w:val="18"/>
              </w:rPr>
              <w:t>旧报表名称</w:t>
            </w:r>
            <w:r>
              <w:rPr>
                <w:rFonts w:ascii="宋体" w:hAnsi="宋体" w:cs="宋体" w:eastAsia="宋体" w:hint="default"/>
                <w:sz w:val="18"/>
                <w:szCs w:val="18"/>
              </w:rPr>
            </w:r>
          </w:p>
        </w:tc>
        <w:tc>
          <w:tcPr>
            <w:tcW w:w="35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b/>
                <w:bCs/>
                <w:sz w:val="18"/>
                <w:szCs w:val="18"/>
              </w:rPr>
              <w:t>变化情况</w:t>
            </w:r>
            <w:r>
              <w:rPr>
                <w:rFonts w:ascii="宋体" w:hAnsi="宋体" w:cs="宋体" w:eastAsia="宋体" w:hint="default"/>
                <w:sz w:val="18"/>
                <w:szCs w:val="18"/>
              </w:rPr>
            </w:r>
          </w:p>
        </w:tc>
      </w:tr>
      <w:tr>
        <w:trPr>
          <w:trHeight w:val="672" w:hRule="exact"/>
        </w:trPr>
        <w:tc>
          <w:tcPr>
            <w:tcW w:w="17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资产负债表</w:t>
            </w:r>
            <w:r>
              <w:rPr>
                <w:rFonts w:ascii="宋体" w:hAnsi="宋体" w:cs="宋体" w:eastAsia="宋体" w:hint="default"/>
                <w:sz w:val="18"/>
                <w:szCs w:val="18"/>
              </w:rPr>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32"/>
              <w:ind w:left="2" w:right="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项目合并为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w:t>
            </w:r>
            <w:r>
              <w:rPr>
                <w:rFonts w:ascii="宋体" w:hAnsi="宋体" w:cs="宋体" w:eastAsia="宋体" w:hint="default"/>
                <w:spacing w:val="-79"/>
                <w:sz w:val="18"/>
                <w:szCs w:val="18"/>
              </w:rPr>
              <w:t> </w:t>
            </w:r>
            <w:r>
              <w:rPr>
                <w:rFonts w:ascii="宋体" w:hAnsi="宋体" w:cs="宋体" w:eastAsia="宋体" w:hint="default"/>
                <w:sz w:val="18"/>
                <w:szCs w:val="18"/>
              </w:rPr>
              <w:t>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r>
      <w:tr>
        <w:trPr>
          <w:trHeight w:val="970" w:hRule="exact"/>
        </w:trPr>
        <w:tc>
          <w:tcPr>
            <w:tcW w:w="1704" w:type="dxa"/>
            <w:vMerge/>
            <w:tcBorders>
              <w:left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应收股利</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00" w:lineRule="auto"/>
              <w:ind w:left="2" w:right="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应收利息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应收股利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科目归并至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其他应</w:t>
            </w:r>
            <w:r>
              <w:rPr>
                <w:rFonts w:ascii="宋体" w:hAnsi="宋体" w:cs="宋体" w:eastAsia="宋体" w:hint="default"/>
                <w:spacing w:val="-79"/>
                <w:sz w:val="18"/>
                <w:szCs w:val="18"/>
              </w:rPr>
              <w:t> </w:t>
            </w:r>
            <w:r>
              <w:rPr>
                <w:rFonts w:ascii="宋体" w:hAnsi="宋体" w:cs="宋体" w:eastAsia="宋体" w:hint="default"/>
                <w:sz w:val="18"/>
                <w:szCs w:val="18"/>
              </w:rPr>
              <w:t>收款</w:t>
            </w:r>
            <w:r>
              <w:rPr>
                <w:rFonts w:ascii="Times New Roman" w:hAnsi="Times New Roman" w:cs="Times New Roman" w:eastAsia="Times New Roman" w:hint="default"/>
                <w:sz w:val="18"/>
                <w:szCs w:val="18"/>
              </w:rPr>
              <w:t>”</w:t>
            </w:r>
            <w:r>
              <w:rPr>
                <w:rFonts w:ascii="宋体" w:hAnsi="宋体" w:cs="宋体" w:eastAsia="宋体" w:hint="default"/>
                <w:sz w:val="18"/>
                <w:szCs w:val="18"/>
              </w:rPr>
              <w:t>科目</w:t>
            </w:r>
          </w:p>
        </w:tc>
      </w:tr>
      <w:tr>
        <w:trPr>
          <w:trHeight w:val="660" w:hRule="exact"/>
        </w:trPr>
        <w:tc>
          <w:tcPr>
            <w:tcW w:w="1704" w:type="dxa"/>
            <w:vMerge/>
            <w:tcBorders>
              <w:left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r>
      <w:tr>
        <w:trPr>
          <w:trHeight w:val="660" w:hRule="exact"/>
        </w:trPr>
        <w:tc>
          <w:tcPr>
            <w:tcW w:w="1704" w:type="dxa"/>
            <w:vMerge/>
            <w:tcBorders>
              <w:left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工程物资</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工程物资</w:t>
            </w:r>
            <w:r>
              <w:rPr>
                <w:rFonts w:ascii="Times New Roman" w:hAnsi="Times New Roman" w:cs="Times New Roman" w:eastAsia="Times New Roman" w:hint="default"/>
                <w:sz w:val="18"/>
                <w:szCs w:val="18"/>
              </w:rPr>
              <w:t>”</w:t>
            </w:r>
            <w:r>
              <w:rPr>
                <w:rFonts w:ascii="宋体" w:hAnsi="宋体" w:cs="宋体" w:eastAsia="宋体" w:hint="default"/>
                <w:sz w:val="18"/>
                <w:szCs w:val="18"/>
              </w:rPr>
              <w:t>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r>
      <w:tr>
        <w:trPr>
          <w:trHeight w:val="658" w:hRule="exact"/>
        </w:trPr>
        <w:tc>
          <w:tcPr>
            <w:tcW w:w="1704" w:type="dxa"/>
            <w:vMerge/>
            <w:tcBorders>
              <w:left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项目合并为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应付票</w:t>
            </w:r>
            <w:r>
              <w:rPr>
                <w:rFonts w:ascii="宋体" w:hAnsi="宋体" w:cs="宋体" w:eastAsia="宋体" w:hint="default"/>
                <w:spacing w:val="-79"/>
                <w:sz w:val="18"/>
                <w:szCs w:val="18"/>
              </w:rPr>
              <w:t> </w:t>
            </w:r>
            <w:r>
              <w:rPr>
                <w:rFonts w:ascii="宋体" w:hAnsi="宋体" w:cs="宋体" w:eastAsia="宋体" w:hint="default"/>
                <w:sz w:val="18"/>
                <w:szCs w:val="18"/>
              </w:rPr>
              <w:t>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r>
      <w:tr>
        <w:trPr>
          <w:trHeight w:val="972" w:hRule="exact"/>
        </w:trPr>
        <w:tc>
          <w:tcPr>
            <w:tcW w:w="1704" w:type="dxa"/>
            <w:vMerge/>
            <w:tcBorders>
              <w:left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应付利息</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00" w:lineRule="auto"/>
              <w:ind w:left="2" w:right="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应付利息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应付股利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项目归并至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其他应</w:t>
            </w:r>
            <w:r>
              <w:rPr>
                <w:rFonts w:ascii="宋体" w:hAnsi="宋体" w:cs="宋体" w:eastAsia="宋体" w:hint="default"/>
                <w:spacing w:val="-79"/>
                <w:sz w:val="18"/>
                <w:szCs w:val="18"/>
              </w:rPr>
              <w:t> </w:t>
            </w:r>
            <w:r>
              <w:rPr>
                <w:rFonts w:ascii="宋体" w:hAnsi="宋体" w:cs="宋体" w:eastAsia="宋体" w:hint="default"/>
                <w:sz w:val="18"/>
                <w:szCs w:val="18"/>
              </w:rPr>
              <w:t>付款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r>
      <w:tr>
        <w:trPr>
          <w:trHeight w:val="658" w:hRule="exact"/>
        </w:trPr>
        <w:tc>
          <w:tcPr>
            <w:tcW w:w="1704" w:type="dxa"/>
            <w:vMerge/>
            <w:tcBorders>
              <w:left w:val="single" w:sz="6" w:space="0" w:color="000000"/>
              <w:bottom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专项应付款</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专项应付款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r>
      <w:tr>
        <w:trPr>
          <w:trHeight w:val="34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利润表</w:t>
            </w:r>
            <w:r>
              <w:rPr>
                <w:rFonts w:ascii="宋体" w:hAnsi="宋体" w:cs="宋体" w:eastAsia="宋体" w:hint="default"/>
                <w:sz w:val="18"/>
                <w:szCs w:val="18"/>
              </w:rPr>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从</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项目中分拆</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r>
    </w:tbl>
    <w:p>
      <w:pPr>
        <w:spacing w:line="240" w:lineRule="auto" w:before="2"/>
        <w:rPr>
          <w:rFonts w:ascii="宋体" w:hAnsi="宋体" w:cs="宋体" w:eastAsia="宋体" w:hint="default"/>
          <w:sz w:val="14"/>
          <w:szCs w:val="14"/>
        </w:rPr>
      </w:pPr>
    </w:p>
    <w:p>
      <w:pPr>
        <w:pStyle w:val="Heading6"/>
        <w:spacing w:line="240" w:lineRule="auto" w:before="32"/>
        <w:ind w:left="592" w:right="1133" w:firstLine="0"/>
        <w:jc w:val="left"/>
      </w:pPr>
      <w:r>
        <w:rPr>
          <w:rFonts w:ascii="Times New Roman" w:hAnsi="Times New Roman" w:cs="Times New Roman" w:eastAsia="Times New Roman" w:hint="default"/>
        </w:rPr>
        <w:t>1</w:t>
      </w:r>
      <w:r>
        <w:rPr/>
        <w:t>）本集团据此对比较报表数据进行追溯调整，具体调整明细列示如下：</w:t>
      </w:r>
    </w:p>
    <w:p>
      <w:pPr>
        <w:spacing w:line="240" w:lineRule="auto" w:before="5"/>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2835"/>
        <w:gridCol w:w="2269"/>
        <w:gridCol w:w="2129"/>
        <w:gridCol w:w="1983"/>
      </w:tblGrid>
      <w:tr>
        <w:trPr>
          <w:trHeight w:val="331" w:hRule="exact"/>
        </w:trPr>
        <w:tc>
          <w:tcPr>
            <w:tcW w:w="28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77" w:right="0"/>
              <w:jc w:val="left"/>
              <w:rPr>
                <w:rFonts w:ascii="宋体" w:hAnsi="宋体" w:cs="宋体" w:eastAsia="宋体" w:hint="default"/>
                <w:sz w:val="18"/>
                <w:szCs w:val="18"/>
              </w:rPr>
            </w:pPr>
            <w:r>
              <w:rPr>
                <w:rFonts w:ascii="宋体" w:hAnsi="宋体" w:cs="宋体" w:eastAsia="宋体" w:hint="default"/>
                <w:b/>
                <w:bCs/>
                <w:sz w:val="18"/>
                <w:szCs w:val="18"/>
              </w:rPr>
              <w:t>调整前金额</w:t>
            </w:r>
            <w:r>
              <w:rPr>
                <w:rFonts w:ascii="宋体" w:hAnsi="宋体" w:cs="宋体" w:eastAsia="宋体" w:hint="default"/>
                <w:sz w:val="18"/>
                <w:szCs w:val="18"/>
              </w:rPr>
            </w:r>
          </w:p>
        </w:tc>
        <w:tc>
          <w:tcPr>
            <w:tcW w:w="21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96" w:right="0"/>
              <w:jc w:val="left"/>
              <w:rPr>
                <w:rFonts w:ascii="宋体" w:hAnsi="宋体" w:cs="宋体" w:eastAsia="宋体" w:hint="default"/>
                <w:sz w:val="18"/>
                <w:szCs w:val="18"/>
              </w:rPr>
            </w:pPr>
            <w:r>
              <w:rPr>
                <w:rFonts w:ascii="宋体" w:hAnsi="宋体" w:cs="宋体" w:eastAsia="宋体" w:hint="default"/>
                <w:b/>
                <w:bCs/>
                <w:sz w:val="18"/>
                <w:szCs w:val="18"/>
              </w:rPr>
              <w:t>调整金额</w:t>
            </w:r>
            <w:r>
              <w:rPr>
                <w:rFonts w:ascii="宋体" w:hAnsi="宋体" w:cs="宋体" w:eastAsia="宋体" w:hint="default"/>
                <w:sz w:val="18"/>
                <w:szCs w:val="18"/>
              </w:rPr>
            </w:r>
          </w:p>
        </w:tc>
        <w:tc>
          <w:tcPr>
            <w:tcW w:w="19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32" w:right="0"/>
              <w:jc w:val="left"/>
              <w:rPr>
                <w:rFonts w:ascii="宋体" w:hAnsi="宋体" w:cs="宋体" w:eastAsia="宋体" w:hint="default"/>
                <w:sz w:val="18"/>
                <w:szCs w:val="18"/>
              </w:rPr>
            </w:pPr>
            <w:r>
              <w:rPr>
                <w:rFonts w:ascii="宋体" w:hAnsi="宋体" w:cs="宋体" w:eastAsia="宋体" w:hint="default"/>
                <w:b/>
                <w:bCs/>
                <w:sz w:val="18"/>
                <w:szCs w:val="18"/>
              </w:rPr>
              <w:t>调整后金额</w:t>
            </w:r>
            <w:r>
              <w:rPr>
                <w:rFonts w:ascii="宋体" w:hAnsi="宋体" w:cs="宋体" w:eastAsia="宋体" w:hint="default"/>
                <w:sz w:val="18"/>
                <w:szCs w:val="18"/>
              </w:rPr>
            </w:r>
          </w:p>
        </w:tc>
      </w:tr>
      <w:tr>
        <w:trPr>
          <w:trHeight w:val="362"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pacing w:val="-1"/>
                <w:sz w:val="18"/>
              </w:rPr>
              <w:t>701,358.65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spacing w:val="-1"/>
                <w:sz w:val="18"/>
              </w:rPr>
              <w:t>-701,358.65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441,234,382.22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-441,234,382.22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color w:val="333333"/>
                <w:sz w:val="18"/>
                <w:szCs w:val="18"/>
              </w:rPr>
              <w:t>应收票据及应收账款</w:t>
            </w:r>
            <w:r>
              <w:rPr>
                <w:rFonts w:ascii="宋体" w:hAnsi="宋体" w:cs="宋体" w:eastAsia="宋体" w:hint="default"/>
                <w:sz w:val="18"/>
                <w:szCs w:val="18"/>
              </w:rPr>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441,935,740.87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441,935,740.87</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191,892.43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-191,892.43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59,746,332.89</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191,892.43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59,938,225.32</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333333"/>
                <w:sz w:val="18"/>
                <w:szCs w:val="18"/>
              </w:rPr>
              <w:t>应付票据</w:t>
            </w:r>
            <w:r>
              <w:rPr>
                <w:rFonts w:ascii="宋体" w:hAnsi="宋体" w:cs="宋体" w:eastAsia="宋体" w:hint="default"/>
                <w:sz w:val="18"/>
                <w:szCs w:val="18"/>
              </w:rPr>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84,077,205.31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-84,077,205.31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2835"/>
        <w:gridCol w:w="2269"/>
        <w:gridCol w:w="2129"/>
        <w:gridCol w:w="1983"/>
      </w:tblGrid>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color w:val="333333"/>
                <w:sz w:val="18"/>
                <w:szCs w:val="18"/>
              </w:rPr>
              <w:t>应付账款</w:t>
            </w:r>
            <w:r>
              <w:rPr>
                <w:rFonts w:ascii="宋体" w:hAnsi="宋体" w:cs="宋体" w:eastAsia="宋体" w:hint="default"/>
                <w:sz w:val="18"/>
                <w:szCs w:val="18"/>
              </w:rPr>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175,038,841.02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-175,038,841.02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color w:val="333333"/>
                <w:sz w:val="18"/>
                <w:szCs w:val="18"/>
              </w:rPr>
              <w:t>应付票据及应付账款</w:t>
            </w:r>
            <w:r>
              <w:rPr>
                <w:rFonts w:ascii="宋体" w:hAnsi="宋体" w:cs="宋体" w:eastAsia="宋体" w:hint="default"/>
                <w:sz w:val="18"/>
                <w:szCs w:val="18"/>
              </w:rPr>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259,116,046.33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259,116,046.33</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114,200,855.20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114,200,855.20</w:t>
            </w: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196,160.00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-196,160.00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2,081,250.00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196,160.00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2,277,410.00</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718,086,379.26</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-199,668,174.15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518,418,205.11</w:t>
            </w: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199,668,174.15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199,668,174.15</w:t>
            </w:r>
          </w:p>
        </w:tc>
      </w:tr>
    </w:tbl>
    <w:p>
      <w:pPr>
        <w:spacing w:line="240" w:lineRule="auto" w:before="2"/>
        <w:rPr>
          <w:rFonts w:ascii="宋体" w:hAnsi="宋体" w:cs="宋体" w:eastAsia="宋体" w:hint="default"/>
          <w:sz w:val="14"/>
          <w:szCs w:val="14"/>
        </w:rPr>
      </w:pPr>
    </w:p>
    <w:p>
      <w:pPr>
        <w:pStyle w:val="Heading6"/>
        <w:spacing w:line="240" w:lineRule="auto" w:before="32"/>
        <w:ind w:left="592" w:right="1133" w:firstLine="0"/>
        <w:jc w:val="left"/>
      </w:pPr>
      <w:r>
        <w:rPr>
          <w:rFonts w:ascii="Times New Roman" w:hAnsi="Times New Roman" w:cs="Times New Roman" w:eastAsia="Times New Roman" w:hint="default"/>
        </w:rPr>
        <w:t>2</w:t>
      </w:r>
      <w:r>
        <w:rPr/>
        <w:t>）本公司亦前述政策变更情况对比较报表数据进行追溯调整，具体调整明细列示如下：</w:t>
      </w:r>
    </w:p>
    <w:p>
      <w:pPr>
        <w:spacing w:line="240" w:lineRule="auto" w:before="5"/>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2835"/>
        <w:gridCol w:w="2269"/>
        <w:gridCol w:w="2129"/>
        <w:gridCol w:w="1983"/>
      </w:tblGrid>
      <w:tr>
        <w:trPr>
          <w:trHeight w:val="348" w:hRule="exact"/>
        </w:trPr>
        <w:tc>
          <w:tcPr>
            <w:tcW w:w="28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77" w:right="0"/>
              <w:jc w:val="left"/>
              <w:rPr>
                <w:rFonts w:ascii="宋体" w:hAnsi="宋体" w:cs="宋体" w:eastAsia="宋体" w:hint="default"/>
                <w:sz w:val="18"/>
                <w:szCs w:val="18"/>
              </w:rPr>
            </w:pPr>
            <w:r>
              <w:rPr>
                <w:rFonts w:ascii="宋体" w:hAnsi="宋体" w:cs="宋体" w:eastAsia="宋体" w:hint="default"/>
                <w:b/>
                <w:bCs/>
                <w:sz w:val="18"/>
                <w:szCs w:val="18"/>
              </w:rPr>
              <w:t>调整前金额</w:t>
            </w:r>
            <w:r>
              <w:rPr>
                <w:rFonts w:ascii="宋体" w:hAnsi="宋体" w:cs="宋体" w:eastAsia="宋体" w:hint="default"/>
                <w:sz w:val="18"/>
                <w:szCs w:val="18"/>
              </w:rPr>
            </w:r>
          </w:p>
        </w:tc>
        <w:tc>
          <w:tcPr>
            <w:tcW w:w="21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96" w:right="0"/>
              <w:jc w:val="left"/>
              <w:rPr>
                <w:rFonts w:ascii="宋体" w:hAnsi="宋体" w:cs="宋体" w:eastAsia="宋体" w:hint="default"/>
                <w:sz w:val="18"/>
                <w:szCs w:val="18"/>
              </w:rPr>
            </w:pPr>
            <w:r>
              <w:rPr>
                <w:rFonts w:ascii="宋体" w:hAnsi="宋体" w:cs="宋体" w:eastAsia="宋体" w:hint="default"/>
                <w:b/>
                <w:bCs/>
                <w:sz w:val="18"/>
                <w:szCs w:val="18"/>
              </w:rPr>
              <w:t>调整金额</w:t>
            </w:r>
            <w:r>
              <w:rPr>
                <w:rFonts w:ascii="宋体" w:hAnsi="宋体" w:cs="宋体" w:eastAsia="宋体" w:hint="default"/>
                <w:sz w:val="18"/>
                <w:szCs w:val="18"/>
              </w:rPr>
            </w:r>
          </w:p>
        </w:tc>
        <w:tc>
          <w:tcPr>
            <w:tcW w:w="19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32" w:right="0"/>
              <w:jc w:val="left"/>
              <w:rPr>
                <w:rFonts w:ascii="宋体" w:hAnsi="宋体" w:cs="宋体" w:eastAsia="宋体" w:hint="default"/>
                <w:sz w:val="18"/>
                <w:szCs w:val="18"/>
              </w:rPr>
            </w:pPr>
            <w:r>
              <w:rPr>
                <w:rFonts w:ascii="宋体" w:hAnsi="宋体" w:cs="宋体" w:eastAsia="宋体" w:hint="default"/>
                <w:b/>
                <w:bCs/>
                <w:sz w:val="18"/>
                <w:szCs w:val="18"/>
              </w:rPr>
              <w:t>调整后金额</w:t>
            </w:r>
            <w:r>
              <w:rPr>
                <w:rFonts w:ascii="宋体" w:hAnsi="宋体" w:cs="宋体" w:eastAsia="宋体" w:hint="default"/>
                <w:sz w:val="18"/>
                <w:szCs w:val="18"/>
              </w:rPr>
            </w:r>
          </w:p>
        </w:tc>
      </w:tr>
      <w:tr>
        <w:trPr>
          <w:trHeight w:val="34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35,762,072.00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-35,762,072.00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333333"/>
                <w:sz w:val="18"/>
                <w:szCs w:val="18"/>
              </w:rPr>
              <w:t>应收票据及应收账款</w:t>
            </w:r>
            <w:r>
              <w:rPr>
                <w:rFonts w:ascii="宋体" w:hAnsi="宋体" w:cs="宋体" w:eastAsia="宋体" w:hint="default"/>
                <w:sz w:val="18"/>
                <w:szCs w:val="18"/>
              </w:rPr>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35,762,072.00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35,762,072.00</w:t>
            </w: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51,998,479.31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-51,998,479.31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499,376,993.08</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51,998,479.31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551,375,472.39</w:t>
            </w: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color w:val="333333"/>
                <w:sz w:val="18"/>
                <w:szCs w:val="18"/>
              </w:rPr>
              <w:t>应付票据</w:t>
            </w:r>
            <w:r>
              <w:rPr>
                <w:rFonts w:ascii="宋体" w:hAnsi="宋体" w:cs="宋体" w:eastAsia="宋体" w:hint="default"/>
                <w:sz w:val="18"/>
                <w:szCs w:val="18"/>
              </w:rPr>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333333"/>
                <w:sz w:val="18"/>
                <w:szCs w:val="18"/>
              </w:rPr>
              <w:t>应付账款</w:t>
            </w:r>
            <w:r>
              <w:rPr>
                <w:rFonts w:ascii="宋体" w:hAnsi="宋体" w:cs="宋体" w:eastAsia="宋体" w:hint="default"/>
                <w:sz w:val="18"/>
                <w:szCs w:val="18"/>
              </w:rPr>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171,306,803.42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-171,306,803.42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color w:val="333333"/>
                <w:sz w:val="18"/>
                <w:szCs w:val="18"/>
              </w:rPr>
              <w:t>应付票据及应付账款</w:t>
            </w:r>
            <w:r>
              <w:rPr>
                <w:rFonts w:ascii="宋体" w:hAnsi="宋体" w:cs="宋体" w:eastAsia="宋体" w:hint="default"/>
                <w:sz w:val="18"/>
                <w:szCs w:val="18"/>
              </w:rPr>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171,306,803.42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171,306,803.42</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869,775,485.58</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869,775,485.58</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180,687,801.60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-46,074,845.12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134,612,956.48</w:t>
            </w: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46,074,845.12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46,074,845.12</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spacing w:before="44"/>
        <w:ind w:left="152" w:right="1133" w:firstLine="0"/>
        <w:jc w:val="right"/>
        <w:rPr>
          <w:rFonts w:ascii="宋体" w:hAnsi="宋体" w:cs="宋体" w:eastAsia="宋体" w:hint="default"/>
          <w:sz w:val="18"/>
          <w:szCs w:val="18"/>
        </w:rPr>
      </w:pPr>
      <w:r>
        <w:rPr/>
        <w:pict>
          <v:shape style="position:absolute;margin-left:57pt;margin-top:-60.998268pt;width:478.7pt;height:136.75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2"/>
                    <w:gridCol w:w="2127"/>
                    <w:gridCol w:w="5600"/>
                  </w:tblGrid>
                  <w:tr>
                    <w:trPr>
                      <w:trHeight w:val="401"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税种</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计税依据</w:t>
                        </w:r>
                      </w:p>
                    </w:tc>
                    <w:tc>
                      <w:tcPr>
                        <w:tcW w:w="5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1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1"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1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161"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560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16.5%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17%</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18%</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19%</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27.50%</w:t>
                        </w:r>
                        <w:r>
                          <w:rPr>
                            <w:rFonts w:ascii="宋体" w:hAnsi="宋体" w:cs="宋体" w:eastAsia="宋体" w:hint="default"/>
                            <w:sz w:val="18"/>
                            <w:szCs w:val="18"/>
                          </w:rPr>
                          <w:t>，</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r>
                          <w:rPr>
                            <w:rFonts w:ascii="Times New Roman" w:hAnsi="Times New Roman" w:cs="Times New Roman" w:eastAsia="Times New Roman" w:hint="default"/>
                            <w:sz w:val="18"/>
                            <w:szCs w:val="18"/>
                          </w:rPr>
                          <w:t>30.18%</w:t>
                        </w:r>
                        <w:r>
                          <w:rPr>
                            <w:rFonts w:ascii="宋体" w:hAnsi="宋体" w:cs="宋体" w:eastAsia="宋体" w:hint="default"/>
                            <w:sz w:val="18"/>
                            <w:szCs w:val="18"/>
                          </w:rPr>
                          <w:t>、</w:t>
                        </w:r>
                        <w:r>
                          <w:rPr>
                            <w:rFonts w:ascii="Times New Roman" w:hAnsi="Times New Roman" w:cs="Times New Roman" w:eastAsia="Times New Roman" w:hint="default"/>
                            <w:sz w:val="18"/>
                            <w:szCs w:val="18"/>
                          </w:rPr>
                          <w:t>30.86%</w:t>
                        </w:r>
                        <w:r>
                          <w:rPr>
                            <w:rFonts w:ascii="宋体" w:hAnsi="宋体" w:cs="宋体" w:eastAsia="宋体" w:hint="default"/>
                            <w:sz w:val="18"/>
                            <w:szCs w:val="18"/>
                          </w:rPr>
                          <w:t>，</w:t>
                        </w:r>
                        <w:r>
                          <w:rPr>
                            <w:rFonts w:ascii="Times New Roman" w:hAnsi="Times New Roman" w:cs="Times New Roman" w:eastAsia="Times New Roman" w:hint="default"/>
                            <w:sz w:val="18"/>
                            <w:szCs w:val="18"/>
                          </w:rPr>
                          <w:t>31.20%</w:t>
                        </w:r>
                        <w:r>
                          <w:rPr>
                            <w:rFonts w:ascii="宋体" w:hAnsi="宋体" w:cs="宋体" w:eastAsia="宋体" w:hint="default"/>
                            <w:sz w:val="18"/>
                            <w:szCs w:val="18"/>
                          </w:rPr>
                          <w:t>，</w:t>
                        </w:r>
                        <w:r>
                          <w:rPr>
                            <w:rFonts w:ascii="Times New Roman" w:hAnsi="Times New Roman" w:cs="Times New Roman" w:eastAsia="Times New Roman" w:hint="default"/>
                            <w:sz w:val="18"/>
                            <w:szCs w:val="18"/>
                          </w:rPr>
                          <w:t>32.98%</w:t>
                        </w:r>
                        <w:r>
                          <w:rPr>
                            <w:rFonts w:ascii="宋体" w:hAnsi="宋体" w:cs="宋体" w:eastAsia="宋体" w:hint="default"/>
                            <w:sz w:val="18"/>
                            <w:szCs w:val="18"/>
                          </w:rPr>
                          <w:t>，</w:t>
                        </w:r>
                        <w:r>
                          <w:rPr>
                            <w:rFonts w:ascii="Times New Roman" w:hAnsi="Times New Roman" w:cs="Times New Roman" w:eastAsia="Times New Roman" w:hint="default"/>
                            <w:sz w:val="18"/>
                            <w:szCs w:val="18"/>
                          </w:rPr>
                          <w:t>27.5%</w:t>
                        </w:r>
                        <w:r>
                          <w:rPr>
                            <w:rFonts w:ascii="宋体" w:hAnsi="宋体" w:cs="宋体" w:eastAsia="宋体" w:hint="default"/>
                            <w:sz w:val="18"/>
                            <w:szCs w:val="18"/>
                          </w:rPr>
                          <w:t>，</w:t>
                        </w:r>
                        <w:r>
                          <w:rPr>
                            <w:rFonts w:ascii="Times New Roman" w:hAnsi="Times New Roman" w:cs="Times New Roman" w:eastAsia="Times New Roman" w:hint="default"/>
                            <w:sz w:val="18"/>
                            <w:szCs w:val="18"/>
                          </w:rPr>
                          <w:t>35.00%</w:t>
                        </w:r>
                      </w:p>
                    </w:tc>
                  </w:tr>
                  <w:tr>
                    <w:trPr>
                      <w:trHeight w:val="394"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127" w:type="dxa"/>
                        <w:vMerge/>
                        <w:tcBorders>
                          <w:left w:val="single" w:sz="9" w:space="0" w:color="D2D2D2"/>
                          <w:right w:val="single" w:sz="4" w:space="0" w:color="000000"/>
                        </w:tcBorders>
                      </w:tcPr>
                      <w:p>
                        <w:pPr/>
                      </w:p>
                    </w:tc>
                    <w:tc>
                      <w:tcPr>
                        <w:tcW w:w="5600" w:type="dxa"/>
                        <w:vMerge/>
                        <w:tcBorders>
                          <w:left w:val="single" w:sz="4" w:space="0" w:color="000000"/>
                          <w:right w:val="single" w:sz="4" w:space="0" w:color="000000"/>
                        </w:tcBorders>
                      </w:tcPr>
                      <w:p>
                        <w:pPr/>
                      </w:p>
                    </w:tc>
                  </w:tr>
                  <w:tr>
                    <w:trPr>
                      <w:trHeight w:val="161"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7" w:type="dxa"/>
                        <w:vMerge/>
                        <w:tcBorders>
                          <w:left w:val="single" w:sz="9" w:space="0" w:color="D2D2D2"/>
                          <w:bottom w:val="single" w:sz="4" w:space="0" w:color="000000"/>
                          <w:right w:val="single" w:sz="4" w:space="0" w:color="000000"/>
                        </w:tcBorders>
                      </w:tcPr>
                      <w:p>
                        <w:pPr/>
                      </w:p>
                    </w:tc>
                    <w:tc>
                      <w:tcPr>
                        <w:tcW w:w="5600" w:type="dxa"/>
                        <w:vMerge/>
                        <w:tcBorders>
                          <w:left w:val="single" w:sz="4" w:space="0" w:color="000000"/>
                          <w:bottom w:val="single" w:sz="4" w:space="0" w:color="000000"/>
                          <w:right w:val="single" w:sz="4" w:space="0" w:color="000000"/>
                        </w:tcBorders>
                      </w:tcPr>
                      <w:p>
                        <w:pPr/>
                      </w:p>
                    </w:tc>
                  </w:tr>
                  <w:tr>
                    <w:trPr>
                      <w:trHeight w:val="401"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6239"/>
        <w:gridCol w:w="3332"/>
      </w:tblGrid>
      <w:tr>
        <w:trPr>
          <w:trHeight w:val="401"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4"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杭州西软信息技术有限公司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杭州连边科技有限公司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北海环企软件科技有限公司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北京宝库在线技术有限公司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北京绿行者旅行社有限公司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北海乐宿国际旅行社有限公司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银石科技有限公司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南京银石计算机系统有限公司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南京银石支付系统科技有限公司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南京银石电脑系统工程有限公司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中国电子器件工业有限公司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4"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香港精密模具有限公司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北京中长商通科技有限公司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北京阳光物业管理有限公司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深圳市思迅软件股份有限公司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深圳万国思迅网络有限公司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深圳市奥凯软件有限公司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南京客至软件有限公司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石基商用信息技术有限公司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北京商用星联信息科技有限公司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百望金税科技有限公司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敏付科技有限公司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北京航信华仪软件技术有限公司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石基（香港）有限公司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Information Technology (Hong Kong)</w:t>
            </w:r>
            <w:r>
              <w:rPr>
                <w:rFonts w:ascii="Times New Roman"/>
                <w:spacing w:val="-30"/>
                <w:sz w:val="18"/>
              </w:rPr>
              <w:t> </w:t>
            </w:r>
            <w:r>
              <w:rPr>
                <w:rFonts w:ascii="Times New Roman"/>
                <w:sz w:val="18"/>
              </w:rPr>
              <w:t>Ltd</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Infrasys Singapore Pte</w:t>
            </w:r>
            <w:r>
              <w:rPr>
                <w:rFonts w:ascii="Times New Roman"/>
                <w:spacing w:val="-8"/>
                <w:sz w:val="18"/>
              </w:rPr>
              <w:t> </w:t>
            </w:r>
            <w:r>
              <w:rPr>
                <w:rFonts w:ascii="Times New Roman"/>
                <w:sz w:val="18"/>
              </w:rPr>
              <w:t>Ltd</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17.00%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6239"/>
        <w:gridCol w:w="3332"/>
      </w:tblGrid>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Pos Master</w:t>
            </w:r>
            <w:r>
              <w:rPr>
                <w:rFonts w:ascii="Times New Roman"/>
                <w:spacing w:val="-4"/>
                <w:sz w:val="18"/>
              </w:rPr>
              <w:t> </w:t>
            </w:r>
            <w:r>
              <w:rPr>
                <w:rFonts w:ascii="Times New Roman"/>
                <w:sz w:val="18"/>
              </w:rPr>
              <w:t>Ltd</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4"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Infrasys (HK)</w:t>
            </w:r>
            <w:r>
              <w:rPr>
                <w:rFonts w:ascii="Times New Roman"/>
                <w:spacing w:val="-7"/>
                <w:sz w:val="18"/>
              </w:rPr>
              <w:t> </w:t>
            </w:r>
            <w:r>
              <w:rPr>
                <w:rFonts w:ascii="Times New Roman"/>
                <w:sz w:val="18"/>
              </w:rPr>
              <w:t>Ltd</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现化电脑系统（北京）有限公司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北京现化信息技术有限公司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12.50%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广州万迅电脑软件有限公司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ShijiRetailInformationTechnologyCo.Ltd</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北京石基大商信息技术有限公司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北京富基融通信息技术有限公司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北京微店互联网服务有限公司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广州合光信息科技有限公司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上海时运信息技术有限公司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北京长京益康信息科技有限公司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北京长益联合信息科技有限公司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Horwath Consulting Services Asia Pacific</w:t>
            </w:r>
            <w:r>
              <w:rPr>
                <w:rFonts w:ascii="Times New Roman"/>
                <w:spacing w:val="-29"/>
                <w:sz w:val="18"/>
              </w:rPr>
              <w:t> </w:t>
            </w:r>
            <w:r>
              <w:rPr>
                <w:rFonts w:ascii="Times New Roman"/>
                <w:sz w:val="18"/>
              </w:rPr>
              <w:t>Limited</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浩华管理顾问（北京）有限公司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浩华管理顾问</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Horwath Asia Pacific(Singapore)Pre</w:t>
            </w:r>
            <w:r>
              <w:rPr>
                <w:rFonts w:ascii="Times New Roman"/>
                <w:spacing w:val="-18"/>
                <w:sz w:val="18"/>
              </w:rPr>
              <w:t> </w:t>
            </w:r>
            <w:r>
              <w:rPr>
                <w:rFonts w:ascii="Times New Roman"/>
                <w:sz w:val="18"/>
              </w:rPr>
              <w:t>Ltd</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Singapore) Pte</w:t>
            </w:r>
            <w:r>
              <w:rPr>
                <w:rFonts w:ascii="Times New Roman"/>
                <w:spacing w:val="-8"/>
                <w:sz w:val="18"/>
              </w:rPr>
              <w:t> </w:t>
            </w:r>
            <w:r>
              <w:rPr>
                <w:rFonts w:ascii="Times New Roman"/>
                <w:sz w:val="18"/>
              </w:rPr>
              <w:t>Ltd</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17.00%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Malaysia Sdn Bhd</w:t>
            </w:r>
            <w:r>
              <w:rPr>
                <w:rFonts w:ascii="Times New Roman"/>
                <w:spacing w:val="-7"/>
                <w:sz w:val="18"/>
              </w:rPr>
              <w:t> </w:t>
            </w:r>
            <w:r>
              <w:rPr>
                <w:rFonts w:ascii="Times New Roman"/>
                <w:sz w:val="18"/>
              </w:rPr>
              <w:t>100%</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20.00%</w:t>
            </w:r>
          </w:p>
        </w:tc>
      </w:tr>
      <w:tr>
        <w:trPr>
          <w:trHeight w:val="404"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India</w:t>
            </w:r>
            <w:r>
              <w:rPr>
                <w:rFonts w:ascii="Times New Roman"/>
                <w:spacing w:val="-7"/>
                <w:sz w:val="18"/>
              </w:rPr>
              <w:t> </w:t>
            </w:r>
            <w:r>
              <w:rPr>
                <w:rFonts w:ascii="Times New Roman"/>
                <w:sz w:val="18"/>
              </w:rPr>
              <w:t>LLP</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31.20%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Shiji Japan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株式会社</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30.86%</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Middle East-FZ</w:t>
            </w:r>
            <w:r>
              <w:rPr>
                <w:rFonts w:ascii="Times New Roman"/>
                <w:spacing w:val="-8"/>
                <w:sz w:val="18"/>
              </w:rPr>
              <w:t> </w:t>
            </w:r>
            <w:r>
              <w:rPr>
                <w:rFonts w:ascii="Times New Roman"/>
                <w:sz w:val="18"/>
              </w:rPr>
              <w:t>LLC</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(Australia) Pty</w:t>
            </w:r>
            <w:r>
              <w:rPr>
                <w:rFonts w:ascii="Times New Roman"/>
                <w:spacing w:val="-9"/>
                <w:sz w:val="18"/>
              </w:rPr>
              <w:t> </w:t>
            </w:r>
            <w:r>
              <w:rPr>
                <w:rFonts w:ascii="Times New Roman"/>
                <w:sz w:val="18"/>
              </w:rPr>
              <w:t>Ltd</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27.50%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hAnsi="Times New Roman"/>
                <w:sz w:val="18"/>
              </w:rPr>
              <w:t>CONCEPTEK- SISTEMAS DE INFORMAÇÃO</w:t>
            </w:r>
            <w:r>
              <w:rPr>
                <w:rFonts w:ascii="Times New Roman" w:hAnsi="Times New Roman"/>
                <w:spacing w:val="-11"/>
                <w:sz w:val="18"/>
              </w:rPr>
              <w:t> </w:t>
            </w:r>
            <w:r>
              <w:rPr>
                <w:rFonts w:ascii="Times New Roman" w:hAnsi="Times New Roman"/>
                <w:sz w:val="18"/>
              </w:rPr>
              <w:t>S.A.</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21.00%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w:t>
            </w:r>
            <w:r>
              <w:rPr>
                <w:rFonts w:ascii="Times New Roman"/>
                <w:spacing w:val="-5"/>
                <w:sz w:val="18"/>
              </w:rPr>
              <w:t> </w:t>
            </w:r>
            <w:r>
              <w:rPr>
                <w:rFonts w:ascii="Times New Roman"/>
                <w:sz w:val="18"/>
              </w:rPr>
              <w:t>GmbH</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Snapshot Poland</w:t>
            </w:r>
            <w:r>
              <w:rPr>
                <w:rFonts w:ascii="Times New Roman"/>
                <w:spacing w:val="-7"/>
                <w:sz w:val="18"/>
              </w:rPr>
              <w:t> </w:t>
            </w:r>
            <w:r>
              <w:rPr>
                <w:rFonts w:ascii="Times New Roman"/>
                <w:sz w:val="18"/>
              </w:rPr>
              <w:t>sp.z.o.o</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Straight</w:t>
            </w:r>
            <w:r>
              <w:rPr>
                <w:rFonts w:ascii="Times New Roman"/>
                <w:spacing w:val="-19"/>
                <w:sz w:val="18"/>
              </w:rPr>
              <w:t> </w:t>
            </w:r>
            <w:r>
              <w:rPr>
                <w:rFonts w:ascii="Times New Roman"/>
                <w:sz w:val="18"/>
              </w:rPr>
              <w:t>Shots.r.o</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Snapshot Deutschland</w:t>
            </w:r>
            <w:r>
              <w:rPr>
                <w:rFonts w:ascii="Times New Roman"/>
                <w:spacing w:val="-9"/>
                <w:sz w:val="18"/>
              </w:rPr>
              <w:t> </w:t>
            </w:r>
            <w:r>
              <w:rPr>
                <w:rFonts w:ascii="Times New Roman"/>
                <w:sz w:val="18"/>
              </w:rPr>
              <w:t>GmbH</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30.18%</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w:t>
            </w:r>
            <w:r>
              <w:rPr>
                <w:rFonts w:ascii="Times New Roman"/>
                <w:spacing w:val="-3"/>
                <w:sz w:val="18"/>
              </w:rPr>
              <w:t> </w:t>
            </w:r>
            <w:r>
              <w:rPr>
                <w:rFonts w:ascii="Times New Roman"/>
                <w:sz w:val="18"/>
              </w:rPr>
              <w:t>Poland</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4"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Shiji Deutschland</w:t>
            </w:r>
            <w:r>
              <w:rPr>
                <w:rFonts w:ascii="Times New Roman"/>
                <w:spacing w:val="-7"/>
                <w:sz w:val="18"/>
              </w:rPr>
              <w:t> </w:t>
            </w:r>
            <w:r>
              <w:rPr>
                <w:rFonts w:ascii="Times New Roman"/>
                <w:sz w:val="18"/>
              </w:rPr>
              <w:t>GmbH</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30.18%</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Review Rank</w:t>
            </w:r>
            <w:r>
              <w:rPr>
                <w:rFonts w:ascii="Times New Roman"/>
                <w:spacing w:val="-8"/>
                <w:sz w:val="18"/>
              </w:rPr>
              <w:t> </w:t>
            </w:r>
            <w:r>
              <w:rPr>
                <w:rFonts w:ascii="Times New Roman"/>
                <w:sz w:val="18"/>
              </w:rPr>
              <w:t>S.A.</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Review Pro</w:t>
            </w:r>
            <w:r>
              <w:rPr>
                <w:rFonts w:ascii="Times New Roman"/>
                <w:spacing w:val="-5"/>
                <w:sz w:val="18"/>
              </w:rPr>
              <w:t> </w:t>
            </w:r>
            <w:r>
              <w:rPr>
                <w:rFonts w:ascii="Times New Roman"/>
                <w:sz w:val="18"/>
              </w:rPr>
              <w:t>Inc</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35.00%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Review ProAsia Pacific Pte</w:t>
            </w:r>
            <w:r>
              <w:rPr>
                <w:rFonts w:ascii="Times New Roman"/>
                <w:spacing w:val="-8"/>
                <w:sz w:val="18"/>
              </w:rPr>
              <w:t> </w:t>
            </w:r>
            <w:r>
              <w:rPr>
                <w:rFonts w:ascii="Times New Roman"/>
                <w:sz w:val="18"/>
              </w:rPr>
              <w:t>Ltd</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Galasys</w:t>
            </w:r>
            <w:r>
              <w:rPr>
                <w:rFonts w:ascii="Times New Roman"/>
                <w:spacing w:val="-4"/>
                <w:sz w:val="18"/>
              </w:rPr>
              <w:t> </w:t>
            </w:r>
            <w:r>
              <w:rPr>
                <w:rFonts w:ascii="Times New Roman"/>
                <w:sz w:val="18"/>
              </w:rPr>
              <w:t>Plc</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6239"/>
        <w:gridCol w:w="3332"/>
      </w:tblGrid>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Galasys Holdings</w:t>
            </w:r>
            <w:r>
              <w:rPr>
                <w:rFonts w:ascii="Times New Roman"/>
                <w:spacing w:val="-9"/>
                <w:sz w:val="18"/>
              </w:rPr>
              <w:t> </w:t>
            </w:r>
            <w:r>
              <w:rPr>
                <w:rFonts w:ascii="Times New Roman"/>
                <w:sz w:val="18"/>
              </w:rPr>
              <w:t>Ltd</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Galasys Solutions (MSC)</w:t>
            </w:r>
            <w:r>
              <w:rPr>
                <w:rFonts w:ascii="Times New Roman"/>
                <w:spacing w:val="-11"/>
                <w:sz w:val="18"/>
              </w:rPr>
              <w:t> </w:t>
            </w:r>
            <w:r>
              <w:rPr>
                <w:rFonts w:ascii="Times New Roman"/>
                <w:sz w:val="18"/>
              </w:rPr>
              <w:t>SdnBhd</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Galasys Technologies (HK)</w:t>
            </w:r>
            <w:r>
              <w:rPr>
                <w:rFonts w:ascii="Times New Roman"/>
                <w:spacing w:val="-28"/>
                <w:sz w:val="18"/>
              </w:rPr>
              <w:t> </w:t>
            </w:r>
            <w:r>
              <w:rPr>
                <w:rFonts w:ascii="Times New Roman"/>
                <w:sz w:val="18"/>
              </w:rPr>
              <w:t>Limited</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Galasys </w:t>
            </w:r>
            <w:r>
              <w:rPr>
                <w:rFonts w:ascii="Times New Roman"/>
                <w:spacing w:val="-3"/>
                <w:sz w:val="18"/>
              </w:rPr>
              <w:t>GLTSdn</w:t>
            </w:r>
            <w:r>
              <w:rPr>
                <w:rFonts w:ascii="Times New Roman"/>
                <w:spacing w:val="-4"/>
                <w:sz w:val="18"/>
              </w:rPr>
              <w:t> </w:t>
            </w:r>
            <w:r>
              <w:rPr>
                <w:rFonts w:ascii="Times New Roman"/>
                <w:sz w:val="18"/>
              </w:rPr>
              <w:t>Bhd</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Galasys Solutions (UK)</w:t>
            </w:r>
            <w:r>
              <w:rPr>
                <w:rFonts w:ascii="Times New Roman"/>
                <w:spacing w:val="-12"/>
                <w:sz w:val="18"/>
              </w:rPr>
              <w:t> </w:t>
            </w:r>
            <w:r>
              <w:rPr>
                <w:rFonts w:ascii="Times New Roman"/>
                <w:sz w:val="18"/>
              </w:rPr>
              <w:t>Limited</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ILogicSolutionsSdnBhd</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银科环企软件（苏州）有限公司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(US)</w:t>
            </w:r>
            <w:r>
              <w:rPr>
                <w:rFonts w:ascii="Times New Roman"/>
                <w:spacing w:val="-1"/>
                <w:sz w:val="18"/>
              </w:rPr>
              <w:t> </w:t>
            </w:r>
            <w:r>
              <w:rPr>
                <w:rFonts w:ascii="Times New Roman"/>
                <w:sz w:val="18"/>
              </w:rPr>
              <w:t>Inc</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35.00%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Stayntouch</w:t>
            </w:r>
            <w:r>
              <w:rPr>
                <w:rFonts w:ascii="Times New Roman"/>
                <w:spacing w:val="-5"/>
                <w:sz w:val="18"/>
              </w:rPr>
              <w:t> </w:t>
            </w:r>
            <w:r>
              <w:rPr>
                <w:rFonts w:ascii="Times New Roman"/>
                <w:sz w:val="18"/>
              </w:rPr>
              <w:t>Inc</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Slovakia</w:t>
            </w:r>
            <w:r>
              <w:rPr>
                <w:rFonts w:ascii="Times New Roman"/>
                <w:spacing w:val="-16"/>
                <w:sz w:val="18"/>
              </w:rPr>
              <w:t> </w:t>
            </w:r>
            <w:r>
              <w:rPr>
                <w:rFonts w:ascii="Times New Roman"/>
                <w:sz w:val="18"/>
              </w:rPr>
              <w:t>s.r.o</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21.00%</w:t>
            </w:r>
          </w:p>
        </w:tc>
      </w:tr>
    </w:tbl>
    <w:p>
      <w:pPr>
        <w:spacing w:line="240" w:lineRule="auto" w:before="10"/>
        <w:rPr>
          <w:rFonts w:ascii="Times New Roman" w:hAnsi="Times New Roman" w:cs="Times New Roman" w:eastAsia="Times New Roman" w:hint="default"/>
          <w:sz w:val="21"/>
          <w:szCs w:val="21"/>
        </w:rPr>
      </w:pPr>
    </w:p>
    <w:p>
      <w:pPr>
        <w:pStyle w:val="Heading7"/>
        <w:spacing w:line="240" w:lineRule="auto" w:before="36"/>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0"/>
        <w:rPr>
          <w:rFonts w:ascii="宋体" w:hAnsi="宋体" w:cs="宋体" w:eastAsia="宋体" w:hint="default"/>
          <w:b/>
          <w:bCs/>
          <w:sz w:val="24"/>
          <w:szCs w:val="24"/>
        </w:rPr>
      </w:pPr>
    </w:p>
    <w:p>
      <w:pPr>
        <w:pStyle w:val="Heading6"/>
        <w:spacing w:line="240" w:lineRule="auto"/>
        <w:ind w:left="592" w:right="1133" w:firstLine="0"/>
        <w:jc w:val="left"/>
      </w:pPr>
      <w:r>
        <w:rPr/>
        <w:t>（</w:t>
      </w:r>
      <w:r>
        <w:rPr>
          <w:rFonts w:ascii="Times New Roman" w:hAnsi="Times New Roman" w:cs="Times New Roman" w:eastAsia="Times New Roman" w:hint="default"/>
        </w:rPr>
        <w:t>1</w:t>
      </w:r>
      <w:r>
        <w:rPr/>
        <w:t>）享受的企业所得税优惠政策</w:t>
      </w:r>
    </w:p>
    <w:p>
      <w:pPr>
        <w:pStyle w:val="Heading6"/>
        <w:spacing w:line="530" w:lineRule="atLeast" w:before="22"/>
        <w:ind w:left="592" w:right="1133" w:firstLine="0"/>
        <w:jc w:val="left"/>
      </w:pPr>
      <w:r>
        <w:rPr>
          <w:rFonts w:ascii="Times New Roman" w:hAnsi="Times New Roman" w:cs="Times New Roman" w:eastAsia="Times New Roman" w:hint="default"/>
        </w:rPr>
        <w:t>1</w:t>
      </w:r>
      <w:r>
        <w:rPr/>
        <w:t>）享受所得税税率</w:t>
      </w:r>
      <w:r>
        <w:rPr>
          <w:rFonts w:ascii="Times New Roman" w:hAnsi="Times New Roman" w:cs="Times New Roman" w:eastAsia="Times New Roman" w:hint="default"/>
        </w:rPr>
        <w:t>15.00%</w:t>
      </w:r>
      <w:r>
        <w:rPr/>
        <w:t>的优惠企业情况</w:t>
      </w:r>
      <w:r>
        <w:rPr>
          <w:w w:val="100"/>
        </w:rPr>
        <w:t> </w:t>
      </w:r>
      <w:r>
        <w:rPr>
          <w:spacing w:val="-2"/>
        </w:rPr>
        <w:t>本公司及石基昆仑、西软信息、银石计算机、银石支付、思迅软件、航信华仪、广州万迅、石基</w:t>
      </w:r>
    </w:p>
    <w:p>
      <w:pPr>
        <w:pStyle w:val="Heading6"/>
        <w:spacing w:line="240" w:lineRule="auto" w:before="24"/>
        <w:ind w:right="0" w:firstLine="0"/>
        <w:jc w:val="both"/>
      </w:pPr>
      <w:r>
        <w:rPr/>
        <w:t>大商信息、上海时运、长益科技、苏州环企为高新技术企业，享受企业所得税税率为</w:t>
      </w:r>
      <w:r>
        <w:rPr>
          <w:rFonts w:ascii="Times New Roman" w:hAnsi="Times New Roman" w:cs="Times New Roman" w:eastAsia="Times New Roman" w:hint="default"/>
        </w:rPr>
        <w:t>15.00%</w:t>
      </w:r>
      <w:r>
        <w:rPr/>
        <w:t>的优惠。</w:t>
      </w:r>
    </w:p>
    <w:p>
      <w:pPr>
        <w:pStyle w:val="Heading6"/>
        <w:spacing w:line="550" w:lineRule="atLeast" w:before="2"/>
        <w:ind w:left="592" w:right="1133" w:firstLine="0"/>
        <w:jc w:val="left"/>
      </w:pPr>
      <w:r>
        <w:rPr>
          <w:rFonts w:ascii="Times New Roman" w:hAnsi="Times New Roman" w:cs="Times New Roman" w:eastAsia="Times New Roman" w:hint="default"/>
        </w:rPr>
        <w:t>2</w:t>
      </w:r>
      <w:r>
        <w:rPr/>
        <w:t>）实际执行所得税税率</w:t>
      </w:r>
      <w:r>
        <w:rPr>
          <w:rFonts w:ascii="Times New Roman" w:hAnsi="Times New Roman" w:cs="Times New Roman" w:eastAsia="Times New Roman" w:hint="default"/>
        </w:rPr>
        <w:t>0.00%</w:t>
      </w:r>
      <w:r>
        <w:rPr/>
        <w:t>、</w:t>
      </w:r>
      <w:r>
        <w:rPr>
          <w:rFonts w:ascii="Times New Roman" w:hAnsi="Times New Roman" w:cs="Times New Roman" w:eastAsia="Times New Roman" w:hint="default"/>
        </w:rPr>
        <w:t>12.50%</w:t>
      </w:r>
      <w:r>
        <w:rPr/>
        <w:t>的情况</w:t>
      </w:r>
      <w:r>
        <w:rPr>
          <w:w w:val="100"/>
        </w:rPr>
        <w:t> </w:t>
      </w:r>
      <w:r>
        <w:rPr/>
        <w:t>银石科技、百望金税、石基商用、现化信息系为软件企业，根据</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[2012]27</w:t>
      </w:r>
      <w:r>
        <w:rPr/>
        <w:t>号</w:t>
      </w:r>
      <w:r>
        <w:rPr>
          <w:rFonts w:ascii="Times New Roman" w:hAnsi="Times New Roman" w:cs="Times New Roman" w:eastAsia="Times New Roman" w:hint="default"/>
        </w:rPr>
        <w:t>”</w:t>
      </w:r>
      <w:r>
        <w:rPr/>
        <w:t>文《关于进一</w:t>
      </w:r>
    </w:p>
    <w:p>
      <w:pPr>
        <w:pStyle w:val="Heading6"/>
        <w:spacing w:line="244" w:lineRule="auto" w:before="8"/>
        <w:ind w:right="1129" w:firstLine="0"/>
        <w:jc w:val="both"/>
      </w:pPr>
      <w:r>
        <w:rPr/>
        <w:t>步鼓励软件产业和集成电路产业发展企业所得税政策的通知》的规定：</w:t>
      </w:r>
      <w:r>
        <w:rPr>
          <w:rFonts w:ascii="Times New Roman" w:hAnsi="Times New Roman" w:cs="Times New Roman" w:eastAsia="Times New Roman" w:hint="default"/>
        </w:rPr>
        <w:t>“</w:t>
      </w:r>
      <w:r>
        <w:rPr/>
        <w:t>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日前自获利</w:t>
      </w:r>
      <w:r>
        <w:rPr>
          <w:spacing w:val="-34"/>
        </w:rPr>
        <w:t> </w:t>
      </w:r>
      <w:r>
        <w:rPr>
          <w:spacing w:val="-34"/>
        </w:rPr>
      </w:r>
      <w:r>
        <w:rPr>
          <w:spacing w:val="-2"/>
        </w:rPr>
        <w:t>年度起计算优惠期，第一年至第二年免征企业所得税，第三年至第五年按照</w:t>
      </w:r>
      <w:r>
        <w:rPr>
          <w:rFonts w:ascii="Times New Roman" w:hAnsi="Times New Roman" w:cs="Times New Roman" w:eastAsia="Times New Roman" w:hint="default"/>
          <w:spacing w:val="-2"/>
        </w:rPr>
        <w:t>25%</w:t>
      </w:r>
      <w:r>
        <w:rPr>
          <w:spacing w:val="-2"/>
        </w:rPr>
        <w:t>的法定税率减半征收</w:t>
      </w:r>
      <w:r>
        <w:rPr>
          <w:spacing w:val="-34"/>
        </w:rPr>
        <w:t> </w:t>
      </w:r>
      <w:r>
        <w:rPr>
          <w:spacing w:val="-34"/>
        </w:rPr>
      </w:r>
      <w:r>
        <w:rPr/>
        <w:t>企业所得税，并享受至期满为止。</w:t>
      </w:r>
      <w:r>
        <w:rPr>
          <w:rFonts w:ascii="Times New Roman" w:hAnsi="Times New Roman" w:cs="Times New Roman" w:eastAsia="Times New Roman" w:hint="default"/>
        </w:rPr>
        <w:t>”</w:t>
      </w:r>
      <w:r>
        <w:rPr/>
        <w:t>其中百望金税、银石科技、石基商用均属于第二年免征企业所得</w:t>
      </w:r>
      <w:r>
        <w:rPr>
          <w:spacing w:val="-34"/>
        </w:rPr>
        <w:t> </w:t>
      </w:r>
      <w:r>
        <w:rPr>
          <w:spacing w:val="-34"/>
        </w:rPr>
      </w:r>
      <w:r>
        <w:rPr/>
        <w:t>税，实际执行的企业所得税税率为</w:t>
      </w:r>
      <w:r>
        <w:rPr>
          <w:rFonts w:ascii="Times New Roman" w:hAnsi="Times New Roman" w:cs="Times New Roman" w:eastAsia="Times New Roman" w:hint="default"/>
        </w:rPr>
        <w:t>0.00%</w:t>
      </w:r>
      <w:r>
        <w:rPr/>
        <w:t>，现化信息本年属于减半征收期的第三年，实际执行的企业</w:t>
      </w:r>
      <w:r>
        <w:rPr>
          <w:spacing w:val="-63"/>
        </w:rPr>
        <w:t> </w:t>
      </w:r>
      <w:r>
        <w:rPr>
          <w:spacing w:val="-63"/>
        </w:rPr>
      </w:r>
      <w:r>
        <w:rPr/>
        <w:t>所得税税率为</w:t>
      </w:r>
      <w:r>
        <w:rPr>
          <w:rFonts w:ascii="Times New Roman" w:hAnsi="Times New Roman" w:cs="Times New Roman" w:eastAsia="Times New Roman" w:hint="default"/>
        </w:rPr>
        <w:t>12.50%</w:t>
      </w:r>
      <w:r>
        <w:rPr/>
        <w:t>。</w:t>
      </w:r>
    </w:p>
    <w:p>
      <w:pPr>
        <w:spacing w:line="240" w:lineRule="auto" w:before="7"/>
        <w:rPr>
          <w:rFonts w:ascii="宋体" w:hAnsi="宋体" w:cs="宋体" w:eastAsia="宋体" w:hint="default"/>
          <w:sz w:val="18"/>
          <w:szCs w:val="18"/>
        </w:rPr>
      </w:pPr>
    </w:p>
    <w:p>
      <w:pPr>
        <w:pStyle w:val="Heading6"/>
        <w:spacing w:line="244" w:lineRule="auto"/>
        <w:ind w:right="1131"/>
        <w:jc w:val="both"/>
      </w:pPr>
      <w:r>
        <w:rPr>
          <w:rFonts w:ascii="Times New Roman" w:hAnsi="Times New Roman" w:cs="Times New Roman" w:eastAsia="Times New Roman" w:hint="default"/>
        </w:rPr>
        <w:t>Shiji Retail</w:t>
      </w:r>
      <w:r>
        <w:rPr/>
        <w:t>系在英属开曼群岛注册的公司，</w:t>
      </w:r>
      <w:r>
        <w:rPr>
          <w:rFonts w:ascii="Times New Roman" w:hAnsi="Times New Roman" w:cs="Times New Roman" w:eastAsia="Times New Roman" w:hint="default"/>
        </w:rPr>
        <w:t>Galasys</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2"/>
        </w:rPr>
        <w:t>Holdings</w:t>
      </w:r>
      <w:r>
        <w:rPr>
          <w:spacing w:val="2"/>
        </w:rPr>
        <w:t>系在英属维尔京群岛注册的公司，</w:t>
      </w:r>
      <w:r>
        <w:rPr>
          <w:w w:val="100"/>
        </w:rPr>
        <w:t> </w:t>
      </w:r>
      <w:r>
        <w:rPr>
          <w:rFonts w:ascii="Times New Roman" w:hAnsi="Times New Roman" w:cs="Times New Roman" w:eastAsia="Times New Roman" w:hint="default"/>
        </w:rPr>
        <w:t>Galasys Solutions (UK) Limited</w:t>
      </w:r>
      <w:r>
        <w:rPr/>
        <w:t>系在英国注册的公司，</w:t>
      </w:r>
      <w:r>
        <w:rPr>
          <w:rFonts w:ascii="Times New Roman" w:hAnsi="Times New Roman" w:cs="Times New Roman" w:eastAsia="Times New Roman" w:hint="default"/>
        </w:rPr>
        <w:t>Shiji Middle</w:t>
      </w:r>
      <w:r>
        <w:rPr>
          <w:rFonts w:ascii="Times New Roman" w:hAnsi="Times New Roman" w:cs="Times New Roman" w:eastAsia="Times New Roman" w:hint="default"/>
          <w:spacing w:val="22"/>
        </w:rPr>
        <w:t> </w:t>
      </w:r>
      <w:r>
        <w:rPr>
          <w:rFonts w:ascii="Times New Roman" w:hAnsi="Times New Roman" w:cs="Times New Roman" w:eastAsia="Times New Roman" w:hint="default"/>
        </w:rPr>
        <w:t>East-FZLLC</w:t>
      </w:r>
      <w:r>
        <w:rPr/>
        <w:t>系在迪拜注册的公司，</w:t>
      </w:r>
      <w:r>
        <w:rPr>
          <w:w w:val="100"/>
        </w:rPr>
        <w:t> </w:t>
      </w:r>
      <w:r>
        <w:rPr/>
        <w:t>依据当地政策</w:t>
      </w:r>
      <w:r>
        <w:rPr>
          <w:rFonts w:ascii="Times New Roman" w:hAnsi="Times New Roman" w:cs="Times New Roman" w:eastAsia="Times New Roman" w:hint="default"/>
        </w:rPr>
        <w:t>2018</w:t>
      </w:r>
      <w:r>
        <w:rPr/>
        <w:t>年度收益免征所得税，实际执行的所得税税率为</w:t>
      </w:r>
      <w:r>
        <w:rPr>
          <w:rFonts w:ascii="Times New Roman" w:hAnsi="Times New Roman" w:cs="Times New Roman" w:eastAsia="Times New Roman" w:hint="default"/>
        </w:rPr>
        <w:t>0.00%</w:t>
      </w:r>
      <w:r>
        <w:rPr/>
        <w:t>。</w:t>
      </w:r>
    </w:p>
    <w:p>
      <w:pPr>
        <w:pStyle w:val="Heading6"/>
        <w:spacing w:line="552" w:lineRule="exact" w:before="58"/>
        <w:ind w:left="592" w:right="1133" w:firstLine="0"/>
        <w:jc w:val="left"/>
      </w:pPr>
      <w:r>
        <w:rPr>
          <w:rFonts w:ascii="Times New Roman" w:hAnsi="Times New Roman" w:cs="Times New Roman" w:eastAsia="Times New Roman" w:hint="default"/>
        </w:rPr>
        <w:t>3</w:t>
      </w:r>
      <w:r>
        <w:rPr/>
        <w:t>）实际执行所得税税率</w:t>
      </w:r>
      <w:r>
        <w:rPr>
          <w:rFonts w:ascii="Times New Roman" w:hAnsi="Times New Roman" w:cs="Times New Roman" w:eastAsia="Times New Roman" w:hint="default"/>
        </w:rPr>
        <w:t>10.00%</w:t>
      </w:r>
      <w:r>
        <w:rPr/>
        <w:t>的情况</w:t>
      </w:r>
      <w:r>
        <w:rPr>
          <w:w w:val="100"/>
        </w:rPr>
        <w:t> </w:t>
      </w:r>
      <w:r>
        <w:rPr>
          <w:spacing w:val="-2"/>
        </w:rPr>
        <w:t>北海乐宿系小型微利企业，根据</w:t>
      </w:r>
      <w:r>
        <w:rPr>
          <w:rFonts w:ascii="Times New Roman" w:hAnsi="Times New Roman" w:cs="Times New Roman" w:eastAsia="Times New Roman" w:hint="default"/>
          <w:spacing w:val="-2"/>
        </w:rPr>
        <w:t>“</w:t>
      </w:r>
      <w:r>
        <w:rPr>
          <w:spacing w:val="-2"/>
        </w:rPr>
        <w:t>财税〔</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43</w:t>
      </w:r>
      <w:r>
        <w:rPr>
          <w:spacing w:val="-2"/>
        </w:rPr>
        <w:t>号</w:t>
      </w:r>
      <w:r>
        <w:rPr>
          <w:rFonts w:ascii="Times New Roman" w:hAnsi="Times New Roman" w:cs="Times New Roman" w:eastAsia="Times New Roman" w:hint="default"/>
          <w:spacing w:val="-2"/>
        </w:rPr>
        <w:t>”</w:t>
      </w:r>
      <w:r>
        <w:rPr>
          <w:spacing w:val="-2"/>
        </w:rPr>
        <w:t>《关于扩大小型微利企业所得税优惠政策范</w:t>
      </w:r>
    </w:p>
    <w:p>
      <w:pPr>
        <w:pStyle w:val="Heading6"/>
        <w:spacing w:line="250" w:lineRule="exact"/>
        <w:ind w:right="0" w:firstLine="0"/>
        <w:jc w:val="both"/>
      </w:pPr>
      <w:r>
        <w:rPr/>
        <w:t>围的通知》的规定：</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日，符合条件的小型微利企业，无论采取查账</w:t>
      </w:r>
    </w:p>
    <w:p>
      <w:pPr>
        <w:pStyle w:val="Heading6"/>
        <w:spacing w:line="244" w:lineRule="auto" w:before="7"/>
        <w:ind w:right="1128" w:firstLine="0"/>
        <w:jc w:val="both"/>
      </w:pPr>
      <w:r>
        <w:rPr>
          <w:spacing w:val="-1"/>
        </w:rPr>
        <w:t>征收方式还是核定征收方式，其年应纳税所得额低于</w:t>
      </w:r>
      <w:r>
        <w:rPr>
          <w:rFonts w:ascii="Times New Roman" w:hAnsi="Times New Roman" w:cs="Times New Roman" w:eastAsia="Times New Roman" w:hint="default"/>
          <w:spacing w:val="-1"/>
        </w:rPr>
        <w:t>50</w:t>
      </w:r>
      <w:r>
        <w:rPr>
          <w:spacing w:val="-1"/>
        </w:rPr>
        <w:t>万元（含</w:t>
      </w:r>
      <w:r>
        <w:rPr>
          <w:rFonts w:ascii="Times New Roman" w:hAnsi="Times New Roman" w:cs="Times New Roman" w:eastAsia="Times New Roman" w:hint="default"/>
          <w:spacing w:val="-1"/>
        </w:rPr>
        <w:t>50</w:t>
      </w:r>
      <w:r>
        <w:rPr>
          <w:spacing w:val="-1"/>
        </w:rPr>
        <w:t>万元）的，其所得减按</w:t>
      </w:r>
      <w:r>
        <w:rPr>
          <w:rFonts w:ascii="Times New Roman" w:hAnsi="Times New Roman" w:cs="Times New Roman" w:eastAsia="Times New Roman" w:hint="default"/>
          <w:spacing w:val="-1"/>
        </w:rPr>
        <w:t>50%</w:t>
      </w:r>
      <w:r>
        <w:rPr>
          <w:spacing w:val="-1"/>
        </w:rPr>
        <w:t>计入应</w:t>
      </w:r>
      <w:r>
        <w:rPr>
          <w:spacing w:val="-73"/>
        </w:rPr>
        <w:t> </w:t>
      </w:r>
      <w:r>
        <w:rPr/>
        <w:t>纳税所得额，按</w:t>
      </w:r>
      <w:r>
        <w:rPr>
          <w:rFonts w:ascii="Times New Roman" w:hAnsi="Times New Roman" w:cs="Times New Roman" w:eastAsia="Times New Roman" w:hint="default"/>
        </w:rPr>
        <w:t>20%</w:t>
      </w:r>
      <w:r>
        <w:rPr/>
        <w:t>的税率缴纳企业所得税</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年实际执行的企业所得税税率为</w:t>
      </w:r>
      <w:r>
        <w:rPr>
          <w:rFonts w:ascii="Times New Roman" w:hAnsi="Times New Roman" w:cs="Times New Roman" w:eastAsia="Times New Roman" w:hint="default"/>
        </w:rPr>
        <w:t>10.00%</w:t>
      </w:r>
      <w:r>
        <w:rPr/>
        <w:t>。</w:t>
      </w:r>
    </w:p>
    <w:p>
      <w:pPr>
        <w:pStyle w:val="Heading6"/>
        <w:spacing w:line="552" w:lineRule="exact" w:before="58"/>
        <w:ind w:left="592" w:right="1133" w:firstLine="0"/>
        <w:jc w:val="left"/>
      </w:pPr>
      <w:r>
        <w:rPr>
          <w:rFonts w:ascii="Times New Roman" w:hAnsi="Times New Roman" w:cs="Times New Roman" w:eastAsia="Times New Roman" w:hint="default"/>
        </w:rPr>
        <w:t>4</w:t>
      </w:r>
      <w:r>
        <w:rPr/>
        <w:t>）所得税税率实际执行</w:t>
      </w:r>
      <w:r>
        <w:rPr>
          <w:rFonts w:ascii="Times New Roman" w:hAnsi="Times New Roman" w:cs="Times New Roman" w:eastAsia="Times New Roman" w:hint="default"/>
        </w:rPr>
        <w:t>6.00%</w:t>
      </w:r>
      <w:r>
        <w:rPr/>
        <w:t>的情况</w:t>
      </w:r>
      <w:r>
        <w:rPr>
          <w:w w:val="100"/>
        </w:rPr>
        <w:t> </w:t>
      </w:r>
      <w:r>
        <w:rPr/>
        <w:t>北海石基为国家重点软件企业，根据</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[2012]27</w:t>
      </w:r>
      <w:r>
        <w:rPr/>
        <w:t>号</w:t>
      </w:r>
      <w:r>
        <w:rPr>
          <w:rFonts w:ascii="Times New Roman" w:hAnsi="Times New Roman" w:cs="Times New Roman" w:eastAsia="Times New Roman" w:hint="default"/>
        </w:rPr>
        <w:t>”</w:t>
      </w:r>
      <w:r>
        <w:rPr/>
        <w:t>文《关于进一步鼓励软件产业和集成电路</w:t>
      </w:r>
    </w:p>
    <w:p>
      <w:pPr>
        <w:pStyle w:val="Heading6"/>
        <w:spacing w:line="249" w:lineRule="exact"/>
        <w:ind w:right="0" w:firstLine="0"/>
        <w:jc w:val="both"/>
        <w:rPr>
          <w:rFonts w:ascii="Times New Roman" w:hAnsi="Times New Roman" w:cs="Times New Roman" w:eastAsia="Times New Roman" w:hint="default"/>
        </w:rPr>
      </w:pPr>
      <w:r>
        <w:rPr>
          <w:spacing w:val="-4"/>
        </w:rPr>
        <w:t>产业发展企业所得税政策的通知》第四条的规定，减按</w:t>
      </w:r>
      <w:r>
        <w:rPr>
          <w:rFonts w:ascii="Times New Roman" w:hAnsi="Times New Roman" w:cs="Times New Roman" w:eastAsia="Times New Roman" w:hint="default"/>
          <w:spacing w:val="-4"/>
        </w:rPr>
        <w:t>10%</w:t>
      </w:r>
      <w:r>
        <w:rPr>
          <w:spacing w:val="-4"/>
        </w:rPr>
        <w:t>征收企业所得税，同时根据</w:t>
      </w:r>
      <w:r>
        <w:rPr>
          <w:rFonts w:ascii="Times New Roman" w:hAnsi="Times New Roman" w:cs="Times New Roman" w:eastAsia="Times New Roman" w:hint="default"/>
          <w:spacing w:val="-4"/>
        </w:rPr>
        <w:t>“</w:t>
      </w:r>
      <w:r>
        <w:rPr>
          <w:spacing w:val="-4"/>
        </w:rPr>
        <w:t>桂政发</w:t>
      </w:r>
      <w:r>
        <w:rPr>
          <w:rFonts w:ascii="Times New Roman" w:hAnsi="Times New Roman" w:cs="Times New Roman" w:eastAsia="Times New Roman" w:hint="default"/>
          <w:spacing w:val="-4"/>
        </w:rPr>
        <w:t>[2014]5</w:t>
      </w:r>
    </w:p>
    <w:p>
      <w:pPr>
        <w:spacing w:after="0" w:line="249" w:lineRule="exact"/>
        <w:jc w:val="both"/>
        <w:rPr>
          <w:rFonts w:ascii="Times New Roman" w:hAnsi="Times New Roman" w:cs="Times New Roman" w:eastAsia="Times New Roman" w:hint="default"/>
        </w:rPr>
        <w:sectPr>
          <w:pgSz w:w="11910" w:h="16840"/>
          <w:pgMar w:header="877" w:footer="980" w:top="1100" w:bottom="1160" w:left="980" w:right="0"/>
        </w:sectPr>
      </w:pPr>
    </w:p>
    <w:p>
      <w:pPr>
        <w:spacing w:line="240" w:lineRule="auto" w:before="3"/>
        <w:rPr>
          <w:rFonts w:ascii="Times New Roman" w:hAnsi="Times New Roman" w:cs="Times New Roman" w:eastAsia="Times New Roman" w:hint="default"/>
          <w:sz w:val="23"/>
          <w:szCs w:val="23"/>
        </w:rPr>
      </w:pPr>
    </w:p>
    <w:p>
      <w:pPr>
        <w:pStyle w:val="Heading6"/>
        <w:spacing w:line="247" w:lineRule="auto" w:before="32"/>
        <w:ind w:right="1129" w:firstLine="0"/>
        <w:jc w:val="both"/>
      </w:pPr>
      <w:r>
        <w:rPr/>
        <w:t>号</w:t>
      </w:r>
      <w:r>
        <w:rPr>
          <w:rFonts w:ascii="Times New Roman" w:hAnsi="Times New Roman" w:cs="Times New Roman" w:eastAsia="Times New Roman" w:hint="default"/>
        </w:rPr>
        <w:t>”</w:t>
      </w:r>
      <w:r>
        <w:rPr/>
        <w:t>文《广西壮族自治区人民政府关于延续和修订促进广西北部湾经济区开放开发若干政策规定的通</w:t>
      </w:r>
      <w:r>
        <w:rPr>
          <w:spacing w:val="-36"/>
        </w:rPr>
        <w:t> </w:t>
      </w:r>
      <w:r>
        <w:rPr>
          <w:spacing w:val="-36"/>
        </w:rPr>
      </w:r>
      <w:r>
        <w:rPr>
          <w:spacing w:val="-2"/>
        </w:rPr>
        <w:t>知》第六条第二项，减免公司</w:t>
      </w:r>
      <w:r>
        <w:rPr>
          <w:rFonts w:ascii="Times New Roman" w:hAnsi="Times New Roman" w:cs="Times New Roman" w:eastAsia="Times New Roman" w:hint="default"/>
          <w:spacing w:val="-2"/>
        </w:rPr>
        <w:t>2018</w:t>
      </w:r>
      <w:r>
        <w:rPr>
          <w:spacing w:val="-2"/>
        </w:rPr>
        <w:t>年度地方分享企业所得税部分，北海石基</w:t>
      </w:r>
      <w:r>
        <w:rPr>
          <w:rFonts w:ascii="Times New Roman" w:hAnsi="Times New Roman" w:cs="Times New Roman" w:eastAsia="Times New Roman" w:hint="default"/>
          <w:spacing w:val="-2"/>
        </w:rPr>
        <w:t>2018</w:t>
      </w:r>
      <w:r>
        <w:rPr>
          <w:spacing w:val="-2"/>
        </w:rPr>
        <w:t>年度实际执行的企业</w:t>
      </w:r>
      <w:r>
        <w:rPr>
          <w:spacing w:val="-61"/>
        </w:rPr>
        <w:t> </w:t>
      </w:r>
      <w:r>
        <w:rPr>
          <w:spacing w:val="-61"/>
        </w:rPr>
      </w:r>
      <w:r>
        <w:rPr/>
        <w:t>所得税税率为</w:t>
      </w:r>
      <w:r>
        <w:rPr>
          <w:rFonts w:ascii="Times New Roman" w:hAnsi="Times New Roman" w:cs="Times New Roman" w:eastAsia="Times New Roman" w:hint="default"/>
        </w:rPr>
        <w:t>6.00%</w:t>
      </w:r>
      <w:r>
        <w:rPr/>
        <w:t>。</w:t>
      </w:r>
    </w:p>
    <w:p>
      <w:pPr>
        <w:pStyle w:val="Heading6"/>
        <w:spacing w:line="552" w:lineRule="exact" w:before="55"/>
        <w:ind w:left="592" w:right="1133" w:firstLine="0"/>
        <w:jc w:val="left"/>
      </w:pPr>
      <w:r>
        <w:rPr/>
        <w:t>（</w:t>
      </w:r>
      <w:r>
        <w:rPr>
          <w:rFonts w:ascii="Times New Roman" w:hAnsi="Times New Roman" w:cs="Times New Roman" w:eastAsia="Times New Roman" w:hint="default"/>
        </w:rPr>
        <w:t>2</w:t>
      </w:r>
      <w:r>
        <w:rPr/>
        <w:t>）享受增值税即征即退政策的情况</w:t>
      </w:r>
      <w:r>
        <w:rPr>
          <w:w w:val="100"/>
        </w:rPr>
        <w:t> </w:t>
      </w:r>
      <w:r>
        <w:rPr>
          <w:spacing w:val="-5"/>
        </w:rPr>
        <w:t>根据</w:t>
      </w:r>
      <w:r>
        <w:rPr>
          <w:rFonts w:ascii="Times New Roman" w:hAnsi="Times New Roman" w:cs="Times New Roman" w:eastAsia="Times New Roman" w:hint="default"/>
          <w:spacing w:val="-5"/>
        </w:rPr>
        <w:t>“</w:t>
      </w:r>
      <w:r>
        <w:rPr>
          <w:spacing w:val="-5"/>
        </w:rPr>
        <w:t>国发</w:t>
      </w:r>
      <w:r>
        <w:rPr>
          <w:rFonts w:ascii="Times New Roman" w:hAnsi="Times New Roman" w:cs="Times New Roman" w:eastAsia="Times New Roman" w:hint="default"/>
          <w:spacing w:val="-5"/>
        </w:rPr>
        <w:t>[2000]18</w:t>
      </w:r>
      <w:r>
        <w:rPr>
          <w:spacing w:val="-5"/>
        </w:rPr>
        <w:t>号</w:t>
      </w:r>
      <w:r>
        <w:rPr>
          <w:rFonts w:ascii="Times New Roman" w:hAnsi="Times New Roman" w:cs="Times New Roman" w:eastAsia="Times New Roman" w:hint="default"/>
          <w:spacing w:val="-5"/>
        </w:rPr>
        <w:t>”</w:t>
      </w:r>
      <w:r>
        <w:rPr>
          <w:spacing w:val="-5"/>
        </w:rPr>
        <w:t>文《鼓励软件产业和集成电路产业发展的若干政策》及</w:t>
      </w:r>
      <w:r>
        <w:rPr>
          <w:rFonts w:ascii="Times New Roman" w:hAnsi="Times New Roman" w:cs="Times New Roman" w:eastAsia="Times New Roman" w:hint="default"/>
          <w:spacing w:val="-5"/>
        </w:rPr>
        <w:t>“</w:t>
      </w:r>
      <w:r>
        <w:rPr>
          <w:spacing w:val="-5"/>
        </w:rPr>
        <w:t>国发</w:t>
      </w:r>
      <w:r>
        <w:rPr>
          <w:rFonts w:ascii="Times New Roman" w:hAnsi="Times New Roman" w:cs="Times New Roman" w:eastAsia="Times New Roman" w:hint="default"/>
          <w:spacing w:val="-5"/>
        </w:rPr>
        <w:t>[2011]4</w:t>
      </w:r>
      <w:r>
        <w:rPr>
          <w:spacing w:val="-5"/>
        </w:rPr>
        <w:t>号</w:t>
      </w:r>
      <w:r>
        <w:rPr>
          <w:rFonts w:ascii="Times New Roman" w:hAnsi="Times New Roman" w:cs="Times New Roman" w:eastAsia="Times New Roman" w:hint="default"/>
          <w:spacing w:val="-5"/>
        </w:rPr>
        <w:t>”</w:t>
      </w:r>
      <w:r>
        <w:rPr>
          <w:spacing w:val="-5"/>
        </w:rPr>
        <w:t>《关</w:t>
      </w:r>
      <w:r>
        <w:rPr/>
      </w:r>
    </w:p>
    <w:p>
      <w:pPr>
        <w:pStyle w:val="Heading6"/>
        <w:spacing w:line="233" w:lineRule="exact"/>
        <w:ind w:right="0" w:firstLine="0"/>
        <w:jc w:val="both"/>
      </w:pPr>
      <w:r>
        <w:rPr/>
        <w:t>于印发进一步鼓励软件产业和集成电路产业发展若干政策的通知》的规定，对增值税一般纳税人销售</w:t>
      </w:r>
    </w:p>
    <w:p>
      <w:pPr>
        <w:pStyle w:val="Heading6"/>
        <w:spacing w:line="240" w:lineRule="auto" w:before="24"/>
        <w:ind w:right="0" w:firstLine="0"/>
        <w:jc w:val="both"/>
      </w:pPr>
      <w:r>
        <w:rPr/>
        <w:t>其自行开发生产的软件产品，在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日按</w:t>
      </w:r>
      <w:r>
        <w:rPr>
          <w:rFonts w:ascii="Times New Roman" w:hAnsi="Times New Roman" w:cs="Times New Roman" w:eastAsia="Times New Roman" w:hint="default"/>
        </w:rPr>
        <w:t>17%</w:t>
      </w:r>
      <w:r>
        <w:rPr/>
        <w:t>的法定税率征收增值税，</w:t>
      </w:r>
      <w:r>
        <w:rPr>
          <w:rFonts w:ascii="Times New Roman" w:hAnsi="Times New Roman" w:cs="Times New Roman" w:eastAsia="Times New Roman" w:hint="default"/>
        </w:rPr>
        <w:t>2018</w:t>
      </w:r>
      <w:r>
        <w:rPr/>
        <w:t>年</w:t>
      </w:r>
    </w:p>
    <w:p>
      <w:pPr>
        <w:pStyle w:val="Heading6"/>
        <w:spacing w:line="240" w:lineRule="auto" w:before="7"/>
        <w:ind w:right="0" w:firstLine="0"/>
        <w:jc w:val="both"/>
      </w:pP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w:t>
      </w:r>
      <w:r>
        <w:rPr>
          <w:spacing w:val="-3"/>
        </w:rPr>
        <w:t>日之后按</w:t>
      </w:r>
      <w:r>
        <w:rPr>
          <w:rFonts w:ascii="Times New Roman" w:hAnsi="Times New Roman" w:cs="Times New Roman" w:eastAsia="Times New Roman" w:hint="default"/>
          <w:spacing w:val="-3"/>
        </w:rPr>
        <w:t>16%</w:t>
      </w:r>
      <w:r>
        <w:rPr>
          <w:spacing w:val="-3"/>
        </w:rPr>
        <w:t>的法定税率征收增值税，以实际超过</w:t>
      </w:r>
      <w:r>
        <w:rPr>
          <w:rFonts w:ascii="Times New Roman" w:hAnsi="Times New Roman" w:cs="Times New Roman" w:eastAsia="Times New Roman" w:hint="default"/>
          <w:spacing w:val="-3"/>
        </w:rPr>
        <w:t>3%</w:t>
      </w:r>
      <w:r>
        <w:rPr>
          <w:spacing w:val="-3"/>
        </w:rPr>
        <w:t>的部分即征即退，自行开发软件实际税负为</w:t>
      </w:r>
    </w:p>
    <w:p>
      <w:pPr>
        <w:pStyle w:val="Heading6"/>
        <w:spacing w:line="240" w:lineRule="auto" w:before="7"/>
        <w:ind w:right="0" w:firstLine="0"/>
        <w:jc w:val="both"/>
      </w:pPr>
      <w:r>
        <w:rPr>
          <w:rFonts w:ascii="Times New Roman" w:hAnsi="Times New Roman" w:cs="Times New Roman" w:eastAsia="Times New Roman" w:hint="default"/>
        </w:rPr>
        <w:t>3%</w:t>
      </w:r>
      <w:r>
        <w:rPr/>
        <w:t>。</w:t>
      </w:r>
    </w:p>
    <w:p>
      <w:pPr>
        <w:spacing w:before="78"/>
        <w:ind w:left="152"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13"/>
        <w:rPr>
          <w:rFonts w:ascii="宋体" w:hAnsi="宋体" w:cs="宋体" w:eastAsia="宋体" w:hint="default"/>
          <w:sz w:val="25"/>
          <w:szCs w:val="25"/>
        </w:rPr>
      </w:pPr>
    </w:p>
    <w:p>
      <w:pPr>
        <w:pStyle w:val="Heading7"/>
        <w:spacing w:line="240" w:lineRule="auto"/>
        <w:ind w:right="0"/>
        <w:jc w:val="both"/>
        <w:rPr>
          <w:b w:val="0"/>
          <w:bCs w:val="0"/>
        </w:rPr>
      </w:pPr>
      <w:r>
        <w:rPr>
          <w:rFonts w:ascii="Times New Roman" w:hAnsi="Times New Roman" w:cs="Times New Roman" w:eastAsia="Times New Roman" w:hint="default"/>
        </w:rPr>
        <w:t>3</w:t>
      </w:r>
      <w:r>
        <w:rPr/>
        <w:t>、其他</w:t>
      </w:r>
      <w:r>
        <w:rPr>
          <w:b w:val="0"/>
          <w:bCs w:val="0"/>
        </w:rPr>
      </w:r>
    </w:p>
    <w:p>
      <w:pPr>
        <w:spacing w:line="240" w:lineRule="auto" w:before="1"/>
        <w:rPr>
          <w:rFonts w:ascii="宋体" w:hAnsi="宋体" w:cs="宋体" w:eastAsia="宋体" w:hint="default"/>
          <w:b/>
          <w:bCs/>
          <w:sz w:val="24"/>
          <w:szCs w:val="24"/>
        </w:rPr>
      </w:pPr>
    </w:p>
    <w:p>
      <w:pPr>
        <w:pStyle w:val="Heading6"/>
        <w:spacing w:line="252" w:lineRule="auto"/>
        <w:ind w:right="1131"/>
        <w:jc w:val="both"/>
      </w:pPr>
      <w:r>
        <w:rPr>
          <w:spacing w:val="-2"/>
        </w:rPr>
        <w:t>注</w:t>
      </w:r>
      <w:r>
        <w:rPr>
          <w:rFonts w:ascii="Times New Roman" w:hAnsi="Times New Roman" w:cs="Times New Roman" w:eastAsia="Times New Roman" w:hint="default"/>
          <w:spacing w:val="-2"/>
        </w:rPr>
        <w:t>1</w:t>
      </w:r>
      <w:r>
        <w:rPr>
          <w:spacing w:val="-2"/>
        </w:rPr>
        <w:t>：安装及技术支持与维护收入增值税销项税税率为</w:t>
      </w:r>
      <w:r>
        <w:rPr>
          <w:rFonts w:ascii="Times New Roman" w:hAnsi="Times New Roman" w:cs="Times New Roman" w:eastAsia="Times New Roman" w:hint="default"/>
          <w:spacing w:val="-2"/>
        </w:rPr>
        <w:t>6%</w:t>
      </w:r>
      <w:r>
        <w:rPr>
          <w:spacing w:val="-2"/>
        </w:rPr>
        <w:t>，不动产租赁业务增值税销项税税率为</w:t>
      </w:r>
      <w:r>
        <w:rPr>
          <w:w w:val="100"/>
        </w:rPr>
        <w:t> </w:t>
      </w:r>
      <w:r>
        <w:rPr>
          <w:rFonts w:ascii="Times New Roman" w:hAnsi="Times New Roman" w:cs="Times New Roman" w:eastAsia="Times New Roman" w:hint="default"/>
          <w:spacing w:val="-4"/>
        </w:rPr>
        <w:t>10%/11%</w:t>
      </w:r>
      <w:r>
        <w:rPr>
          <w:spacing w:val="-4"/>
        </w:rPr>
        <w:t>，其他增值税销项税税率均为</w:t>
      </w:r>
      <w:r>
        <w:rPr>
          <w:rFonts w:ascii="Times New Roman" w:hAnsi="Times New Roman" w:cs="Times New Roman" w:eastAsia="Times New Roman" w:hint="default"/>
          <w:spacing w:val="-4"/>
        </w:rPr>
        <w:t>16%/17%</w:t>
      </w:r>
      <w:r>
        <w:rPr>
          <w:spacing w:val="-4"/>
        </w:rPr>
        <w:t>，其中连边科技为小规模纳税人增值税税率为</w:t>
      </w:r>
      <w:r>
        <w:rPr>
          <w:rFonts w:ascii="Times New Roman" w:hAnsi="Times New Roman" w:cs="Times New Roman" w:eastAsia="Times New Roman" w:hint="default"/>
          <w:spacing w:val="-4"/>
        </w:rPr>
        <w:t>3%</w:t>
      </w:r>
      <w:r>
        <w:rPr>
          <w:spacing w:val="-4"/>
        </w:rPr>
        <w:t>；本</w:t>
      </w:r>
      <w:r>
        <w:rPr>
          <w:spacing w:val="-38"/>
        </w:rPr>
        <w:t> </w:t>
      </w:r>
      <w:r>
        <w:rPr>
          <w:spacing w:val="-2"/>
        </w:rPr>
        <w:t>集团根据增值税不同业务适用的税率计算的增值税销项税额，扣除可抵扣的进项税后的差额计算缴纳</w:t>
      </w:r>
      <w:r>
        <w:rPr>
          <w:spacing w:val="-73"/>
        </w:rPr>
        <w:t> </w:t>
      </w:r>
      <w:r>
        <w:rPr>
          <w:spacing w:val="-73"/>
        </w:rPr>
      </w:r>
      <w:r>
        <w:rPr>
          <w:spacing w:val="-2"/>
        </w:rPr>
        <w:t>增值税，当销项税额小于可抵扣的进项税额时结转至留底税额，并根据预计的可留底税额及预交的增</w:t>
      </w:r>
      <w:r>
        <w:rPr>
          <w:spacing w:val="-70"/>
        </w:rPr>
        <w:t> </w:t>
      </w:r>
      <w:r>
        <w:rPr>
          <w:spacing w:val="-70"/>
        </w:rPr>
      </w:r>
      <w:r>
        <w:rPr/>
        <w:t>值税可抵扣的时间长短重分类至</w:t>
      </w:r>
      <w:r>
        <w:rPr>
          <w:rFonts w:ascii="Times New Roman" w:hAnsi="Times New Roman" w:cs="Times New Roman" w:eastAsia="Times New Roman" w:hint="default"/>
        </w:rPr>
        <w:t>“</w:t>
      </w:r>
      <w:r>
        <w:rPr/>
        <w:t>其他流动资产</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其他非流动资产</w:t>
      </w:r>
      <w:r>
        <w:rPr>
          <w:rFonts w:ascii="Times New Roman" w:hAnsi="Times New Roman" w:cs="Times New Roman" w:eastAsia="Times New Roman" w:hint="default"/>
        </w:rPr>
        <w:t>”</w:t>
      </w:r>
      <w:r>
        <w:rPr/>
        <w:t>列报。</w:t>
      </w:r>
    </w:p>
    <w:p>
      <w:pPr>
        <w:spacing w:line="240" w:lineRule="auto" w:before="13"/>
        <w:rPr>
          <w:rFonts w:ascii="宋体" w:hAnsi="宋体" w:cs="宋体" w:eastAsia="宋体" w:hint="default"/>
          <w:sz w:val="17"/>
          <w:szCs w:val="17"/>
        </w:rPr>
      </w:pPr>
    </w:p>
    <w:p>
      <w:pPr>
        <w:pStyle w:val="Heading6"/>
        <w:spacing w:line="244" w:lineRule="auto"/>
        <w:ind w:right="1132"/>
        <w:jc w:val="both"/>
      </w:pPr>
      <w:r>
        <w:rPr>
          <w:spacing w:val="-4"/>
        </w:rPr>
        <w:t>根据财税</w:t>
      </w:r>
      <w:r>
        <w:rPr>
          <w:rFonts w:ascii="Times New Roman" w:hAnsi="Times New Roman" w:cs="Times New Roman" w:eastAsia="Times New Roman" w:hint="default"/>
          <w:spacing w:val="-4"/>
        </w:rPr>
        <w:t>[2018]32</w:t>
      </w:r>
      <w:r>
        <w:rPr>
          <w:spacing w:val="-4"/>
        </w:rPr>
        <w:t>号文的规定，纳税人发生增值税应税销售行为或者进口货物，原适用</w:t>
      </w:r>
      <w:r>
        <w:rPr>
          <w:rFonts w:ascii="Times New Roman" w:hAnsi="Times New Roman" w:cs="Times New Roman" w:eastAsia="Times New Roman" w:hint="default"/>
          <w:spacing w:val="-4"/>
        </w:rPr>
        <w:t>17%</w:t>
      </w:r>
      <w:r>
        <w:rPr>
          <w:spacing w:val="-4"/>
        </w:rPr>
        <w:t>和</w:t>
      </w:r>
      <w:r>
        <w:rPr>
          <w:rFonts w:ascii="Times New Roman" w:hAnsi="Times New Roman" w:cs="Times New Roman" w:eastAsia="Times New Roman" w:hint="default"/>
          <w:spacing w:val="-4"/>
        </w:rPr>
        <w:t>11%</w:t>
      </w:r>
      <w:r>
        <w:rPr>
          <w:rFonts w:ascii="Times New Roman" w:hAnsi="Times New Roman" w:cs="Times New Roman" w:eastAsia="Times New Roman" w:hint="default"/>
          <w:w w:val="100"/>
        </w:rPr>
        <w:t> </w:t>
      </w:r>
      <w:r>
        <w:rPr/>
        <w:t>税率的，税率分别调整为</w:t>
      </w:r>
      <w:r>
        <w:rPr>
          <w:rFonts w:ascii="Times New Roman" w:hAnsi="Times New Roman" w:cs="Times New Roman" w:eastAsia="Times New Roman" w:hint="default"/>
        </w:rPr>
        <w:t>16%</w:t>
      </w:r>
      <w:r>
        <w:rPr/>
        <w:t>、</w:t>
      </w:r>
      <w:r>
        <w:rPr>
          <w:rFonts w:ascii="Times New Roman" w:hAnsi="Times New Roman" w:cs="Times New Roman" w:eastAsia="Times New Roman" w:hint="default"/>
        </w:rPr>
        <w:t>10%</w:t>
      </w:r>
      <w:r>
        <w:rPr/>
        <w:t>，本通知从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日起执行。</w:t>
      </w:r>
    </w:p>
    <w:p>
      <w:pPr>
        <w:spacing w:line="240" w:lineRule="auto" w:before="7"/>
        <w:rPr>
          <w:rFonts w:ascii="宋体" w:hAnsi="宋体" w:cs="宋体" w:eastAsia="宋体" w:hint="default"/>
          <w:sz w:val="18"/>
          <w:szCs w:val="18"/>
        </w:rPr>
      </w:pPr>
    </w:p>
    <w:p>
      <w:pPr>
        <w:pStyle w:val="Heading6"/>
        <w:spacing w:line="244" w:lineRule="auto"/>
        <w:ind w:right="0"/>
        <w:jc w:val="left"/>
      </w:pPr>
      <w:r>
        <w:rPr>
          <w:spacing w:val="-6"/>
          <w:w w:val="100"/>
        </w:rPr>
        <w:t>注</w:t>
      </w:r>
      <w:r>
        <w:rPr>
          <w:rFonts w:ascii="Times New Roman" w:hAnsi="Times New Roman" w:cs="Times New Roman" w:eastAsia="Times New Roman" w:hint="default"/>
          <w:spacing w:val="-6"/>
          <w:w w:val="100"/>
        </w:rPr>
        <w:t>2</w:t>
      </w:r>
      <w:r>
        <w:rPr>
          <w:spacing w:val="-6"/>
          <w:w w:val="100"/>
        </w:rPr>
        <w:t>：上海石基按照</w:t>
      </w:r>
      <w:r>
        <w:rPr>
          <w:rFonts w:ascii="Times New Roman" w:hAnsi="Times New Roman" w:cs="Times New Roman" w:eastAsia="Times New Roman" w:hint="default"/>
          <w:spacing w:val="-6"/>
          <w:w w:val="100"/>
        </w:rPr>
        <w:t>1%</w:t>
      </w:r>
      <w:r>
        <w:rPr>
          <w:spacing w:val="-6"/>
          <w:w w:val="100"/>
        </w:rPr>
        <w:t>的税率缴纳城市建设维护税，上海正品按照</w:t>
      </w:r>
      <w:r>
        <w:rPr>
          <w:rFonts w:ascii="Times New Roman" w:hAnsi="Times New Roman" w:cs="Times New Roman" w:eastAsia="Times New Roman" w:hint="default"/>
          <w:spacing w:val="-6"/>
          <w:w w:val="100"/>
        </w:rPr>
        <w:t>5%</w:t>
      </w:r>
      <w:r>
        <w:rPr>
          <w:spacing w:val="-6"/>
          <w:w w:val="100"/>
        </w:rPr>
        <w:t>的税率缴纳城市建设维护税，</w:t>
      </w:r>
      <w:r>
        <w:rPr>
          <w:w w:val="100"/>
        </w:rPr>
        <w:t> </w:t>
      </w:r>
      <w:r>
        <w:rPr/>
        <w:t>其他境内子公司按照</w:t>
      </w:r>
      <w:r>
        <w:rPr>
          <w:rFonts w:ascii="Times New Roman" w:hAnsi="Times New Roman" w:cs="Times New Roman" w:eastAsia="Times New Roman" w:hint="default"/>
        </w:rPr>
        <w:t>7%</w:t>
      </w:r>
      <w:r>
        <w:rPr/>
        <w:t>的税率缴纳城市建设维护税。</w:t>
      </w:r>
    </w:p>
    <w:p>
      <w:pPr>
        <w:spacing w:line="240" w:lineRule="auto" w:before="7"/>
        <w:rPr>
          <w:rFonts w:ascii="宋体" w:hAnsi="宋体" w:cs="宋体" w:eastAsia="宋体" w:hint="default"/>
          <w:sz w:val="18"/>
          <w:szCs w:val="18"/>
        </w:rPr>
      </w:pPr>
    </w:p>
    <w:p>
      <w:pPr>
        <w:pStyle w:val="Heading6"/>
        <w:spacing w:line="240" w:lineRule="auto"/>
        <w:ind w:left="592" w:right="1133" w:firstLine="0"/>
        <w:jc w:val="left"/>
      </w:pPr>
      <w:r>
        <w:rPr/>
        <w:t>注</w:t>
      </w:r>
      <w:r>
        <w:rPr>
          <w:rFonts w:ascii="Times New Roman" w:hAnsi="Times New Roman" w:cs="Times New Roman" w:eastAsia="Times New Roman" w:hint="default"/>
        </w:rPr>
        <w:t>3</w:t>
      </w:r>
      <w:r>
        <w:rPr/>
        <w:t>：前述主要税率中除企业所得税外均为本集团境内子公司适用，不含境外子公司。</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0"/>
        <w:gridCol w:w="2704"/>
        <w:gridCol w:w="2765"/>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172,385.48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254,112.44</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5,756,886,989.62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1,451,125,536.45</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10,585,428.75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263,581,438.93</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5,767,644,803.85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1,714,961,087.82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199,778,564.02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356,482,187.70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6"/>
        <w:spacing w:line="244" w:lineRule="auto"/>
        <w:ind w:right="1133"/>
        <w:jc w:val="left"/>
      </w:pPr>
      <w:r>
        <w:rPr>
          <w:spacing w:val="-3"/>
        </w:rPr>
        <w:t>注：期末所有权或使用权受到限制的货币资金余额为</w:t>
      </w:r>
      <w:r>
        <w:rPr>
          <w:rFonts w:ascii="Times New Roman" w:hAnsi="Times New Roman" w:cs="Times New Roman" w:eastAsia="Times New Roman" w:hint="default"/>
          <w:spacing w:val="-3"/>
        </w:rPr>
        <w:t>8,704,697.80</w:t>
      </w:r>
      <w:r>
        <w:rPr>
          <w:spacing w:val="-3"/>
        </w:rPr>
        <w:t>元；公司存放于支付宝账户上的</w:t>
      </w:r>
      <w:r>
        <w:rPr>
          <w:w w:val="100"/>
        </w:rPr>
        <w:t> </w:t>
      </w:r>
      <w:r>
        <w:rPr/>
        <w:t>资金款项</w:t>
      </w:r>
      <w:r>
        <w:rPr>
          <w:rFonts w:ascii="Times New Roman" w:hAnsi="Times New Roman" w:cs="Times New Roman" w:eastAsia="Times New Roman" w:hint="default"/>
        </w:rPr>
        <w:t>1,880,730.95</w:t>
      </w:r>
      <w:r>
        <w:rPr/>
        <w:t>元，使用不受限制。</w:t>
      </w:r>
    </w:p>
    <w:p>
      <w:pPr>
        <w:spacing w:after="0" w:line="244"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7"/>
        <w:spacing w:line="240" w:lineRule="auto" w:before="36"/>
        <w:ind w:right="1133"/>
        <w:jc w:val="left"/>
        <w:rPr>
          <w:b w:val="0"/>
          <w:bCs w:val="0"/>
        </w:rPr>
      </w:pPr>
      <w:r>
        <w:rPr>
          <w:rFonts w:ascii="Times New Roman" w:hAnsi="Times New Roman" w:cs="Times New Roman" w:eastAsia="Times New Roman" w:hint="default"/>
        </w:rPr>
        <w:t>2</w:t>
      </w:r>
      <w:r>
        <w:rPr/>
        <w:t>、应收票据及应收账款</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2562"/>
        <w:gridCol w:w="2765"/>
      </w:tblGrid>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1,467,000.00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701,358.65</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465,204,002.88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441,234,382.22</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466,671,002.88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441,935,740.87</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3"/>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3"/>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2562"/>
        <w:gridCol w:w="2765"/>
      </w:tblGrid>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1,467,000.00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51,358.65</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1,467,000.00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701,358.65</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6"/>
        <w:gridCol w:w="990"/>
        <w:gridCol w:w="579"/>
        <w:gridCol w:w="946"/>
        <w:gridCol w:w="614"/>
        <w:gridCol w:w="936"/>
        <w:gridCol w:w="908"/>
        <w:gridCol w:w="509"/>
        <w:gridCol w:w="1051"/>
        <w:gridCol w:w="567"/>
        <w:gridCol w:w="1061"/>
      </w:tblGrid>
      <w:tr>
        <w:trPr>
          <w:trHeight w:val="398" w:hRule="exact"/>
        </w:trPr>
        <w:tc>
          <w:tcPr>
            <w:tcW w:w="1396" w:type="dxa"/>
            <w:vMerge w:val="restart"/>
            <w:tcBorders>
              <w:top w:val="single" w:sz="4" w:space="0" w:color="000000"/>
              <w:left w:val="single" w:sz="4" w:space="0" w:color="000000"/>
              <w:right w:val="single" w:sz="4" w:space="0" w:color="000000"/>
            </w:tcBorders>
            <w:shd w:val="clear" w:color="auto" w:fill="D2D2D2"/>
          </w:tcPr>
          <w:p>
            <w:pPr/>
          </w:p>
        </w:tc>
        <w:tc>
          <w:tcPr>
            <w:tcW w:w="406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15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6"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6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3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69" w:type="dxa"/>
            <w:gridSpan w:val="2"/>
            <w:vMerge/>
            <w:tcBorders>
              <w:left w:val="single" w:sz="4" w:space="0" w:color="000000"/>
              <w:bottom w:val="single" w:sz="4" w:space="0" w:color="000000"/>
              <w:right w:val="single" w:sz="4" w:space="0" w:color="000000"/>
            </w:tcBorders>
            <w:shd w:val="clear" w:color="auto" w:fill="D2D2D2"/>
          </w:tcPr>
          <w:p>
            <w:pPr/>
          </w:p>
        </w:tc>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618" w:type="dxa"/>
            <w:gridSpan w:val="2"/>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9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79" w:type="dxa"/>
            <w:tcBorders>
              <w:top w:val="single" w:sz="4" w:space="0" w:color="000000"/>
              <w:left w:val="single" w:sz="4" w:space="0" w:color="000000"/>
              <w:bottom w:val="nil" w:sz="6" w:space="0" w:color="auto"/>
              <w:right w:val="single" w:sz="4" w:space="0" w:color="000000"/>
            </w:tcBorders>
            <w:shd w:val="clear" w:color="auto" w:fill="D2D2D2"/>
          </w:tcPr>
          <w:p>
            <w:pPr/>
          </w:p>
        </w:tc>
        <w:tc>
          <w:tcPr>
            <w:tcW w:w="946" w:type="dxa"/>
            <w:tcBorders>
              <w:top w:val="single" w:sz="4" w:space="0" w:color="000000"/>
              <w:left w:val="single" w:sz="4" w:space="0" w:color="000000"/>
              <w:bottom w:val="nil" w:sz="6" w:space="0" w:color="auto"/>
              <w:right w:val="single" w:sz="4" w:space="0" w:color="000000"/>
            </w:tcBorders>
            <w:shd w:val="clear" w:color="auto" w:fill="D2D2D2"/>
          </w:tcPr>
          <w:p>
            <w:pP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3" w:right="2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8" w:right="98"/>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396" w:type="dxa"/>
            <w:vMerge w:val="restart"/>
            <w:tcBorders>
              <w:top w:val="nil" w:sz="6" w:space="0" w:color="auto"/>
              <w:left w:val="single" w:sz="4" w:space="0" w:color="000000"/>
              <w:right w:val="single" w:sz="4" w:space="0" w:color="000000"/>
            </w:tcBorders>
            <w:shd w:val="clear" w:color="auto" w:fill="D2D2D2"/>
          </w:tcPr>
          <w:p>
            <w:pPr/>
          </w:p>
        </w:tc>
        <w:tc>
          <w:tcPr>
            <w:tcW w:w="9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7"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96" w:type="dxa"/>
            <w:vMerge/>
            <w:tcBorders>
              <w:left w:val="single" w:sz="4" w:space="0" w:color="000000"/>
              <w:right w:val="single" w:sz="4" w:space="0" w:color="000000"/>
            </w:tcBorders>
            <w:shd w:val="clear" w:color="auto" w:fill="D2D2D2"/>
          </w:tcPr>
          <w:p>
            <w:pPr/>
          </w:p>
        </w:tc>
        <w:tc>
          <w:tcPr>
            <w:tcW w:w="990" w:type="dxa"/>
            <w:vMerge/>
            <w:tcBorders>
              <w:left w:val="single" w:sz="4" w:space="0" w:color="000000"/>
              <w:bottom w:val="nil" w:sz="6" w:space="0" w:color="auto"/>
              <w:right w:val="single" w:sz="4" w:space="0" w:color="000000"/>
            </w:tcBorders>
            <w:shd w:val="clear" w:color="auto" w:fill="D2D2D2"/>
          </w:tcPr>
          <w:p>
            <w:pPr/>
          </w:p>
        </w:tc>
        <w:tc>
          <w:tcPr>
            <w:tcW w:w="579" w:type="dxa"/>
            <w:vMerge/>
            <w:tcBorders>
              <w:left w:val="single" w:sz="4" w:space="0" w:color="000000"/>
              <w:bottom w:val="nil" w:sz="6" w:space="0" w:color="auto"/>
              <w:right w:val="single" w:sz="4" w:space="0" w:color="000000"/>
            </w:tcBorders>
            <w:shd w:val="clear" w:color="auto" w:fill="D2D2D2"/>
          </w:tcPr>
          <w:p>
            <w:pPr/>
          </w:p>
        </w:tc>
        <w:tc>
          <w:tcPr>
            <w:tcW w:w="946" w:type="dxa"/>
            <w:vMerge/>
            <w:tcBorders>
              <w:left w:val="single" w:sz="4" w:space="0" w:color="000000"/>
              <w:bottom w:val="nil" w:sz="6" w:space="0" w:color="auto"/>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936" w:type="dxa"/>
            <w:vMerge w:val="restart"/>
            <w:tcBorders>
              <w:top w:val="nil" w:sz="6" w:space="0" w:color="auto"/>
              <w:left w:val="single" w:sz="4" w:space="0" w:color="000000"/>
              <w:right w:val="single" w:sz="4" w:space="0" w:color="000000"/>
            </w:tcBorders>
            <w:shd w:val="clear" w:color="auto" w:fill="D2D2D2"/>
          </w:tcPr>
          <w:p>
            <w:pPr/>
          </w:p>
        </w:tc>
        <w:tc>
          <w:tcPr>
            <w:tcW w:w="908" w:type="dxa"/>
            <w:vMerge/>
            <w:tcBorders>
              <w:left w:val="single" w:sz="4" w:space="0" w:color="000000"/>
              <w:bottom w:val="nil" w:sz="6" w:space="0" w:color="auto"/>
              <w:right w:val="single" w:sz="4" w:space="0" w:color="000000"/>
            </w:tcBorders>
            <w:shd w:val="clear" w:color="auto" w:fill="D2D2D2"/>
          </w:tcPr>
          <w:p>
            <w:pPr/>
          </w:p>
        </w:tc>
        <w:tc>
          <w:tcPr>
            <w:tcW w:w="509"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96" w:type="dxa"/>
            <w:vMerge/>
            <w:tcBorders>
              <w:left w:val="single" w:sz="4" w:space="0" w:color="000000"/>
              <w:bottom w:val="single" w:sz="4" w:space="0" w:color="000000"/>
              <w:right w:val="single" w:sz="4" w:space="0" w:color="000000"/>
            </w:tcBorders>
            <w:shd w:val="clear" w:color="auto" w:fill="D2D2D2"/>
          </w:tcPr>
          <w:p>
            <w:pPr/>
          </w:p>
        </w:tc>
        <w:tc>
          <w:tcPr>
            <w:tcW w:w="9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79" w:type="dxa"/>
            <w:tcBorders>
              <w:top w:val="nil" w:sz="6" w:space="0" w:color="auto"/>
              <w:left w:val="single" w:sz="4" w:space="0" w:color="000000"/>
              <w:bottom w:val="single" w:sz="4" w:space="0" w:color="000000"/>
              <w:right w:val="single" w:sz="4" w:space="0" w:color="000000"/>
            </w:tcBorders>
            <w:shd w:val="clear" w:color="auto" w:fill="D2D2D2"/>
          </w:tcPr>
          <w:p>
            <w:pPr/>
          </w:p>
        </w:tc>
        <w:tc>
          <w:tcPr>
            <w:tcW w:w="946" w:type="dxa"/>
            <w:tcBorders>
              <w:top w:val="nil" w:sz="6" w:space="0" w:color="auto"/>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908" w:type="dxa"/>
            <w:tcBorders>
              <w:top w:val="nil" w:sz="6" w:space="0" w:color="auto"/>
              <w:left w:val="single" w:sz="4" w:space="0" w:color="000000"/>
              <w:bottom w:val="single" w:sz="4" w:space="0" w:color="000000"/>
              <w:right w:val="single" w:sz="4" w:space="0" w:color="000000"/>
            </w:tcBorders>
            <w:shd w:val="clear" w:color="auto" w:fill="D2D2D2"/>
          </w:tcPr>
          <w:p>
            <w:pPr/>
          </w:p>
        </w:tc>
        <w:tc>
          <w:tcPr>
            <w:tcW w:w="5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9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506,561,452.01</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7"/>
                <w:sz w:val="18"/>
              </w:rPr>
              <w:t>87.17%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65,884,570.50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7"/>
                <w:sz w:val="18"/>
              </w:rPr>
              <w:t>13.01%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pacing w:val="-20"/>
                <w:sz w:val="18"/>
              </w:rPr>
              <w:t>440,676,881.51</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pacing w:val="-20"/>
                <w:sz w:val="18"/>
              </w:rPr>
              <w:t>496,815,668.42</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7"/>
                <w:sz w:val="18"/>
              </w:rPr>
              <w:t>93.68%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55,581,286.20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7" w:right="-1"/>
              <w:jc w:val="center"/>
              <w:rPr>
                <w:rFonts w:ascii="Times New Roman" w:hAnsi="Times New Roman" w:cs="Times New Roman" w:eastAsia="Times New Roman" w:hint="default"/>
                <w:sz w:val="18"/>
                <w:szCs w:val="18"/>
              </w:rPr>
            </w:pPr>
            <w:r>
              <w:rPr>
                <w:rFonts w:ascii="Times New Roman"/>
                <w:spacing w:val="-18"/>
                <w:sz w:val="18"/>
              </w:rPr>
              <w:t>11.19%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441,234,382.22</w:t>
            </w:r>
          </w:p>
        </w:tc>
      </w:tr>
      <w:tr>
        <w:trPr>
          <w:trHeight w:val="1027"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2"/>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9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74,559,726.68</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7"/>
                <w:sz w:val="18"/>
              </w:rPr>
              <w:t>12.83%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50,032,605.31</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7"/>
                <w:sz w:val="18"/>
              </w:rPr>
              <w:t>67.10%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pacing w:val="-19"/>
                <w:sz w:val="18"/>
              </w:rPr>
              <w:t>24,527,121.37</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pacing w:val="-19"/>
                <w:sz w:val="18"/>
              </w:rPr>
              <w:t>33,503,597.37</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6.32%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33,503,597.37</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1"/>
              <w:jc w:val="center"/>
              <w:rPr>
                <w:rFonts w:ascii="Times New Roman" w:hAnsi="Times New Roman" w:cs="Times New Roman" w:eastAsia="Times New Roman" w:hint="default"/>
                <w:sz w:val="18"/>
                <w:szCs w:val="18"/>
              </w:rPr>
            </w:pPr>
            <w:r>
              <w:rPr>
                <w:rFonts w:ascii="Times New Roman"/>
                <w:spacing w:val="-18"/>
                <w:sz w:val="18"/>
              </w:rPr>
              <w:t>100.00%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61" w:hRule="exact"/>
        </w:trPr>
        <w:tc>
          <w:tcPr>
            <w:tcW w:w="1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pacing w:val="-20"/>
                <w:sz w:val="18"/>
              </w:rPr>
              <w:t>581,121,178.69</w:t>
            </w:r>
          </w:p>
        </w:tc>
        <w:tc>
          <w:tcPr>
            <w:tcW w:w="5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1"/>
              <w:jc w:val="left"/>
              <w:rPr>
                <w:rFonts w:ascii="Times New Roman" w:hAnsi="Times New Roman" w:cs="Times New Roman" w:eastAsia="Times New Roman" w:hint="default"/>
                <w:sz w:val="18"/>
                <w:szCs w:val="18"/>
              </w:rPr>
            </w:pPr>
            <w:r>
              <w:rPr>
                <w:rFonts w:ascii="Times New Roman"/>
                <w:spacing w:val="-18"/>
                <w:sz w:val="18"/>
              </w:rPr>
              <w:t>100.00%</w:t>
            </w:r>
          </w:p>
        </w:tc>
        <w:tc>
          <w:tcPr>
            <w:tcW w:w="94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pacing w:val="-20"/>
                <w:sz w:val="18"/>
              </w:rPr>
              <w:t>115,917,175.81</w:t>
            </w:r>
          </w:p>
        </w:tc>
        <w:tc>
          <w:tcPr>
            <w:tcW w:w="61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pacing w:val="-20"/>
                <w:sz w:val="18"/>
              </w:rPr>
              <w:t>465,204,002.88</w:t>
            </w:r>
          </w:p>
        </w:tc>
        <w:tc>
          <w:tcPr>
            <w:tcW w:w="9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pacing w:val="-20"/>
                <w:sz w:val="18"/>
              </w:rPr>
              <w:t>530,319,265.79</w:t>
            </w:r>
          </w:p>
        </w:tc>
        <w:tc>
          <w:tcPr>
            <w:tcW w:w="509" w:type="dxa"/>
            <w:vMerge w:val="restart"/>
            <w:tcBorders>
              <w:top w:val="single" w:sz="4" w:space="0" w:color="000000"/>
              <w:left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8"/>
                <w:sz w:val="18"/>
              </w:rPr>
              <w:t>100.00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pacing w:val="-19"/>
                <w:sz w:val="18"/>
              </w:rPr>
              <w:t>89,084,883.57</w:t>
            </w:r>
          </w:p>
        </w:tc>
        <w:tc>
          <w:tcPr>
            <w:tcW w:w="567"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pacing w:val="-20"/>
                <w:sz w:val="18"/>
              </w:rPr>
              <w:t>441,234,382.22</w:t>
            </w:r>
          </w:p>
        </w:tc>
      </w:tr>
      <w:tr>
        <w:trPr>
          <w:trHeight w:val="391" w:hRule="exact"/>
        </w:trPr>
        <w:tc>
          <w:tcPr>
            <w:tcW w:w="1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0" w:type="dxa"/>
            <w:vMerge/>
            <w:tcBorders>
              <w:left w:val="single" w:sz="9" w:space="0" w:color="D2D2D2"/>
              <w:right w:val="single" w:sz="4" w:space="0" w:color="000000"/>
            </w:tcBorders>
          </w:tcPr>
          <w:p>
            <w:pPr/>
          </w:p>
        </w:tc>
        <w:tc>
          <w:tcPr>
            <w:tcW w:w="579"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051"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161" w:hRule="exact"/>
        </w:trPr>
        <w:tc>
          <w:tcPr>
            <w:tcW w:w="1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0" w:type="dxa"/>
            <w:vMerge/>
            <w:tcBorders>
              <w:left w:val="single" w:sz="9" w:space="0" w:color="D2D2D2"/>
              <w:bottom w:val="single" w:sz="4" w:space="0" w:color="000000"/>
              <w:right w:val="single" w:sz="4" w:space="0" w:color="000000"/>
            </w:tcBorders>
          </w:tcPr>
          <w:p>
            <w:pPr/>
          </w:p>
        </w:tc>
        <w:tc>
          <w:tcPr>
            <w:tcW w:w="579"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08" w:type="dxa"/>
            <w:vMerge/>
            <w:tcBorders>
              <w:left w:val="single" w:sz="4" w:space="0" w:color="000000"/>
              <w:bottom w:val="single" w:sz="4" w:space="0" w:color="000000"/>
              <w:right w:val="single" w:sz="4" w:space="0" w:color="000000"/>
            </w:tcBorders>
          </w:tcPr>
          <w:p>
            <w:pPr/>
          </w:p>
        </w:tc>
        <w:tc>
          <w:tcPr>
            <w:tcW w:w="509"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2410"/>
        <w:gridCol w:w="2268"/>
        <w:gridCol w:w="2057"/>
      </w:tblGrid>
      <w:tr>
        <w:trPr>
          <w:trHeight w:val="401" w:hRule="exact"/>
        </w:trPr>
        <w:tc>
          <w:tcPr>
            <w:tcW w:w="2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73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4"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267,172,195.99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13,358,609.82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组合二</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85,449,998.53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854,499.98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352,622,194.52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14,213,109.80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88,014,425.09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8,985,452.49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10.21%</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18,113,715.81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4,019,993.55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22.19%</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23,084,373.68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15,704,248.40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68.03%</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8,824,883.23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7,059,906.58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15,901,859.68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15,901,859.68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506,561,452.01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65,884,570.50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13.01%</w:t>
            </w:r>
          </w:p>
        </w:tc>
      </w:tr>
    </w:tbl>
    <w:p>
      <w:pPr>
        <w:spacing w:line="357" w:lineRule="auto" w:before="49"/>
        <w:ind w:left="633" w:right="8473" w:hanging="481"/>
        <w:jc w:val="left"/>
        <w:rPr>
          <w:rFonts w:ascii="宋体" w:hAnsi="宋体" w:cs="宋体" w:eastAsia="宋体" w:hint="default"/>
          <w:sz w:val="18"/>
          <w:szCs w:val="18"/>
        </w:rPr>
      </w:pPr>
      <w:r>
        <w:rPr>
          <w:rFonts w:ascii="宋体" w:hAnsi="宋体" w:cs="宋体" w:eastAsia="宋体" w:hint="default"/>
          <w:sz w:val="18"/>
          <w:szCs w:val="18"/>
        </w:rPr>
        <w:t>确定该组合依据的说明： 不同组合的确定依据：</w:t>
      </w:r>
    </w:p>
    <w:tbl>
      <w:tblPr>
        <w:tblW w:w="0" w:type="auto"/>
        <w:jc w:val="left"/>
        <w:tblInd w:w="145" w:type="dxa"/>
        <w:tblLayout w:type="fixed"/>
        <w:tblCellMar>
          <w:top w:w="0" w:type="dxa"/>
          <w:left w:w="0" w:type="dxa"/>
          <w:bottom w:w="0" w:type="dxa"/>
          <w:right w:w="0" w:type="dxa"/>
        </w:tblCellMar>
        <w:tblLook w:val="01E0"/>
      </w:tblPr>
      <w:tblGrid>
        <w:gridCol w:w="1277"/>
        <w:gridCol w:w="8373"/>
      </w:tblGrid>
      <w:tr>
        <w:trPr>
          <w:trHeight w:val="348" w:hRule="exact"/>
        </w:trPr>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65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83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2" w:right="75"/>
              <w:jc w:val="left"/>
              <w:rPr>
                <w:rFonts w:ascii="宋体" w:hAnsi="宋体" w:cs="宋体" w:eastAsia="宋体" w:hint="default"/>
                <w:sz w:val="18"/>
                <w:szCs w:val="18"/>
              </w:rPr>
            </w:pPr>
            <w:r>
              <w:rPr>
                <w:rFonts w:ascii="宋体" w:hAnsi="宋体" w:cs="宋体" w:eastAsia="宋体" w:hint="default"/>
                <w:sz w:val="18"/>
                <w:szCs w:val="18"/>
              </w:rPr>
              <w:t>根据以前年度与之相同或类似的、按账龄段划分的具有类似信用风险特征的应收款项组合的实际损失率为 基础，结合现实情况分析法对计算机及服务行业确定坏账准备计提的比例。</w:t>
            </w:r>
          </w:p>
        </w:tc>
      </w:tr>
      <w:tr>
        <w:trPr>
          <w:trHeight w:val="66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83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2" w:right="75"/>
              <w:jc w:val="left"/>
              <w:rPr>
                <w:rFonts w:ascii="宋体" w:hAnsi="宋体" w:cs="宋体" w:eastAsia="宋体" w:hint="default"/>
                <w:sz w:val="18"/>
                <w:szCs w:val="18"/>
              </w:rPr>
            </w:pPr>
            <w:r>
              <w:rPr>
                <w:rFonts w:ascii="宋体" w:hAnsi="宋体" w:cs="宋体" w:eastAsia="宋体" w:hint="default"/>
                <w:sz w:val="18"/>
                <w:szCs w:val="18"/>
              </w:rPr>
              <w:t>根据以前年度与之相同或类似的、按账龄段划分的具有类似信用风险特征的应收款项组合的实际损失率为 基础，结合现实情况分析法对商品批发行业确定坏账准备计提的比例。</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p>
        </w:tc>
        <w:tc>
          <w:tcPr>
            <w:tcW w:w="8373"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 w:right="0"/>
              <w:jc w:val="left"/>
              <w:rPr>
                <w:rFonts w:ascii="宋体" w:hAnsi="宋体" w:cs="宋体" w:eastAsia="宋体" w:hint="default"/>
                <w:sz w:val="18"/>
                <w:szCs w:val="18"/>
              </w:rPr>
            </w:pPr>
            <w:r>
              <w:rPr>
                <w:rFonts w:ascii="宋体" w:hAnsi="宋体" w:cs="宋体" w:eastAsia="宋体" w:hint="default"/>
                <w:sz w:val="18"/>
                <w:szCs w:val="18"/>
              </w:rPr>
              <w:t>不存在减值风险，不计提坏账准备的应收款项组合。</w:t>
            </w:r>
          </w:p>
        </w:tc>
      </w:tr>
    </w:tbl>
    <w:p>
      <w:pPr>
        <w:spacing w:line="240" w:lineRule="auto" w:before="9"/>
        <w:rPr>
          <w:rFonts w:ascii="宋体" w:hAnsi="宋体" w:cs="宋体" w:eastAsia="宋体" w:hint="default"/>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8"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 无</w:t>
      </w:r>
    </w:p>
    <w:p>
      <w:pPr>
        <w:spacing w:before="36"/>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before="10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before="101"/>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30,945,326.04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3"/>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4,113,033.80</w:t>
            </w:r>
          </w:p>
        </w:tc>
      </w:tr>
    </w:tbl>
    <w:p>
      <w:pPr>
        <w:spacing w:line="357" w:lineRule="auto" w:before="49"/>
        <w:ind w:left="152" w:right="9134" w:firstLine="0"/>
        <w:jc w:val="left"/>
        <w:rPr>
          <w:rFonts w:ascii="宋体" w:hAnsi="宋体" w:cs="宋体" w:eastAsia="宋体" w:hint="default"/>
          <w:sz w:val="18"/>
          <w:szCs w:val="18"/>
        </w:rPr>
      </w:pPr>
      <w:r>
        <w:rPr>
          <w:rFonts w:ascii="宋体" w:hAnsi="宋体" w:cs="宋体" w:eastAsia="宋体" w:hint="default"/>
          <w:sz w:val="18"/>
          <w:szCs w:val="18"/>
        </w:rPr>
        <w:t>应收账款核销说明： 无</w:t>
      </w:r>
    </w:p>
    <w:p>
      <w:pPr>
        <w:spacing w:before="29"/>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504"/>
        <w:gridCol w:w="1750"/>
        <w:gridCol w:w="2127"/>
        <w:gridCol w:w="1990"/>
        <w:gridCol w:w="1279"/>
      </w:tblGrid>
      <w:tr>
        <w:trPr>
          <w:trHeight w:val="331" w:hRule="exact"/>
        </w:trPr>
        <w:tc>
          <w:tcPr>
            <w:tcW w:w="25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0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9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86" w:right="0"/>
              <w:jc w:val="left"/>
              <w:rPr>
                <w:rFonts w:ascii="宋体" w:hAnsi="宋体" w:cs="宋体" w:eastAsia="宋体" w:hint="default"/>
                <w:sz w:val="18"/>
                <w:szCs w:val="18"/>
              </w:rPr>
            </w:pPr>
            <w:r>
              <w:rPr>
                <w:rFonts w:ascii="宋体" w:hAnsi="宋体" w:cs="宋体" w:eastAsia="宋体" w:hint="default"/>
                <w:b/>
                <w:bCs/>
                <w:sz w:val="18"/>
                <w:szCs w:val="18"/>
              </w:rPr>
              <w:t>占应收账款年末余额合</w:t>
            </w:r>
            <w:r>
              <w:rPr>
                <w:rFonts w:ascii="宋体" w:hAnsi="宋体" w:cs="宋体" w:eastAsia="宋体" w:hint="default"/>
                <w:sz w:val="18"/>
                <w:szCs w:val="18"/>
              </w:rPr>
            </w:r>
          </w:p>
        </w:tc>
        <w:tc>
          <w:tcPr>
            <w:tcW w:w="12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b/>
                <w:bCs/>
                <w:sz w:val="18"/>
                <w:szCs w:val="18"/>
              </w:rPr>
              <w:t>坏账准备年末</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2504"/>
        <w:gridCol w:w="1750"/>
        <w:gridCol w:w="2127"/>
        <w:gridCol w:w="1990"/>
        <w:gridCol w:w="1279"/>
      </w:tblGrid>
      <w:tr>
        <w:trPr>
          <w:trHeight w:val="348" w:hRule="exact"/>
        </w:trPr>
        <w:tc>
          <w:tcPr>
            <w:tcW w:w="2504"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750"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9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8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346" w:hRule="exact"/>
        </w:trPr>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台山核电合营有限公司</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16,331,892.81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2.81</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163,318.93</w:t>
            </w:r>
          </w:p>
        </w:tc>
      </w:tr>
      <w:tr>
        <w:trPr>
          <w:trHeight w:val="348" w:hRule="exact"/>
        </w:trPr>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财付通支付科技有限公司</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11,502,776.89</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1.98</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575,138.84</w:t>
            </w:r>
          </w:p>
        </w:tc>
      </w:tr>
      <w:tr>
        <w:trPr>
          <w:trHeight w:val="346" w:hRule="exact"/>
        </w:trPr>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金航数码科技有限责任公司</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9,486,959.00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1.63</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94,869.59</w:t>
            </w:r>
          </w:p>
        </w:tc>
      </w:tr>
      <w:tr>
        <w:trPr>
          <w:trHeight w:val="660" w:hRule="exact"/>
        </w:trPr>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中国建设银行股份有限公司信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用卡中心</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8,466,511.95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5,661,194.92</w:t>
            </w:r>
          </w:p>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2,805,317.03</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1.46</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563,591.45</w:t>
            </w:r>
          </w:p>
        </w:tc>
      </w:tr>
      <w:tr>
        <w:trPr>
          <w:trHeight w:val="658" w:hRule="exact"/>
        </w:trPr>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10"/>
                <w:sz w:val="18"/>
                <w:szCs w:val="18"/>
              </w:rPr>
              <w:t>海南亚特兰蒂斯商旅发展有限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7,550,613.00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377,530.65</w:t>
            </w:r>
          </w:p>
        </w:tc>
      </w:tr>
      <w:tr>
        <w:trPr>
          <w:trHeight w:val="348" w:hRule="exact"/>
        </w:trPr>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b/>
                <w:spacing w:val="-1"/>
                <w:sz w:val="18"/>
              </w:rPr>
              <w:t>53,338,753.65</w:t>
            </w:r>
            <w:r>
              <w:rPr>
                <w:rFonts w:ascii="Times New Roman"/>
                <w:spacing w:val="-1"/>
                <w:sz w:val="18"/>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b/>
                <w:spacing w:val="-1"/>
                <w:sz w:val="18"/>
              </w:rPr>
              <w:t>9.18</w:t>
            </w:r>
            <w:r>
              <w:rPr>
                <w:rFonts w:ascii="Times New Roman"/>
                <w:spacing w:val="-1"/>
                <w:sz w:val="18"/>
              </w:rPr>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b/>
                <w:spacing w:val="-1"/>
                <w:sz w:val="18"/>
              </w:rPr>
              <w:t>1,774,449.46</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7"/>
        <w:spacing w:line="240" w:lineRule="auto" w:before="36"/>
        <w:ind w:right="1133"/>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1855"/>
        <w:gridCol w:w="1844"/>
        <w:gridCol w:w="1702"/>
        <w:gridCol w:w="1633"/>
      </w:tblGrid>
      <w:tr>
        <w:trPr>
          <w:trHeight w:val="206" w:hRule="exact"/>
        </w:trPr>
        <w:tc>
          <w:tcPr>
            <w:tcW w:w="2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3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698" w:type="dxa"/>
            <w:gridSpan w:val="2"/>
            <w:vMerge/>
            <w:tcBorders>
              <w:left w:val="single" w:sz="4" w:space="0" w:color="000000"/>
              <w:bottom w:val="single" w:sz="4" w:space="0" w:color="000000"/>
              <w:right w:val="single" w:sz="4" w:space="0" w:color="000000"/>
            </w:tcBorders>
            <w:shd w:val="clear" w:color="auto" w:fill="D2D2D2"/>
          </w:tcPr>
          <w:p>
            <w:pPr/>
          </w:p>
        </w:tc>
        <w:tc>
          <w:tcPr>
            <w:tcW w:w="3334"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18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2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5" w:type="dxa"/>
            <w:vMerge/>
            <w:tcBorders>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63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48,948,047.76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97.01%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48,319,657.07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86.26%</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1,154,993.03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7,362,398.09</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13.15%</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69,572.95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220,179.33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281,801.69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113,385.00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0.20%</w:t>
            </w:r>
          </w:p>
        </w:tc>
      </w:tr>
      <w:tr>
        <w:trPr>
          <w:trHeight w:val="40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5"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50,454,415.43</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56,015,619.49</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38" w:lineRule="auto" w:before="49"/>
        <w:ind w:left="152" w:right="5896"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无</w:t>
      </w:r>
    </w:p>
    <w:p>
      <w:pPr>
        <w:spacing w:line="240" w:lineRule="auto" w:before="7"/>
        <w:rPr>
          <w:rFonts w:ascii="宋体" w:hAnsi="宋体" w:cs="宋体" w:eastAsia="宋体" w:hint="default"/>
          <w:sz w:val="21"/>
          <w:szCs w:val="21"/>
        </w:rPr>
      </w:pPr>
    </w:p>
    <w:p>
      <w:pPr>
        <w:pStyle w:val="Heading7"/>
        <w:spacing w:line="240" w:lineRule="auto"/>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tbl>
      <w:tblPr>
        <w:tblW w:w="0" w:type="auto"/>
        <w:jc w:val="left"/>
        <w:tblInd w:w="145" w:type="dxa"/>
        <w:tblLayout w:type="fixed"/>
        <w:tblCellMar>
          <w:top w:w="0" w:type="dxa"/>
          <w:left w:w="0" w:type="dxa"/>
          <w:bottom w:w="0" w:type="dxa"/>
          <w:right w:w="0" w:type="dxa"/>
        </w:tblCellMar>
        <w:tblLook w:val="01E0"/>
      </w:tblPr>
      <w:tblGrid>
        <w:gridCol w:w="3971"/>
        <w:gridCol w:w="1805"/>
        <w:gridCol w:w="1313"/>
        <w:gridCol w:w="2561"/>
      </w:tblGrid>
      <w:tr>
        <w:trPr>
          <w:trHeight w:val="658" w:hRule="exact"/>
        </w:trPr>
        <w:tc>
          <w:tcPr>
            <w:tcW w:w="39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3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7"/>
              <w:ind w:left="1034" w:right="6" w:hanging="1025"/>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占预付款项年末余额合计数的比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JOYCHINA(HONGKONG)LIMITED</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13,099,981.00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25.96</w:t>
            </w:r>
          </w:p>
        </w:tc>
      </w:tr>
      <w:tr>
        <w:trPr>
          <w:trHeight w:val="346"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DISGUISESYSTEMS(APAC)LTD</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4,039,947.10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8.01</w:t>
            </w:r>
          </w:p>
        </w:tc>
      </w:tr>
      <w:tr>
        <w:trPr>
          <w:trHeight w:val="349"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RTTECHNOLOGYLIMITED</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2,636,228.70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5.22</w:t>
            </w:r>
          </w:p>
        </w:tc>
      </w:tr>
      <w:tr>
        <w:trPr>
          <w:trHeight w:val="34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联想图像（天津）科技有限公司</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2,352,991.56</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4.66</w:t>
            </w:r>
          </w:p>
        </w:tc>
      </w:tr>
      <w:tr>
        <w:trPr>
          <w:trHeight w:val="346"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青岛海信智能商用系统有限公司</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1,158,000.01</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2.30</w:t>
            </w:r>
          </w:p>
        </w:tc>
      </w:tr>
      <w:tr>
        <w:trPr>
          <w:trHeight w:val="34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b/>
                <w:spacing w:val="-1"/>
                <w:sz w:val="18"/>
              </w:rPr>
              <w:t>23,287,148.37</w:t>
            </w:r>
            <w:r>
              <w:rPr>
                <w:rFonts w:ascii="Times New Roman"/>
                <w:spacing w:val="-1"/>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b/>
                <w:sz w:val="18"/>
              </w:rPr>
              <w:t>46.15</w:t>
            </w:r>
            <w:r>
              <w:rPr>
                <w:rFonts w:ascii="Times New Roman"/>
                <w:sz w:val="18"/>
              </w:rPr>
            </w:r>
          </w:p>
        </w:tc>
      </w:tr>
    </w:tbl>
    <w:p>
      <w:pPr>
        <w:spacing w:line="240" w:lineRule="auto" w:before="2"/>
        <w:rPr>
          <w:rFonts w:ascii="宋体" w:hAnsi="宋体" w:cs="宋体" w:eastAsia="宋体" w:hint="default"/>
          <w:b/>
          <w:bCs/>
          <w:sz w:val="24"/>
          <w:szCs w:val="24"/>
        </w:rPr>
      </w:pPr>
    </w:p>
    <w:p>
      <w:pPr>
        <w:spacing w:line="357" w:lineRule="auto" w:before="44"/>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1133"/>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67,159,836.82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191,892.43</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45,835,148.08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59,746,332.89</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112,994,984.90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59,938,225.32</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3"/>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4"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67,159,836.82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191,892.43</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67,159,836.82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191,892.43</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6"/>
        <w:gridCol w:w="990"/>
        <w:gridCol w:w="579"/>
        <w:gridCol w:w="946"/>
        <w:gridCol w:w="614"/>
        <w:gridCol w:w="936"/>
        <w:gridCol w:w="908"/>
        <w:gridCol w:w="566"/>
        <w:gridCol w:w="994"/>
        <w:gridCol w:w="697"/>
        <w:gridCol w:w="931"/>
      </w:tblGrid>
      <w:tr>
        <w:trPr>
          <w:trHeight w:val="396" w:hRule="exact"/>
        </w:trPr>
        <w:tc>
          <w:tcPr>
            <w:tcW w:w="1396" w:type="dxa"/>
            <w:vMerge w:val="restart"/>
            <w:tcBorders>
              <w:top w:val="single" w:sz="4" w:space="0" w:color="000000"/>
              <w:left w:val="single" w:sz="4" w:space="0" w:color="000000"/>
              <w:right w:val="single" w:sz="4" w:space="0" w:color="000000"/>
            </w:tcBorders>
            <w:shd w:val="clear" w:color="auto" w:fill="D2D2D2"/>
          </w:tcPr>
          <w:p>
            <w:pPr/>
          </w:p>
        </w:tc>
        <w:tc>
          <w:tcPr>
            <w:tcW w:w="406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15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6" w:type="dxa"/>
            <w:vMerge w:val="restart"/>
            <w:tcBorders>
              <w:top w:val="single" w:sz="4" w:space="0" w:color="000000"/>
              <w:left w:val="single" w:sz="4" w:space="0" w:color="000000"/>
              <w:right w:val="single" w:sz="4" w:space="0" w:color="000000"/>
            </w:tcBorders>
            <w:shd w:val="clear" w:color="auto" w:fill="D2D2D2"/>
          </w:tcPr>
          <w:p>
            <w:pPr/>
          </w:p>
        </w:tc>
        <w:tc>
          <w:tcPr>
            <w:tcW w:w="14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3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69" w:type="dxa"/>
            <w:gridSpan w:val="2"/>
            <w:vMerge/>
            <w:tcBorders>
              <w:left w:val="single" w:sz="4" w:space="0" w:color="000000"/>
              <w:bottom w:val="single" w:sz="4" w:space="0" w:color="000000"/>
              <w:right w:val="single" w:sz="4" w:space="0" w:color="000000"/>
            </w:tcBorders>
            <w:shd w:val="clear" w:color="auto" w:fill="D2D2D2"/>
          </w:tcPr>
          <w:p>
            <w:pPr/>
          </w:p>
        </w:tc>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1474" w:type="dxa"/>
            <w:gridSpan w:val="2"/>
            <w:vMerge/>
            <w:tcBorders>
              <w:left w:val="single" w:sz="4" w:space="0" w:color="000000"/>
              <w:bottom w:val="single" w:sz="4" w:space="0" w:color="000000"/>
              <w:right w:val="single" w:sz="4" w:space="0" w:color="000000"/>
            </w:tcBorders>
            <w:shd w:val="clear" w:color="auto" w:fill="D2D2D2"/>
          </w:tcPr>
          <w:p>
            <w:pPr/>
          </w:p>
        </w:tc>
        <w:tc>
          <w:tcPr>
            <w:tcW w:w="16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9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79" w:type="dxa"/>
            <w:tcBorders>
              <w:top w:val="single" w:sz="4" w:space="0" w:color="000000"/>
              <w:left w:val="single" w:sz="4" w:space="0" w:color="000000"/>
              <w:bottom w:val="nil" w:sz="6" w:space="0" w:color="auto"/>
              <w:right w:val="single" w:sz="4" w:space="0" w:color="000000"/>
            </w:tcBorders>
            <w:shd w:val="clear" w:color="auto" w:fill="D2D2D2"/>
          </w:tcPr>
          <w:p>
            <w:pPr/>
          </w:p>
        </w:tc>
        <w:tc>
          <w:tcPr>
            <w:tcW w:w="946" w:type="dxa"/>
            <w:tcBorders>
              <w:top w:val="single" w:sz="4" w:space="0" w:color="000000"/>
              <w:left w:val="single" w:sz="4" w:space="0" w:color="000000"/>
              <w:bottom w:val="nil" w:sz="6" w:space="0" w:color="auto"/>
              <w:right w:val="single" w:sz="4" w:space="0" w:color="000000"/>
            </w:tcBorders>
            <w:shd w:val="clear" w:color="auto" w:fill="D2D2D2"/>
          </w:tcPr>
          <w:p>
            <w:pP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3" w:right="2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54" w:right="7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396" w:type="dxa"/>
            <w:vMerge w:val="restart"/>
            <w:tcBorders>
              <w:top w:val="nil" w:sz="6" w:space="0" w:color="auto"/>
              <w:left w:val="single" w:sz="4" w:space="0" w:color="000000"/>
              <w:right w:val="single" w:sz="4" w:space="0" w:color="000000"/>
            </w:tcBorders>
            <w:shd w:val="clear" w:color="auto" w:fill="D2D2D2"/>
          </w:tcPr>
          <w:p>
            <w:pPr/>
          </w:p>
        </w:tc>
        <w:tc>
          <w:tcPr>
            <w:tcW w:w="9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97" w:type="dxa"/>
            <w:vMerge/>
            <w:tcBorders>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396" w:type="dxa"/>
            <w:vMerge/>
            <w:tcBorders>
              <w:left w:val="single" w:sz="4" w:space="0" w:color="000000"/>
              <w:right w:val="single" w:sz="4" w:space="0" w:color="000000"/>
            </w:tcBorders>
            <w:shd w:val="clear" w:color="auto" w:fill="D2D2D2"/>
          </w:tcPr>
          <w:p>
            <w:pPr/>
          </w:p>
        </w:tc>
        <w:tc>
          <w:tcPr>
            <w:tcW w:w="990" w:type="dxa"/>
            <w:vMerge/>
            <w:tcBorders>
              <w:left w:val="single" w:sz="4" w:space="0" w:color="000000"/>
              <w:bottom w:val="nil" w:sz="6" w:space="0" w:color="auto"/>
              <w:right w:val="single" w:sz="4" w:space="0" w:color="000000"/>
            </w:tcBorders>
            <w:shd w:val="clear" w:color="auto" w:fill="D2D2D2"/>
          </w:tcPr>
          <w:p>
            <w:pPr/>
          </w:p>
        </w:tc>
        <w:tc>
          <w:tcPr>
            <w:tcW w:w="579" w:type="dxa"/>
            <w:vMerge/>
            <w:tcBorders>
              <w:left w:val="single" w:sz="4" w:space="0" w:color="000000"/>
              <w:bottom w:val="nil" w:sz="6" w:space="0" w:color="auto"/>
              <w:right w:val="single" w:sz="4" w:space="0" w:color="000000"/>
            </w:tcBorders>
            <w:shd w:val="clear" w:color="auto" w:fill="D2D2D2"/>
          </w:tcPr>
          <w:p>
            <w:pPr/>
          </w:p>
        </w:tc>
        <w:tc>
          <w:tcPr>
            <w:tcW w:w="946" w:type="dxa"/>
            <w:vMerge/>
            <w:tcBorders>
              <w:left w:val="single" w:sz="4" w:space="0" w:color="000000"/>
              <w:bottom w:val="nil" w:sz="6" w:space="0" w:color="auto"/>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936" w:type="dxa"/>
            <w:vMerge w:val="restart"/>
            <w:tcBorders>
              <w:top w:val="nil" w:sz="6" w:space="0" w:color="auto"/>
              <w:left w:val="single" w:sz="4" w:space="0" w:color="000000"/>
              <w:right w:val="single" w:sz="4" w:space="0" w:color="000000"/>
            </w:tcBorders>
            <w:shd w:val="clear" w:color="auto" w:fill="D2D2D2"/>
          </w:tcPr>
          <w:p>
            <w:pPr/>
          </w:p>
        </w:tc>
        <w:tc>
          <w:tcPr>
            <w:tcW w:w="908"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96" w:type="dxa"/>
            <w:vMerge/>
            <w:tcBorders>
              <w:left w:val="single" w:sz="4" w:space="0" w:color="000000"/>
              <w:bottom w:val="single" w:sz="4" w:space="0" w:color="000000"/>
              <w:right w:val="single" w:sz="4" w:space="0" w:color="000000"/>
            </w:tcBorders>
            <w:shd w:val="clear" w:color="auto" w:fill="D2D2D2"/>
          </w:tcPr>
          <w:p>
            <w:pPr/>
          </w:p>
        </w:tc>
        <w:tc>
          <w:tcPr>
            <w:tcW w:w="9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79" w:type="dxa"/>
            <w:tcBorders>
              <w:top w:val="nil" w:sz="6" w:space="0" w:color="auto"/>
              <w:left w:val="single" w:sz="4" w:space="0" w:color="000000"/>
              <w:bottom w:val="single" w:sz="4" w:space="0" w:color="000000"/>
              <w:right w:val="single" w:sz="4" w:space="0" w:color="000000"/>
            </w:tcBorders>
            <w:shd w:val="clear" w:color="auto" w:fill="D2D2D2"/>
          </w:tcPr>
          <w:p>
            <w:pPr/>
          </w:p>
        </w:tc>
        <w:tc>
          <w:tcPr>
            <w:tcW w:w="946" w:type="dxa"/>
            <w:tcBorders>
              <w:top w:val="nil" w:sz="6" w:space="0" w:color="auto"/>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90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9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48,745,034.61</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7"/>
                <w:sz w:val="18"/>
              </w:rPr>
              <w:t>69.62%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9,844,271.89</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7"/>
                <w:sz w:val="18"/>
              </w:rPr>
              <w:t>20.20%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38,900,762.72</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70,700,542.75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2"/>
              <w:jc w:val="center"/>
              <w:rPr>
                <w:rFonts w:ascii="Times New Roman" w:hAnsi="Times New Roman" w:cs="Times New Roman" w:eastAsia="Times New Roman" w:hint="default"/>
                <w:sz w:val="18"/>
                <w:szCs w:val="18"/>
              </w:rPr>
            </w:pPr>
            <w:r>
              <w:rPr>
                <w:rFonts w:ascii="Times New Roman"/>
                <w:spacing w:val="-17"/>
                <w:sz w:val="18"/>
              </w:rPr>
              <w:t>85.70%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10,954,209.86</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7"/>
                <w:sz w:val="18"/>
              </w:rPr>
              <w:t>15.49%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59,746,332.89</w:t>
            </w:r>
          </w:p>
        </w:tc>
      </w:tr>
      <w:tr>
        <w:trPr>
          <w:trHeight w:val="1337"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2"/>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准备的其他应收 款</w:t>
            </w:r>
          </w:p>
        </w:tc>
        <w:tc>
          <w:tcPr>
            <w:tcW w:w="9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21,274,022.24</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7"/>
                <w:sz w:val="18"/>
              </w:rPr>
              <w:t>30.38%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14,339,636.88</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7"/>
                <w:sz w:val="18"/>
              </w:rPr>
              <w:t>67.40%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6,934,385.36</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11,792,929.97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2"/>
              <w:jc w:val="center"/>
              <w:rPr>
                <w:rFonts w:ascii="Times New Roman" w:hAnsi="Times New Roman" w:cs="Times New Roman" w:eastAsia="Times New Roman" w:hint="default"/>
                <w:sz w:val="18"/>
                <w:szCs w:val="18"/>
              </w:rPr>
            </w:pPr>
            <w:r>
              <w:rPr>
                <w:rFonts w:ascii="Times New Roman"/>
                <w:spacing w:val="-17"/>
                <w:sz w:val="18"/>
              </w:rPr>
              <w:t>14.30%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11,792,929.97</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8"/>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70,019,056.85</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8"/>
                <w:sz w:val="18"/>
              </w:rPr>
              <w:t>100.00%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24,183,908.77</w:t>
            </w:r>
          </w:p>
        </w:tc>
        <w:tc>
          <w:tcPr>
            <w:tcW w:w="61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45,835,148.08</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82,493,472.72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2"/>
              <w:jc w:val="center"/>
              <w:rPr>
                <w:rFonts w:ascii="Times New Roman" w:hAnsi="Times New Roman" w:cs="Times New Roman" w:eastAsia="Times New Roman" w:hint="default"/>
                <w:sz w:val="18"/>
                <w:szCs w:val="18"/>
              </w:rPr>
            </w:pPr>
            <w:r>
              <w:rPr>
                <w:rFonts w:ascii="Times New Roman"/>
                <w:spacing w:val="-18"/>
                <w:sz w:val="18"/>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22,747,139.83</w:t>
            </w:r>
          </w:p>
        </w:tc>
        <w:tc>
          <w:tcPr>
            <w:tcW w:w="6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59,746,332.89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3" w:space="435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0"/>
      </w:tblGrid>
      <w:tr>
        <w:trPr>
          <w:trHeight w:val="402"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29,586,433.73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1,478,247.16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组合二</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593,706.09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5,937.06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30,180,139.82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1,484,184.22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4.92%</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5,905,985.06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1,193,245.77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20.20%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2,739,914.85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551,060.96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20.11%</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4,173,425.13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3,841,242.08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92.04%</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1,025,295.39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820,236.32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1,954,302.54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1,954,302.54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45,979,062.79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9,844,271.89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21.41%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94"/>
        <w:ind w:right="1133"/>
        <w:jc w:val="left"/>
      </w:pPr>
      <w:r>
        <w:rPr/>
        <w:t>不同组合的确定依据：</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852"/>
        <w:gridCol w:w="8798"/>
      </w:tblGrid>
      <w:tr>
        <w:trPr>
          <w:trHeight w:val="348" w:hRule="exact"/>
        </w:trPr>
        <w:tc>
          <w:tcPr>
            <w:tcW w:w="8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4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7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660"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87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40"/>
              <w:jc w:val="left"/>
              <w:rPr>
                <w:rFonts w:ascii="宋体" w:hAnsi="宋体" w:cs="宋体" w:eastAsia="宋体" w:hint="default"/>
                <w:sz w:val="18"/>
                <w:szCs w:val="18"/>
              </w:rPr>
            </w:pPr>
            <w:r>
              <w:rPr>
                <w:rFonts w:ascii="宋体" w:hAnsi="宋体" w:cs="宋体" w:eastAsia="宋体" w:hint="default"/>
                <w:sz w:val="18"/>
                <w:szCs w:val="18"/>
              </w:rPr>
              <w:t>根据以前年度与之相同或类似的、按账龄段划分的具有类似信用风险特征的应收款项组合的实际损失率为基础， 结合现实情况分析法对计算机及服务行业确定坏账准备计提的比例。</w:t>
            </w:r>
          </w:p>
        </w:tc>
      </w:tr>
      <w:tr>
        <w:trPr>
          <w:trHeight w:val="65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87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40"/>
              <w:jc w:val="left"/>
              <w:rPr>
                <w:rFonts w:ascii="宋体" w:hAnsi="宋体" w:cs="宋体" w:eastAsia="宋体" w:hint="default"/>
                <w:sz w:val="18"/>
                <w:szCs w:val="18"/>
              </w:rPr>
            </w:pPr>
            <w:r>
              <w:rPr>
                <w:rFonts w:ascii="宋体" w:hAnsi="宋体" w:cs="宋体" w:eastAsia="宋体" w:hint="default"/>
                <w:sz w:val="18"/>
                <w:szCs w:val="18"/>
              </w:rPr>
              <w:t>根据以前年度与之相同或类似的、按账龄段划分的具有类似信用风险特征的应收款项组合的实际损失率为基础， 结合现实情况分析法对商品批发行业确定坏账准备计提的比例。</w:t>
            </w:r>
          </w:p>
        </w:tc>
      </w:tr>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p>
        </w:tc>
        <w:tc>
          <w:tcPr>
            <w:tcW w:w="8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不存在减值风险，不计提坏账准备的应收款项组合。</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2"/>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552"/>
        <w:gridCol w:w="2269"/>
        <w:gridCol w:w="2127"/>
        <w:gridCol w:w="2127"/>
      </w:tblGrid>
      <w:tr>
        <w:trPr>
          <w:trHeight w:val="348" w:hRule="exact"/>
        </w:trPr>
        <w:tc>
          <w:tcPr>
            <w:tcW w:w="255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6522"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8" w:hRule="exact"/>
        </w:trPr>
        <w:tc>
          <w:tcPr>
            <w:tcW w:w="2552" w:type="dxa"/>
            <w:vMerge/>
            <w:tcBorders>
              <w:left w:val="single" w:sz="6" w:space="0" w:color="000000"/>
              <w:bottom w:val="single" w:sz="6" w:space="0" w:color="000000"/>
              <w:right w:val="single" w:sz="6" w:space="0" w:color="000000"/>
            </w:tcBorders>
            <w:shd w:val="clear" w:color="auto" w:fill="D9D9D9"/>
          </w:tcPr>
          <w:p>
            <w:pPr/>
          </w:p>
        </w:tc>
        <w:tc>
          <w:tcPr>
            <w:tcW w:w="22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677"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69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24"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6"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备用金组合</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306" w:right="0"/>
              <w:jc w:val="left"/>
              <w:rPr>
                <w:rFonts w:ascii="Times New Roman" w:hAnsi="Times New Roman" w:cs="Times New Roman" w:eastAsia="Times New Roman" w:hint="default"/>
                <w:sz w:val="18"/>
                <w:szCs w:val="18"/>
              </w:rPr>
            </w:pPr>
            <w:r>
              <w:rPr>
                <w:rFonts w:ascii="Times New Roman"/>
                <w:sz w:val="18"/>
              </w:rPr>
              <w:t>2,765,971.82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980" w:top="1100" w:bottom="1160" w:left="980" w:right="0"/>
        </w:sectPr>
      </w:pPr>
    </w:p>
    <w:p>
      <w:pPr>
        <w:pStyle w:val="Heading6"/>
        <w:spacing w:line="240" w:lineRule="auto" w:before="32"/>
        <w:ind w:left="592" w:right="-12" w:firstLine="0"/>
        <w:jc w:val="left"/>
      </w:pPr>
      <w:r>
        <w:rPr/>
        <w:t>注：备用金组合，预期不存在减值风险，不计提坏账准备。</w:t>
      </w:r>
    </w:p>
    <w:p>
      <w:pPr>
        <w:spacing w:before="95"/>
        <w:ind w:left="152" w:right="-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before="103"/>
        <w:ind w:left="152"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1,536,481.58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before="101"/>
        <w:ind w:left="152" w:right="-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460" w:space="2370"/>
            <w:col w:w="210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99,712.64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before="49"/>
        <w:ind w:left="152" w:right="-18"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5"/>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5"/>
            <w:col w:w="210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9,844,827.46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28,217,331.75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22,203,140.39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20,833,003.58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17,878,537.95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14,774,567.33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20,092,551.05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18,668,570.06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70,019,056.85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82,493,472.72</w:t>
            </w:r>
          </w:p>
        </w:tc>
      </w:tr>
    </w:tbl>
    <w:p>
      <w:pPr>
        <w:spacing w:before="49"/>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1"/>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20,092,551.05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28.70%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1,004,627.55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深圳市垅运照明电 器有限公司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0"/>
                <w:sz w:val="18"/>
                <w:szCs w:val="18"/>
              </w:rPr>
              <w:t>海淀区人民法院（南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京汇贤）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2,212,392.00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663,717.60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中国银联股份有限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北京市燕保投资有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26,954,943.05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5,063,345.15</w:t>
            </w:r>
          </w:p>
        </w:tc>
      </w:tr>
    </w:tbl>
    <w:p>
      <w:pPr>
        <w:spacing w:before="49"/>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3"/>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1274"/>
        <w:gridCol w:w="1419"/>
        <w:gridCol w:w="850"/>
        <w:gridCol w:w="4895"/>
      </w:tblGrid>
      <w:tr>
        <w:trPr>
          <w:trHeight w:val="716"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3" w:right="89" w:hanging="360"/>
              <w:jc w:val="left"/>
              <w:rPr>
                <w:rFonts w:ascii="宋体" w:hAnsi="宋体" w:cs="宋体" w:eastAsia="宋体" w:hint="default"/>
                <w:sz w:val="18"/>
                <w:szCs w:val="18"/>
              </w:rPr>
            </w:pPr>
            <w:r>
              <w:rPr>
                <w:rFonts w:ascii="宋体" w:hAnsi="宋体" w:cs="宋体" w:eastAsia="宋体" w:hint="default"/>
                <w:sz w:val="18"/>
                <w:szCs w:val="18"/>
              </w:rPr>
              <w:t>政府补助项目 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4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72" w:right="0"/>
              <w:jc w:val="left"/>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r>
        <w:trPr>
          <w:trHeight w:val="196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201"/>
              <w:jc w:val="left"/>
              <w:rPr>
                <w:rFonts w:ascii="宋体" w:hAnsi="宋体" w:cs="宋体" w:eastAsia="宋体" w:hint="default"/>
                <w:sz w:val="18"/>
                <w:szCs w:val="18"/>
              </w:rPr>
            </w:pPr>
            <w:r>
              <w:rPr>
                <w:rFonts w:ascii="宋体" w:hAnsi="宋体" w:cs="宋体" w:eastAsia="宋体" w:hint="default"/>
                <w:sz w:val="18"/>
                <w:szCs w:val="18"/>
              </w:rPr>
              <w:t>应收税务机 关退税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20,092,551.05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489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预计收取时间：</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日之前，金额：</w:t>
            </w:r>
            <w:r>
              <w:rPr>
                <w:rFonts w:ascii="Times New Roman" w:hAnsi="Times New Roman" w:cs="Times New Roman" w:eastAsia="Times New Roman" w:hint="default"/>
                <w:sz w:val="18"/>
                <w:szCs w:val="18"/>
              </w:rPr>
              <w:t>20,092,551.05 </w:t>
            </w:r>
            <w:r>
              <w:rPr>
                <w:rFonts w:ascii="宋体" w:hAnsi="宋体" w:cs="宋体" w:eastAsia="宋体" w:hint="default"/>
                <w:spacing w:val="-4"/>
                <w:sz w:val="18"/>
                <w:szCs w:val="18"/>
              </w:rPr>
              <w:t>元。依据：增值税返还系公司根据国务院</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国发</w:t>
            </w:r>
            <w:r>
              <w:rPr>
                <w:rFonts w:ascii="Times New Roman" w:hAnsi="Times New Roman" w:cs="Times New Roman" w:eastAsia="Times New Roman" w:hint="default"/>
                <w:spacing w:val="-4"/>
                <w:sz w:val="18"/>
                <w:szCs w:val="18"/>
              </w:rPr>
              <w:t>[2000]18</w:t>
            </w:r>
            <w:r>
              <w:rPr>
                <w:rFonts w:ascii="Times New Roman" w:hAnsi="Times New Roman" w:cs="Times New Roman" w:eastAsia="Times New Roman" w:hint="default"/>
                <w:spacing w:val="8"/>
                <w:sz w:val="18"/>
                <w:szCs w:val="18"/>
              </w:rPr>
              <w:t> </w:t>
            </w:r>
            <w:r>
              <w:rPr>
                <w:rFonts w:ascii="宋体" w:hAnsi="宋体" w:cs="宋体" w:eastAsia="宋体" w:hint="default"/>
                <w:spacing w:val="-14"/>
                <w:sz w:val="18"/>
                <w:szCs w:val="18"/>
              </w:rPr>
              <w:t>号</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《鼓</w:t>
            </w:r>
            <w:r>
              <w:rPr>
                <w:rFonts w:ascii="宋体" w:hAnsi="宋体" w:cs="宋体" w:eastAsia="宋体" w:hint="default"/>
                <w:spacing w:val="-88"/>
                <w:sz w:val="18"/>
                <w:szCs w:val="18"/>
              </w:rPr>
              <w:t> </w:t>
            </w:r>
            <w:r>
              <w:rPr>
                <w:rFonts w:ascii="宋体" w:hAnsi="宋体" w:cs="宋体" w:eastAsia="宋体" w:hint="default"/>
                <w:sz w:val="18"/>
                <w:szCs w:val="18"/>
              </w:rPr>
              <w:t>励软件产业和集成电路产业发展的若干政策》及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[2011]4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《关于印发进一步鼓励软件产业和集成电路产业发展若干 </w:t>
            </w:r>
            <w:r>
              <w:rPr>
                <w:rFonts w:ascii="宋体" w:hAnsi="宋体" w:cs="宋体" w:eastAsia="宋体" w:hint="default"/>
                <w:spacing w:val="-1"/>
                <w:sz w:val="18"/>
                <w:szCs w:val="18"/>
              </w:rPr>
              <w:t>政策的通知》的规定，报告期内应收到的自行开发软件销售增</w:t>
            </w:r>
            <w:r>
              <w:rPr>
                <w:rFonts w:ascii="宋体" w:hAnsi="宋体" w:cs="宋体" w:eastAsia="宋体" w:hint="default"/>
                <w:sz w:val="18"/>
                <w:szCs w:val="18"/>
              </w:rPr>
              <w:t> 值税退税收入。</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rFonts w:ascii="Times New Roman" w:hAnsi="Times New Roman" w:cs="Times New Roman" w:eastAsia="Times New Roman" w:hint="default"/>
        </w:rPr>
        <w:t>5</w:t>
      </w:r>
      <w:r>
        <w:rPr/>
        <w:t>、存货</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514"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2"/>
        <w:rPr>
          <w:rFonts w:ascii="宋体" w:hAnsi="宋体" w:cs="宋体" w:eastAsia="宋体" w:hint="default"/>
          <w:sz w:val="20"/>
          <w:szCs w:val="20"/>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4103"/>
        <w:gridCol w:w="4101"/>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216,788,391.45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9,282,736.72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207,505,654.73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156,721,440.40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6,908,639.77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149,812,800.63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4,159.28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4,159.28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4,225.32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4,225.32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在建系统集成项 目成本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19,346,959.01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2,163,436.77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17,183,522.24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17,735,672.32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1,412,076.44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16,323,595.88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108,056,534.24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219,927.62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107,836,606.62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105,416,891.88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105,416,891.88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344,196,043.98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11,666,101.11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332,529,942.87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279,878,229.92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8,320,716.21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271,557,513.71</w:t>
            </w:r>
          </w:p>
        </w:tc>
      </w:tr>
    </w:tbl>
    <w:p>
      <w:pPr>
        <w:spacing w:line="338" w:lineRule="auto" w:before="49"/>
        <w:ind w:left="152" w:right="247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40" w:lineRule="auto" w:before="43"/>
        <w:ind w:left="152" w:right="2752"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line="240" w:lineRule="auto" w:before="4"/>
        <w:rPr>
          <w:rFonts w:ascii="宋体" w:hAnsi="宋体" w:cs="宋体" w:eastAsia="宋体" w:hint="default"/>
          <w:sz w:val="21"/>
          <w:szCs w:val="21"/>
        </w:rPr>
      </w:pPr>
    </w:p>
    <w:p>
      <w:pPr>
        <w:pStyle w:val="Heading7"/>
        <w:spacing w:line="240" w:lineRule="auto"/>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6,908,639.77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3,340,660.26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966,563.31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9,282,736.72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在建系统集成项 目成本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1,412,076.44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2,014,407.01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1,263,046.68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2,163,436.77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219,927.62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219,927.62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8,320,716.21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5,574,994.89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2,229,609.99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11,666,101.11</w:t>
            </w:r>
          </w:p>
        </w:tc>
      </w:tr>
    </w:tbl>
    <w:p>
      <w:pPr>
        <w:spacing w:line="240" w:lineRule="auto" w:before="11"/>
        <w:rPr>
          <w:rFonts w:ascii="宋体" w:hAnsi="宋体" w:cs="宋体" w:eastAsia="宋体" w:hint="default"/>
          <w:sz w:val="23"/>
          <w:szCs w:val="23"/>
        </w:rPr>
      </w:pPr>
    </w:p>
    <w:tbl>
      <w:tblPr>
        <w:tblW w:w="0" w:type="auto"/>
        <w:jc w:val="left"/>
        <w:tblInd w:w="164" w:type="dxa"/>
        <w:tblLayout w:type="fixed"/>
        <w:tblCellMar>
          <w:top w:w="0" w:type="dxa"/>
          <w:left w:w="0" w:type="dxa"/>
          <w:bottom w:w="0" w:type="dxa"/>
          <w:right w:w="0" w:type="dxa"/>
        </w:tblCellMar>
        <w:tblLook w:val="01E0"/>
      </w:tblPr>
      <w:tblGrid>
        <w:gridCol w:w="2108"/>
        <w:gridCol w:w="4254"/>
        <w:gridCol w:w="3121"/>
      </w:tblGrid>
      <w:tr>
        <w:trPr>
          <w:trHeight w:val="334" w:hRule="exact"/>
        </w:trPr>
        <w:tc>
          <w:tcPr>
            <w:tcW w:w="21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2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确定可变现净值的具体依据</w:t>
            </w:r>
            <w:r>
              <w:rPr>
                <w:rFonts w:ascii="宋体" w:hAnsi="宋体" w:cs="宋体" w:eastAsia="宋体" w:hint="default"/>
                <w:sz w:val="18"/>
                <w:szCs w:val="18"/>
              </w:rPr>
            </w:r>
          </w:p>
        </w:tc>
        <w:tc>
          <w:tcPr>
            <w:tcW w:w="31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本年转回或转销原因</w:t>
            </w:r>
            <w:r>
              <w:rPr>
                <w:rFonts w:ascii="宋体" w:hAnsi="宋体" w:cs="宋体" w:eastAsia="宋体" w:hint="default"/>
                <w:sz w:val="18"/>
                <w:szCs w:val="18"/>
              </w:rPr>
            </w:r>
          </w:p>
        </w:tc>
      </w:tr>
      <w:tr>
        <w:trPr>
          <w:trHeight w:val="360" w:hRule="exact"/>
        </w:trPr>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估计售价减去预计的销售费用及相关税费</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对外销售</w:t>
            </w:r>
          </w:p>
        </w:tc>
      </w:tr>
      <w:tr>
        <w:trPr>
          <w:trHeight w:val="346" w:hRule="exact"/>
        </w:trPr>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在建系统集成项目成本</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项目预计收益扣除项目预计成本及费用</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对外销售</w:t>
            </w:r>
          </w:p>
        </w:tc>
      </w:tr>
      <w:tr>
        <w:trPr>
          <w:trHeight w:val="348" w:hRule="exact"/>
        </w:trPr>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估计售价减去预计的销售费用及相关税费</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7"/>
        <w:spacing w:line="240" w:lineRule="auto" w:before="121"/>
        <w:ind w:right="113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6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1133"/>
        <w:jc w:val="left"/>
        <w:rPr>
          <w:b w:val="0"/>
          <w:bCs w:val="0"/>
        </w:rPr>
      </w:pPr>
      <w:r>
        <w:rPr>
          <w:rFonts w:ascii="Times New Roman" w:hAnsi="Times New Roman" w:cs="Times New Roman" w:eastAsia="Times New Roman" w:hint="default"/>
        </w:rPr>
        <w:t>6</w:t>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254"/>
        <w:gridCol w:w="2835"/>
        <w:gridCol w:w="2482"/>
      </w:tblGrid>
      <w:tr>
        <w:trPr>
          <w:trHeight w:val="403"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1,467,680,000.00</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22,010,477.91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16,256,794.34</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留抵进项税</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10,472,476.25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6,379,688.62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3,493,007.95</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13,784,401.97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31,175,912.67</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13,941.83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600,638.78</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231,560,986.58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1,519,206,353.74</w:t>
            </w:r>
          </w:p>
        </w:tc>
      </w:tr>
    </w:tbl>
    <w:p>
      <w:pPr>
        <w:spacing w:line="360"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7</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9"/>
        <w:gridCol w:w="1207"/>
        <w:gridCol w:w="1198"/>
        <w:gridCol w:w="1196"/>
        <w:gridCol w:w="1248"/>
        <w:gridCol w:w="1368"/>
        <w:gridCol w:w="1366"/>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6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00"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7,121,084.10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3,914,428.31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3,206,655.79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66,158,914.48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3,014,428.31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63,144,486.17</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7,121,084.10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3,914,428.31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3,206,655.79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66,158,914.48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3,014,428.31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63,144,486.17</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7,121,084.10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3,914,428.31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3,206,655.79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66,158,914.48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3,014,428.31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63,144,486.17</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2"/>
        <w:gridCol w:w="869"/>
        <w:gridCol w:w="871"/>
        <w:gridCol w:w="869"/>
        <w:gridCol w:w="871"/>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5"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汕头华汕 电子器件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3,759,690.85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3,759,690.85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2,547,720.70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2,547,720.70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1.85%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深圳京宝 实业有限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300,000.00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300,000.00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7"/>
                <w:sz w:val="18"/>
              </w:rPr>
              <w:t>59.96%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2"/>
        <w:gridCol w:w="869"/>
        <w:gridCol w:w="871"/>
        <w:gridCol w:w="869"/>
        <w:gridCol w:w="871"/>
      </w:tblGrid>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天津市房 地产发展</w:t>
            </w:r>
          </w:p>
          <w:p>
            <w:pPr>
              <w:pStyle w:val="TableParagraph"/>
              <w:spacing w:line="316" w:lineRule="auto" w:before="17"/>
              <w:ind w:left="24" w:right="108"/>
              <w:jc w:val="both"/>
              <w:rPr>
                <w:rFonts w:ascii="宋体" w:hAnsi="宋体" w:cs="宋体" w:eastAsia="宋体" w:hint="default"/>
                <w:sz w:val="18"/>
                <w:szCs w:val="18"/>
              </w:rPr>
            </w:pPr>
            <w:r>
              <w:rPr>
                <w:rFonts w:ascii="宋体" w:hAnsi="宋体" w:cs="宋体" w:eastAsia="宋体" w:hint="default"/>
                <w:sz w:val="18"/>
                <w:szCs w:val="18"/>
              </w:rPr>
              <w:t>（集团）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166,707.61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166,707.61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166,707.61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166,707.61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73" w:right="-2"/>
              <w:jc w:val="left"/>
              <w:rPr>
                <w:rFonts w:ascii="Times New Roman" w:hAnsi="Times New Roman" w:cs="Times New Roman" w:eastAsia="Times New Roman" w:hint="default"/>
                <w:sz w:val="18"/>
                <w:szCs w:val="18"/>
              </w:rPr>
            </w:pPr>
            <w:r>
              <w:rPr>
                <w:rFonts w:ascii="Times New Roman"/>
                <w:spacing w:val="-16"/>
                <w:sz w:val="18"/>
              </w:rPr>
              <w:t>0.01%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上海鸿鹊 信息科技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4,000,000.00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4,000,000.00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03" w:right="-2"/>
              <w:jc w:val="left"/>
              <w:rPr>
                <w:rFonts w:ascii="Times New Roman" w:hAnsi="Times New Roman" w:cs="Times New Roman" w:eastAsia="Times New Roman" w:hint="default"/>
                <w:sz w:val="18"/>
                <w:szCs w:val="18"/>
              </w:rPr>
            </w:pPr>
            <w:r>
              <w:rPr>
                <w:rFonts w:ascii="Times New Roman"/>
                <w:spacing w:val="-17"/>
                <w:sz w:val="18"/>
              </w:rPr>
              <w:t>20.00%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04"/>
              <w:jc w:val="left"/>
              <w:rPr>
                <w:rFonts w:ascii="Times New Roman" w:hAnsi="Times New Roman" w:cs="Times New Roman" w:eastAsia="Times New Roman" w:hint="default"/>
                <w:sz w:val="18"/>
                <w:szCs w:val="18"/>
              </w:rPr>
            </w:pPr>
            <w:r>
              <w:rPr>
                <w:rFonts w:ascii="Times New Roman"/>
                <w:sz w:val="18"/>
              </w:rPr>
              <w:t>Stay</w:t>
            </w:r>
            <w:r>
              <w:rPr>
                <w:rFonts w:ascii="Times New Roman"/>
                <w:spacing w:val="-5"/>
                <w:sz w:val="18"/>
              </w:rPr>
              <w:t> </w:t>
            </w:r>
            <w:r>
              <w:rPr>
                <w:rFonts w:ascii="Times New Roman"/>
                <w:sz w:val="18"/>
              </w:rPr>
              <w:t>N</w:t>
            </w:r>
            <w:r>
              <w:rPr>
                <w:rFonts w:ascii="Times New Roman"/>
                <w:w w:val="99"/>
                <w:sz w:val="18"/>
              </w:rPr>
              <w:t> </w:t>
            </w:r>
            <w:r>
              <w:rPr>
                <w:rFonts w:ascii="Times New Roman"/>
                <w:spacing w:val="-3"/>
                <w:sz w:val="18"/>
              </w:rPr>
              <w:t>Touch</w:t>
            </w:r>
            <w:r>
              <w:rPr>
                <w:rFonts w:ascii="Times New Roman"/>
                <w:spacing w:val="4"/>
                <w:sz w:val="18"/>
              </w:rPr>
              <w:t> </w:t>
            </w:r>
            <w:r>
              <w:rPr>
                <w:rFonts w:ascii="Times New Roman"/>
                <w:sz w:val="18"/>
              </w:rPr>
              <w:t>Inc</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31,795,716.02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31,795,716.02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3" w:right="-2"/>
              <w:jc w:val="left"/>
              <w:rPr>
                <w:rFonts w:ascii="Times New Roman" w:hAnsi="Times New Roman" w:cs="Times New Roman" w:eastAsia="Times New Roman" w:hint="default"/>
                <w:sz w:val="18"/>
                <w:szCs w:val="18"/>
              </w:rPr>
            </w:pPr>
            <w:r>
              <w:rPr>
                <w:rFonts w:ascii="Times New Roman"/>
                <w:spacing w:val="-17"/>
                <w:sz w:val="18"/>
              </w:rPr>
              <w:t>15.00%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318"/>
              <w:jc w:val="left"/>
              <w:rPr>
                <w:rFonts w:ascii="Times New Roman" w:hAnsi="Times New Roman" w:cs="Times New Roman" w:eastAsia="Times New Roman" w:hint="default"/>
                <w:sz w:val="18"/>
                <w:szCs w:val="18"/>
              </w:rPr>
            </w:pPr>
            <w:r>
              <w:rPr>
                <w:rFonts w:ascii="Times New Roman"/>
                <w:sz w:val="18"/>
              </w:rPr>
              <w:t>Kalibri Labs</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26,136,800.00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26,136,800.00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3" w:right="-2"/>
              <w:jc w:val="left"/>
              <w:rPr>
                <w:rFonts w:ascii="Times New Roman" w:hAnsi="Times New Roman" w:cs="Times New Roman" w:eastAsia="Times New Roman" w:hint="default"/>
                <w:sz w:val="18"/>
                <w:szCs w:val="18"/>
              </w:rPr>
            </w:pPr>
            <w:r>
              <w:rPr>
                <w:rFonts w:ascii="Times New Roman"/>
                <w:spacing w:val="-17"/>
                <w:sz w:val="18"/>
              </w:rPr>
              <w:t>12.00%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59"/>
              <w:jc w:val="left"/>
              <w:rPr>
                <w:rFonts w:ascii="Times New Roman" w:hAnsi="Times New Roman" w:cs="Times New Roman" w:eastAsia="Times New Roman" w:hint="default"/>
                <w:sz w:val="18"/>
                <w:szCs w:val="18"/>
              </w:rPr>
            </w:pPr>
            <w:r>
              <w:rPr>
                <w:rFonts w:ascii="Times New Roman"/>
                <w:spacing w:val="-2"/>
                <w:sz w:val="18"/>
              </w:rPr>
              <w:t>Techtalk.tr</w:t>
            </w:r>
            <w:r>
              <w:rPr>
                <w:rFonts w:ascii="Times New Roman"/>
                <w:spacing w:val="-40"/>
                <w:sz w:val="18"/>
              </w:rPr>
              <w:t> </w:t>
            </w:r>
            <w:r>
              <w:rPr>
                <w:rFonts w:ascii="Times New Roman"/>
                <w:spacing w:val="-40"/>
                <w:sz w:val="18"/>
              </w:rPr>
            </w:r>
            <w:r>
              <w:rPr>
                <w:rFonts w:ascii="Times New Roman"/>
                <w:sz w:val="18"/>
              </w:rPr>
              <w:t>avel</w:t>
            </w:r>
            <w:r>
              <w:rPr>
                <w:rFonts w:ascii="Times New Roman"/>
                <w:sz w:val="18"/>
              </w:rPr>
              <w:t> GmbH</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1,994,685.64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1,994,685.64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3" w:right="-2"/>
              <w:jc w:val="left"/>
              <w:rPr>
                <w:rFonts w:ascii="Times New Roman" w:hAnsi="Times New Roman" w:cs="Times New Roman" w:eastAsia="Times New Roman" w:hint="default"/>
                <w:sz w:val="18"/>
                <w:szCs w:val="18"/>
              </w:rPr>
            </w:pPr>
            <w:r>
              <w:rPr>
                <w:rFonts w:ascii="Times New Roman"/>
                <w:spacing w:val="-17"/>
                <w:sz w:val="18"/>
              </w:rPr>
              <w:t>20.00%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央联一家</w:t>
            </w:r>
          </w:p>
          <w:p>
            <w:pPr>
              <w:pStyle w:val="TableParagraph"/>
              <w:spacing w:line="316" w:lineRule="auto" w:before="74"/>
              <w:ind w:left="24" w:right="108"/>
              <w:jc w:val="both"/>
              <w:rPr>
                <w:rFonts w:ascii="宋体" w:hAnsi="宋体" w:cs="宋体" w:eastAsia="宋体" w:hint="default"/>
                <w:sz w:val="18"/>
                <w:szCs w:val="18"/>
              </w:rPr>
            </w:pPr>
            <w:r>
              <w:rPr>
                <w:rFonts w:ascii="宋体" w:hAnsi="宋体" w:cs="宋体" w:eastAsia="宋体" w:hint="default"/>
                <w:sz w:val="18"/>
                <w:szCs w:val="18"/>
              </w:rPr>
              <w:t>（北京） 电子商务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03" w:right="-2"/>
              <w:jc w:val="left"/>
              <w:rPr>
                <w:rFonts w:ascii="Times New Roman" w:hAnsi="Times New Roman" w:cs="Times New Roman" w:eastAsia="Times New Roman" w:hint="default"/>
                <w:sz w:val="18"/>
                <w:szCs w:val="18"/>
              </w:rPr>
            </w:pPr>
            <w:r>
              <w:rPr>
                <w:rFonts w:ascii="Times New Roman"/>
                <w:spacing w:val="-17"/>
                <w:sz w:val="18"/>
              </w:rPr>
              <w:t>90.00%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66,158,914.48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2,894,685.64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61,932,516.02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7,121,084.10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3,014,428.31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900,000.00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3,914,428.31</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pacing w:val="-20"/>
                <w:sz w:val="18"/>
              </w:rPr>
              <w:t>--</w:t>
            </w:r>
            <w:r>
              <w:rPr>
                <w:rFonts w:ascii="Times New Roman"/>
                <w:sz w:val="18"/>
              </w:rPr>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6"/>
        <w:spacing w:line="259" w:lineRule="auto" w:before="85"/>
        <w:ind w:right="1128"/>
        <w:jc w:val="both"/>
      </w:pPr>
      <w:r>
        <w:rPr/>
        <w:t>注</w:t>
      </w:r>
      <w:r>
        <w:rPr>
          <w:rFonts w:ascii="宋体" w:hAnsi="宋体" w:cs="宋体" w:eastAsia="宋体" w:hint="default"/>
        </w:rPr>
        <w:t>:</w:t>
      </w:r>
      <w:r>
        <w:rPr>
          <w:rFonts w:ascii="宋体" w:hAnsi="宋体" w:cs="宋体" w:eastAsia="宋体" w:hint="default"/>
          <w:spacing w:val="-41"/>
        </w:rPr>
        <w:t> </w:t>
      </w:r>
      <w:r>
        <w:rPr/>
        <w:t>央联一家（北京）电子商务公司（以下简称央联一家）由宝库在线公司和海禾央联</w:t>
      </w:r>
      <w:r>
        <w:rPr>
          <w:rFonts w:ascii="宋体" w:hAnsi="宋体" w:cs="宋体" w:eastAsia="宋体" w:hint="default"/>
        </w:rPr>
        <w:t>(</w:t>
      </w:r>
      <w:r>
        <w:rPr/>
        <w:t>北京</w:t>
      </w:r>
      <w:r>
        <w:rPr>
          <w:rFonts w:ascii="宋体" w:hAnsi="宋体" w:cs="宋体" w:eastAsia="宋体" w:hint="default"/>
        </w:rPr>
        <w:t>)</w:t>
      </w:r>
      <w:r>
        <w:rPr/>
        <w:t>科</w:t>
      </w:r>
      <w:r>
        <w:rPr>
          <w:w w:val="100"/>
        </w:rPr>
        <w:t> </w:t>
      </w:r>
      <w:r>
        <w:rPr>
          <w:spacing w:val="-2"/>
        </w:rPr>
        <w:t>贸有限责任公司（以下简称海禾央联）于</w:t>
      </w:r>
      <w:r>
        <w:rPr>
          <w:rFonts w:ascii="宋体" w:hAnsi="宋体" w:cs="宋体" w:eastAsia="宋体" w:hint="default"/>
          <w:spacing w:val="-2"/>
        </w:rPr>
        <w:t>2014</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20</w:t>
      </w:r>
      <w:r>
        <w:rPr>
          <w:spacing w:val="-2"/>
        </w:rPr>
        <w:t>日设立，股权占比</w:t>
      </w:r>
      <w:r>
        <w:rPr>
          <w:rFonts w:ascii="宋体" w:hAnsi="宋体" w:cs="宋体" w:eastAsia="宋体" w:hint="default"/>
          <w:spacing w:val="-2"/>
        </w:rPr>
        <w:t>90%</w:t>
      </w:r>
      <w:r>
        <w:rPr>
          <w:spacing w:val="-2"/>
        </w:rPr>
        <w:t>，宝库在线公司及北海石</w:t>
      </w:r>
      <w:r>
        <w:rPr>
          <w:spacing w:val="-62"/>
        </w:rPr>
        <w:t> </w:t>
      </w:r>
      <w:r>
        <w:rPr>
          <w:spacing w:val="-62"/>
        </w:rPr>
      </w:r>
      <w:r>
        <w:rPr>
          <w:spacing w:val="-2"/>
        </w:rPr>
        <w:t>基公司均不能对其实施控制，历史上亦未获得经营与财务数据。根据宝库在线与北海石基公司的投资</w:t>
      </w:r>
      <w:r>
        <w:rPr>
          <w:spacing w:val="-70"/>
        </w:rPr>
        <w:t> </w:t>
      </w:r>
      <w:r>
        <w:rPr>
          <w:spacing w:val="-70"/>
        </w:rPr>
      </w:r>
      <w:r>
        <w:rPr/>
        <w:t>协议，宝库在线公司须剥离该部分股权，但截止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日尚未剥离完成。</w:t>
      </w:r>
    </w:p>
    <w:p>
      <w:pPr>
        <w:spacing w:line="240" w:lineRule="auto" w:before="2"/>
        <w:rPr>
          <w:rFonts w:ascii="宋体" w:hAnsi="宋体" w:cs="宋体" w:eastAsia="宋体" w:hint="default"/>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4"/>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4"/>
        <w:gridCol w:w="2279"/>
        <w:gridCol w:w="2127"/>
        <w:gridCol w:w="2129"/>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3,014,428.31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3,014,428.31</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900,000.00</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其中：从其他综合收益转入</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其中：期后公允价值回升转回</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3,914,428.31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3,914,428.31</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rFonts w:ascii="Times New Roman" w:hAnsi="Times New Roman" w:cs="Times New Roman" w:eastAsia="Times New Roman" w:hint="default"/>
        </w:rPr>
        <w:t>8</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67"/>
        <w:gridCol w:w="852"/>
        <w:gridCol w:w="850"/>
        <w:gridCol w:w="920"/>
        <w:gridCol w:w="924"/>
        <w:gridCol w:w="852"/>
        <w:gridCol w:w="850"/>
        <w:gridCol w:w="850"/>
        <w:gridCol w:w="516"/>
        <w:gridCol w:w="797"/>
        <w:gridCol w:w="956"/>
        <w:gridCol w:w="641"/>
      </w:tblGrid>
      <w:tr>
        <w:trPr>
          <w:trHeight w:val="402" w:hRule="exact"/>
        </w:trPr>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139" w:right="24" w:hanging="70"/>
              <w:jc w:val="left"/>
              <w:rPr>
                <w:rFonts w:ascii="宋体" w:hAnsi="宋体" w:cs="宋体" w:eastAsia="宋体" w:hint="default"/>
                <w:sz w:val="18"/>
                <w:szCs w:val="18"/>
              </w:rPr>
            </w:pPr>
            <w:r>
              <w:rPr>
                <w:rFonts w:ascii="宋体" w:hAnsi="宋体" w:cs="宋体" w:eastAsia="宋体" w:hint="default"/>
                <w:spacing w:val="-27"/>
                <w:sz w:val="18"/>
                <w:szCs w:val="18"/>
              </w:rPr>
              <w:t>被投资</w:t>
            </w:r>
            <w:r>
              <w:rPr>
                <w:rFonts w:ascii="宋体" w:hAnsi="宋体" w:cs="宋体" w:eastAsia="宋体" w:hint="default"/>
                <w:sz w:val="18"/>
                <w:szCs w:val="18"/>
              </w:rPr>
              <w:t> </w:t>
            </w:r>
            <w:r>
              <w:rPr>
                <w:rFonts w:ascii="宋体" w:hAnsi="宋体" w:cs="宋体" w:eastAsia="宋体" w:hint="default"/>
                <w:spacing w:val="-39"/>
                <w:sz w:val="18"/>
                <w:szCs w:val="18"/>
              </w:rPr>
              <w:t>单位</w:t>
            </w:r>
            <w:r>
              <w:rPr>
                <w:rFonts w:ascii="宋体" w:hAnsi="宋体" w:cs="宋体" w:eastAsia="宋体" w:hint="default"/>
                <w:sz w:val="18"/>
                <w:szCs w:val="18"/>
              </w:rPr>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141" w:right="0"/>
              <w:jc w:val="left"/>
              <w:rPr>
                <w:rFonts w:ascii="宋体" w:hAnsi="宋体" w:cs="宋体" w:eastAsia="宋体" w:hint="default"/>
                <w:sz w:val="18"/>
                <w:szCs w:val="18"/>
              </w:rPr>
            </w:pPr>
            <w:r>
              <w:rPr>
                <w:rFonts w:ascii="宋体" w:hAnsi="宋体" w:cs="宋体" w:eastAsia="宋体" w:hint="default"/>
                <w:spacing w:val="-31"/>
                <w:sz w:val="18"/>
                <w:szCs w:val="18"/>
              </w:rPr>
              <w:t>期初余额</w:t>
            </w:r>
          </w:p>
        </w:tc>
        <w:tc>
          <w:tcPr>
            <w:tcW w:w="655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center"/>
              <w:rPr>
                <w:rFonts w:ascii="宋体" w:hAnsi="宋体" w:cs="宋体" w:eastAsia="宋体" w:hint="default"/>
                <w:sz w:val="18"/>
                <w:szCs w:val="18"/>
              </w:rPr>
            </w:pPr>
            <w:r>
              <w:rPr>
                <w:rFonts w:ascii="宋体" w:hAnsi="宋体" w:cs="宋体" w:eastAsia="宋体" w:hint="default"/>
                <w:spacing w:val="-34"/>
                <w:sz w:val="18"/>
                <w:szCs w:val="18"/>
              </w:rPr>
              <w:t>本期增减变动</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194" w:right="0"/>
              <w:jc w:val="left"/>
              <w:rPr>
                <w:rFonts w:ascii="宋体" w:hAnsi="宋体" w:cs="宋体" w:eastAsia="宋体" w:hint="default"/>
                <w:sz w:val="18"/>
                <w:szCs w:val="18"/>
              </w:rPr>
            </w:pPr>
            <w:r>
              <w:rPr>
                <w:rFonts w:ascii="宋体" w:hAnsi="宋体" w:cs="宋体" w:eastAsia="宋体" w:hint="default"/>
                <w:spacing w:val="-31"/>
                <w:sz w:val="18"/>
                <w:szCs w:val="18"/>
              </w:rPr>
              <w:t>期末余额</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35" w:right="-5"/>
              <w:jc w:val="left"/>
              <w:rPr>
                <w:rFonts w:ascii="宋体" w:hAnsi="宋体" w:cs="宋体" w:eastAsia="宋体" w:hint="default"/>
                <w:sz w:val="18"/>
                <w:szCs w:val="18"/>
              </w:rPr>
            </w:pPr>
            <w:r>
              <w:rPr>
                <w:rFonts w:ascii="宋体" w:hAnsi="宋体" w:cs="宋体" w:eastAsia="宋体" w:hint="default"/>
                <w:spacing w:val="-31"/>
                <w:sz w:val="18"/>
                <w:szCs w:val="18"/>
              </w:rPr>
              <w:t>减值准备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期末余额</w:t>
            </w:r>
          </w:p>
        </w:tc>
      </w:tr>
      <w:tr>
        <w:trPr>
          <w:trHeight w:val="1026" w:hRule="exact"/>
        </w:trPr>
        <w:tc>
          <w:tcPr>
            <w:tcW w:w="567"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41" w:right="0"/>
              <w:jc w:val="left"/>
              <w:rPr>
                <w:rFonts w:ascii="宋体" w:hAnsi="宋体" w:cs="宋体" w:eastAsia="宋体" w:hint="default"/>
                <w:sz w:val="18"/>
                <w:szCs w:val="18"/>
              </w:rPr>
            </w:pPr>
            <w:r>
              <w:rPr>
                <w:rFonts w:ascii="宋体" w:hAnsi="宋体" w:cs="宋体" w:eastAsia="宋体" w:hint="default"/>
                <w:spacing w:val="-31"/>
                <w:sz w:val="18"/>
                <w:szCs w:val="18"/>
              </w:rPr>
              <w:t>追加投资</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75" w:right="0"/>
              <w:jc w:val="left"/>
              <w:rPr>
                <w:rFonts w:ascii="宋体" w:hAnsi="宋体" w:cs="宋体" w:eastAsia="宋体" w:hint="default"/>
                <w:sz w:val="18"/>
                <w:szCs w:val="18"/>
              </w:rPr>
            </w:pPr>
            <w:r>
              <w:rPr>
                <w:rFonts w:ascii="宋体" w:hAnsi="宋体" w:cs="宋体" w:eastAsia="宋体" w:hint="default"/>
                <w:spacing w:val="-31"/>
                <w:sz w:val="18"/>
                <w:szCs w:val="18"/>
              </w:rPr>
              <w:t>减少投资</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105" w:right="-3" w:hanging="70"/>
              <w:jc w:val="left"/>
              <w:rPr>
                <w:rFonts w:ascii="宋体" w:hAnsi="宋体" w:cs="宋体" w:eastAsia="宋体" w:hint="default"/>
                <w:sz w:val="18"/>
                <w:szCs w:val="18"/>
              </w:rPr>
            </w:pPr>
            <w:r>
              <w:rPr>
                <w:rFonts w:ascii="宋体" w:hAnsi="宋体" w:cs="宋体" w:eastAsia="宋体" w:hint="default"/>
                <w:spacing w:val="-34"/>
                <w:sz w:val="18"/>
                <w:szCs w:val="18"/>
              </w:rPr>
              <w:t>权益法下确认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2"/>
                <w:sz w:val="18"/>
                <w:szCs w:val="18"/>
              </w:rPr>
              <w:t>的投资损益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11" w:right="29" w:hanging="142"/>
              <w:jc w:val="left"/>
              <w:rPr>
                <w:rFonts w:ascii="宋体" w:hAnsi="宋体" w:cs="宋体" w:eastAsia="宋体" w:hint="default"/>
                <w:sz w:val="18"/>
                <w:szCs w:val="18"/>
              </w:rPr>
            </w:pPr>
            <w:r>
              <w:rPr>
                <w:rFonts w:ascii="宋体" w:hAnsi="宋体" w:cs="宋体" w:eastAsia="宋体" w:hint="default"/>
                <w:spacing w:val="-32"/>
                <w:sz w:val="18"/>
                <w:szCs w:val="18"/>
              </w:rPr>
              <w:t>其他综合收</w:t>
            </w:r>
            <w:r>
              <w:rPr>
                <w:rFonts w:ascii="宋体" w:hAnsi="宋体" w:cs="宋体" w:eastAsia="宋体" w:hint="default"/>
                <w:sz w:val="18"/>
                <w:szCs w:val="18"/>
              </w:rPr>
              <w:t> </w:t>
            </w:r>
            <w:r>
              <w:rPr>
                <w:rFonts w:ascii="宋体" w:hAnsi="宋体" w:cs="宋体" w:eastAsia="宋体" w:hint="default"/>
                <w:spacing w:val="-27"/>
                <w:sz w:val="18"/>
                <w:szCs w:val="18"/>
              </w:rPr>
              <w:t>益调整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350" w:right="27" w:hanging="281"/>
              <w:jc w:val="left"/>
              <w:rPr>
                <w:rFonts w:ascii="宋体" w:hAnsi="宋体" w:cs="宋体" w:eastAsia="宋体" w:hint="default"/>
                <w:sz w:val="18"/>
                <w:szCs w:val="18"/>
              </w:rPr>
            </w:pPr>
            <w:r>
              <w:rPr>
                <w:rFonts w:ascii="宋体" w:hAnsi="宋体" w:cs="宋体" w:eastAsia="宋体" w:hint="default"/>
                <w:spacing w:val="-32"/>
                <w:sz w:val="18"/>
                <w:szCs w:val="18"/>
              </w:rPr>
              <w:t>其他权益变</w:t>
            </w:r>
            <w:r>
              <w:rPr>
                <w:rFonts w:ascii="宋体" w:hAnsi="宋体" w:cs="宋体" w:eastAsia="宋体" w:hint="default"/>
                <w:sz w:val="18"/>
                <w:szCs w:val="18"/>
              </w:rPr>
              <w:t> 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26"/>
              <w:jc w:val="center"/>
              <w:rPr>
                <w:rFonts w:ascii="宋体" w:hAnsi="宋体" w:cs="宋体" w:eastAsia="宋体" w:hint="default"/>
                <w:sz w:val="18"/>
                <w:szCs w:val="18"/>
              </w:rPr>
            </w:pPr>
            <w:r>
              <w:rPr>
                <w:rFonts w:ascii="宋体" w:hAnsi="宋体" w:cs="宋体" w:eastAsia="宋体" w:hint="default"/>
                <w:spacing w:val="-32"/>
                <w:sz w:val="18"/>
                <w:szCs w:val="18"/>
              </w:rPr>
              <w:t>宣告发放现</w:t>
            </w:r>
            <w:r>
              <w:rPr>
                <w:rFonts w:ascii="宋体" w:hAnsi="宋体" w:cs="宋体" w:eastAsia="宋体" w:hint="default"/>
                <w:sz w:val="18"/>
                <w:szCs w:val="18"/>
              </w:rPr>
              <w:t> </w:t>
            </w:r>
            <w:r>
              <w:rPr>
                <w:rFonts w:ascii="宋体" w:hAnsi="宋体" w:cs="宋体" w:eastAsia="宋体" w:hint="default"/>
                <w:spacing w:val="-32"/>
                <w:sz w:val="18"/>
                <w:szCs w:val="18"/>
              </w:rPr>
              <w:t>金股利或利</w:t>
            </w:r>
            <w:r>
              <w:rPr>
                <w:rFonts w:ascii="宋体" w:hAnsi="宋体" w:cs="宋体" w:eastAsia="宋体" w:hint="default"/>
                <w:sz w:val="18"/>
                <w:szCs w:val="18"/>
              </w:rPr>
              <w:t> 润</w:t>
            </w:r>
          </w:p>
        </w:tc>
        <w:tc>
          <w:tcPr>
            <w:tcW w:w="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43" w:right="0"/>
              <w:jc w:val="left"/>
              <w:rPr>
                <w:rFonts w:ascii="宋体" w:hAnsi="宋体" w:cs="宋体" w:eastAsia="宋体" w:hint="default"/>
                <w:sz w:val="18"/>
                <w:szCs w:val="18"/>
              </w:rPr>
            </w:pPr>
            <w:r>
              <w:rPr>
                <w:rFonts w:ascii="宋体" w:hAnsi="宋体" w:cs="宋体" w:eastAsia="宋体" w:hint="default"/>
                <w:spacing w:val="-27"/>
                <w:sz w:val="18"/>
                <w:szCs w:val="18"/>
              </w:rPr>
              <w:t>计提减</w:t>
            </w:r>
            <w:r>
              <w:rPr>
                <w:rFonts w:ascii="宋体" w:hAnsi="宋体" w:cs="宋体" w:eastAsia="宋体" w:hint="default"/>
                <w:sz w:val="18"/>
                <w:szCs w:val="18"/>
              </w:rPr>
              <w:t> </w:t>
            </w:r>
            <w:r>
              <w:rPr>
                <w:rFonts w:ascii="宋体" w:hAnsi="宋体" w:cs="宋体" w:eastAsia="宋体" w:hint="default"/>
                <w:spacing w:val="-27"/>
                <w:sz w:val="18"/>
                <w:szCs w:val="18"/>
              </w:rPr>
              <w:t>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54" w:right="0"/>
              <w:jc w:val="left"/>
              <w:rPr>
                <w:rFonts w:ascii="宋体" w:hAnsi="宋体" w:cs="宋体" w:eastAsia="宋体" w:hint="default"/>
                <w:sz w:val="18"/>
                <w:szCs w:val="18"/>
              </w:rPr>
            </w:pPr>
            <w:r>
              <w:rPr>
                <w:rFonts w:ascii="宋体" w:hAnsi="宋体" w:cs="宋体" w:eastAsia="宋体" w:hint="default"/>
                <w:spacing w:val="-39"/>
                <w:sz w:val="18"/>
                <w:szCs w:val="18"/>
              </w:rPr>
              <w:t>其他</w:t>
            </w:r>
            <w:r>
              <w:rPr>
                <w:rFonts w:ascii="宋体" w:hAnsi="宋体" w:cs="宋体" w:eastAsia="宋体" w:hint="default"/>
                <w:sz w:val="18"/>
                <w:szCs w:val="18"/>
              </w:rPr>
            </w:r>
          </w:p>
        </w:tc>
        <w:tc>
          <w:tcPr>
            <w:tcW w:w="956"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4"/>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34"/>
                <w:sz w:val="18"/>
                <w:szCs w:val="18"/>
              </w:rPr>
              <w:t>二、联营企业</w:t>
            </w:r>
          </w:p>
        </w:tc>
      </w:tr>
      <w:tr>
        <w:trPr>
          <w:trHeight w:val="1649"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both"/>
              <w:rPr>
                <w:rFonts w:ascii="宋体" w:hAnsi="宋体" w:cs="宋体" w:eastAsia="宋体" w:hint="default"/>
                <w:sz w:val="18"/>
                <w:szCs w:val="18"/>
              </w:rPr>
            </w:pPr>
            <w:r>
              <w:rPr>
                <w:rFonts w:ascii="宋体" w:hAnsi="宋体" w:cs="宋体" w:eastAsia="宋体" w:hint="default"/>
                <w:spacing w:val="-27"/>
                <w:sz w:val="18"/>
                <w:szCs w:val="18"/>
              </w:rPr>
              <w:t>浙江未</w:t>
            </w:r>
            <w:r>
              <w:rPr>
                <w:rFonts w:ascii="宋体" w:hAnsi="宋体" w:cs="宋体" w:eastAsia="宋体" w:hint="default"/>
                <w:sz w:val="18"/>
                <w:szCs w:val="18"/>
              </w:rPr>
              <w:t> </w:t>
            </w:r>
            <w:r>
              <w:rPr>
                <w:rFonts w:ascii="宋体" w:hAnsi="宋体" w:cs="宋体" w:eastAsia="宋体" w:hint="default"/>
                <w:spacing w:val="-27"/>
                <w:sz w:val="18"/>
                <w:szCs w:val="18"/>
              </w:rPr>
              <w:t>来酒店</w:t>
            </w:r>
            <w:r>
              <w:rPr>
                <w:rFonts w:ascii="宋体" w:hAnsi="宋体" w:cs="宋体" w:eastAsia="宋体" w:hint="default"/>
                <w:sz w:val="18"/>
                <w:szCs w:val="18"/>
              </w:rPr>
              <w:t> </w:t>
            </w:r>
            <w:r>
              <w:rPr>
                <w:rFonts w:ascii="宋体" w:hAnsi="宋体" w:cs="宋体" w:eastAsia="宋体" w:hint="default"/>
                <w:spacing w:val="-27"/>
                <w:sz w:val="18"/>
                <w:szCs w:val="18"/>
              </w:rPr>
              <w:t>网络技</w:t>
            </w:r>
            <w:r>
              <w:rPr>
                <w:rFonts w:ascii="宋体" w:hAnsi="宋体" w:cs="宋体" w:eastAsia="宋体" w:hint="default"/>
                <w:sz w:val="18"/>
                <w:szCs w:val="18"/>
              </w:rPr>
              <w:t> </w:t>
            </w:r>
            <w:r>
              <w:rPr>
                <w:rFonts w:ascii="宋体" w:hAnsi="宋体" w:cs="宋体" w:eastAsia="宋体" w:hint="default"/>
                <w:spacing w:val="-27"/>
                <w:sz w:val="18"/>
                <w:szCs w:val="18"/>
              </w:rPr>
              <w:t>术有限</w:t>
            </w:r>
            <w:r>
              <w:rPr>
                <w:rFonts w:ascii="宋体" w:hAnsi="宋体" w:cs="宋体" w:eastAsia="宋体" w:hint="default"/>
                <w:sz w:val="18"/>
                <w:szCs w:val="18"/>
              </w:rPr>
              <w:t> </w:t>
            </w:r>
            <w:r>
              <w:rPr>
                <w:rFonts w:ascii="宋体" w:hAnsi="宋体" w:cs="宋体" w:eastAsia="宋体" w:hint="default"/>
                <w:spacing w:val="-39"/>
                <w:sz w:val="18"/>
                <w:szCs w:val="18"/>
              </w:rPr>
              <w:t>公司</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7,437,747.14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315,454.51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7,753,201.65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340"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0"/>
              <w:jc w:val="both"/>
              <w:rPr>
                <w:rFonts w:ascii="宋体" w:hAnsi="宋体" w:cs="宋体" w:eastAsia="宋体" w:hint="default"/>
                <w:sz w:val="18"/>
                <w:szCs w:val="18"/>
              </w:rPr>
            </w:pPr>
            <w:r>
              <w:rPr>
                <w:rFonts w:ascii="宋体" w:hAnsi="宋体" w:cs="宋体" w:eastAsia="宋体" w:hint="default"/>
                <w:spacing w:val="-27"/>
                <w:sz w:val="18"/>
                <w:szCs w:val="18"/>
              </w:rPr>
              <w:t>上海仁</w:t>
            </w:r>
            <w:r>
              <w:rPr>
                <w:rFonts w:ascii="宋体" w:hAnsi="宋体" w:cs="宋体" w:eastAsia="宋体" w:hint="default"/>
                <w:sz w:val="18"/>
                <w:szCs w:val="18"/>
              </w:rPr>
              <w:t> </w:t>
            </w:r>
            <w:r>
              <w:rPr>
                <w:rFonts w:ascii="宋体" w:hAnsi="宋体" w:cs="宋体" w:eastAsia="宋体" w:hint="default"/>
                <w:spacing w:val="-27"/>
                <w:sz w:val="18"/>
                <w:szCs w:val="18"/>
              </w:rPr>
              <w:t>大商业</w:t>
            </w:r>
            <w:r>
              <w:rPr>
                <w:rFonts w:ascii="宋体" w:hAnsi="宋体" w:cs="宋体" w:eastAsia="宋体" w:hint="default"/>
                <w:sz w:val="18"/>
                <w:szCs w:val="18"/>
              </w:rPr>
              <w:t> </w:t>
            </w:r>
            <w:r>
              <w:rPr>
                <w:rFonts w:ascii="宋体" w:hAnsi="宋体" w:cs="宋体" w:eastAsia="宋体" w:hint="default"/>
                <w:spacing w:val="-27"/>
                <w:sz w:val="18"/>
                <w:szCs w:val="18"/>
              </w:rPr>
              <w:t>保理有</w:t>
            </w:r>
            <w:r>
              <w:rPr>
                <w:rFonts w:ascii="宋体" w:hAnsi="宋体" w:cs="宋体" w:eastAsia="宋体" w:hint="default"/>
                <w:sz w:val="18"/>
                <w:szCs w:val="18"/>
              </w:rPr>
              <w:t> </w:t>
            </w:r>
            <w:r>
              <w:rPr>
                <w:rFonts w:ascii="宋体" w:hAnsi="宋体" w:cs="宋体" w:eastAsia="宋体" w:hint="default"/>
                <w:spacing w:val="-27"/>
                <w:sz w:val="18"/>
                <w:szCs w:val="18"/>
              </w:rPr>
              <w:t>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20"/>
                <w:sz w:val="18"/>
              </w:rPr>
              <w:t>11,292,504.86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20"/>
                <w:sz w:val="18"/>
              </w:rPr>
              <w:t>11,292,504.86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33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both"/>
              <w:rPr>
                <w:rFonts w:ascii="宋体" w:hAnsi="宋体" w:cs="宋体" w:eastAsia="宋体" w:hint="default"/>
                <w:sz w:val="18"/>
                <w:szCs w:val="18"/>
              </w:rPr>
            </w:pPr>
            <w:r>
              <w:rPr>
                <w:rFonts w:ascii="宋体" w:hAnsi="宋体" w:cs="宋体" w:eastAsia="宋体" w:hint="default"/>
                <w:spacing w:val="-27"/>
                <w:sz w:val="18"/>
                <w:szCs w:val="18"/>
              </w:rPr>
              <w:t>迅付信</w:t>
            </w:r>
            <w:r>
              <w:rPr>
                <w:rFonts w:ascii="宋体" w:hAnsi="宋体" w:cs="宋体" w:eastAsia="宋体" w:hint="default"/>
                <w:sz w:val="18"/>
                <w:szCs w:val="18"/>
              </w:rPr>
              <w:t> </w:t>
            </w:r>
            <w:r>
              <w:rPr>
                <w:rFonts w:ascii="宋体" w:hAnsi="宋体" w:cs="宋体" w:eastAsia="宋体" w:hint="default"/>
                <w:spacing w:val="-27"/>
                <w:sz w:val="18"/>
                <w:szCs w:val="18"/>
              </w:rPr>
              <w:t>息科技</w:t>
            </w:r>
            <w:r>
              <w:rPr>
                <w:rFonts w:ascii="宋体" w:hAnsi="宋体" w:cs="宋体" w:eastAsia="宋体" w:hint="default"/>
                <w:sz w:val="18"/>
                <w:szCs w:val="18"/>
              </w:rPr>
              <w:t> </w:t>
            </w:r>
            <w:r>
              <w:rPr>
                <w:rFonts w:ascii="宋体" w:hAnsi="宋体" w:cs="宋体" w:eastAsia="宋体" w:hint="default"/>
                <w:spacing w:val="-27"/>
                <w:sz w:val="18"/>
                <w:szCs w:val="18"/>
              </w:rPr>
              <w:t>有限公</w:t>
            </w:r>
            <w:r>
              <w:rPr>
                <w:rFonts w:ascii="宋体" w:hAnsi="宋体" w:cs="宋体" w:eastAsia="宋体" w:hint="default"/>
                <w:sz w:val="18"/>
                <w:szCs w:val="18"/>
              </w:rPr>
              <w:t> 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20"/>
                <w:sz w:val="18"/>
              </w:rPr>
              <w:t>58,637,537.11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20"/>
                <w:sz w:val="18"/>
              </w:rPr>
              <w:t>-1,198,388.41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143,026.40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57,582,175.10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339"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0"/>
              <w:jc w:val="both"/>
              <w:rPr>
                <w:rFonts w:ascii="宋体" w:hAnsi="宋体" w:cs="宋体" w:eastAsia="宋体" w:hint="default"/>
                <w:sz w:val="18"/>
                <w:szCs w:val="18"/>
              </w:rPr>
            </w:pPr>
            <w:r>
              <w:rPr>
                <w:rFonts w:ascii="宋体" w:hAnsi="宋体" w:cs="宋体" w:eastAsia="宋体" w:hint="default"/>
                <w:spacing w:val="-27"/>
                <w:sz w:val="18"/>
                <w:szCs w:val="18"/>
              </w:rPr>
              <w:t>上海鸿</w:t>
            </w:r>
            <w:r>
              <w:rPr>
                <w:rFonts w:ascii="宋体" w:hAnsi="宋体" w:cs="宋体" w:eastAsia="宋体" w:hint="default"/>
                <w:sz w:val="18"/>
                <w:szCs w:val="18"/>
              </w:rPr>
              <w:t> </w:t>
            </w:r>
            <w:r>
              <w:rPr>
                <w:rFonts w:ascii="宋体" w:hAnsi="宋体" w:cs="宋体" w:eastAsia="宋体" w:hint="default"/>
                <w:spacing w:val="-27"/>
                <w:sz w:val="18"/>
                <w:szCs w:val="18"/>
              </w:rPr>
              <w:t>鹊信息</w:t>
            </w:r>
            <w:r>
              <w:rPr>
                <w:rFonts w:ascii="宋体" w:hAnsi="宋体" w:cs="宋体" w:eastAsia="宋体" w:hint="default"/>
                <w:sz w:val="18"/>
                <w:szCs w:val="18"/>
              </w:rPr>
              <w:t> </w:t>
            </w:r>
            <w:r>
              <w:rPr>
                <w:rFonts w:ascii="宋体" w:hAnsi="宋体" w:cs="宋体" w:eastAsia="宋体" w:hint="default"/>
                <w:spacing w:val="-27"/>
                <w:sz w:val="18"/>
                <w:szCs w:val="18"/>
              </w:rPr>
              <w:t>科技有</w:t>
            </w:r>
            <w:r>
              <w:rPr>
                <w:rFonts w:ascii="宋体" w:hAnsi="宋体" w:cs="宋体" w:eastAsia="宋体" w:hint="default"/>
                <w:sz w:val="18"/>
                <w:szCs w:val="18"/>
              </w:rPr>
              <w:t> </w:t>
            </w:r>
            <w:r>
              <w:rPr>
                <w:rFonts w:ascii="宋体" w:hAnsi="宋体" w:cs="宋体" w:eastAsia="宋体" w:hint="default"/>
                <w:spacing w:val="-27"/>
                <w:sz w:val="18"/>
                <w:szCs w:val="18"/>
              </w:rPr>
              <w:t>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0"/>
              <w:jc w:val="right"/>
              <w:rPr>
                <w:rFonts w:ascii="Times New Roman" w:hAnsi="Times New Roman" w:cs="Times New Roman" w:eastAsia="Times New Roman" w:hint="default"/>
                <w:sz w:val="18"/>
                <w:szCs w:val="18"/>
              </w:rPr>
            </w:pPr>
            <w:r>
              <w:rPr>
                <w:rFonts w:ascii="Times New Roman"/>
                <w:spacing w:val="-19"/>
                <w:sz w:val="18"/>
              </w:rPr>
              <w:t>1,856,372.00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
              <w:jc w:val="right"/>
              <w:rPr>
                <w:rFonts w:ascii="Times New Roman" w:hAnsi="Times New Roman" w:cs="Times New Roman" w:eastAsia="Times New Roman" w:hint="default"/>
                <w:sz w:val="18"/>
                <w:szCs w:val="18"/>
              </w:rPr>
            </w:pPr>
            <w:r>
              <w:rPr>
                <w:rFonts w:ascii="Times New Roman"/>
                <w:spacing w:val="-19"/>
                <w:sz w:val="18"/>
              </w:rPr>
              <w:t>-318,230.25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0"/>
              <w:jc w:val="right"/>
              <w:rPr>
                <w:rFonts w:ascii="Times New Roman" w:hAnsi="Times New Roman" w:cs="Times New Roman" w:eastAsia="Times New Roman" w:hint="default"/>
                <w:sz w:val="18"/>
                <w:szCs w:val="18"/>
              </w:rPr>
            </w:pPr>
            <w:r>
              <w:rPr>
                <w:rFonts w:ascii="Times New Roman"/>
                <w:spacing w:val="-19"/>
                <w:sz w:val="18"/>
              </w:rPr>
              <w:t>4,000,000.00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
              <w:jc w:val="right"/>
              <w:rPr>
                <w:rFonts w:ascii="Times New Roman" w:hAnsi="Times New Roman" w:cs="Times New Roman" w:eastAsia="Times New Roman" w:hint="default"/>
                <w:sz w:val="18"/>
                <w:szCs w:val="18"/>
              </w:rPr>
            </w:pPr>
            <w:r>
              <w:rPr>
                <w:rFonts w:ascii="Times New Roman"/>
                <w:spacing w:val="-19"/>
                <w:sz w:val="18"/>
              </w:rPr>
              <w:t>5,538,141.75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33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9"/>
              <w:jc w:val="left"/>
              <w:rPr>
                <w:rFonts w:ascii="Times New Roman" w:hAnsi="Times New Roman" w:cs="Times New Roman" w:eastAsia="Times New Roman" w:hint="default"/>
                <w:sz w:val="18"/>
                <w:szCs w:val="18"/>
              </w:rPr>
            </w:pPr>
            <w:r>
              <w:rPr>
                <w:rFonts w:ascii="Times New Roman"/>
                <w:spacing w:val="-19"/>
                <w:sz w:val="18"/>
              </w:rPr>
              <w:t>Touchpe</w:t>
            </w:r>
            <w:r>
              <w:rPr>
                <w:rFonts w:ascii="Times New Roman"/>
                <w:sz w:val="18"/>
              </w:rPr>
              <w:t> </w:t>
            </w:r>
            <w:r>
              <w:rPr>
                <w:rFonts w:ascii="Times New Roman"/>
                <w:spacing w:val="-10"/>
                <w:sz w:val="18"/>
              </w:rPr>
              <w:t>ak</w:t>
            </w:r>
            <w:r>
              <w:rPr>
                <w:rFonts w:ascii="Times New Roman"/>
                <w:sz w:val="18"/>
              </w:rPr>
              <w:t> </w:t>
            </w:r>
            <w:r>
              <w:rPr>
                <w:rFonts w:ascii="Times New Roman"/>
                <w:spacing w:val="-18"/>
                <w:sz w:val="18"/>
              </w:rPr>
              <w:t>Software</w:t>
            </w:r>
            <w:r>
              <w:rPr>
                <w:rFonts w:ascii="Times New Roman"/>
                <w:spacing w:val="-41"/>
                <w:sz w:val="18"/>
              </w:rPr>
              <w:t> </w:t>
            </w:r>
            <w:r>
              <w:rPr>
                <w:rFonts w:ascii="Times New Roman"/>
                <w:spacing w:val="-41"/>
                <w:sz w:val="18"/>
              </w:rPr>
            </w:r>
            <w:r>
              <w:rPr>
                <w:rFonts w:ascii="Times New Roman"/>
                <w:spacing w:val="-13"/>
                <w:sz w:val="18"/>
              </w:rPr>
              <w:t>Inc</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9,450,778.40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20"/>
                <w:sz w:val="18"/>
              </w:rPr>
              <w:t>11,120,259.91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20"/>
                <w:sz w:val="18"/>
              </w:rPr>
              <w:t>-7,452,386.53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18,523.08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-175,327.74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12,961,847.12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65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0"/>
              <w:jc w:val="both"/>
              <w:rPr>
                <w:rFonts w:ascii="宋体" w:hAnsi="宋体" w:cs="宋体" w:eastAsia="宋体" w:hint="default"/>
                <w:sz w:val="18"/>
                <w:szCs w:val="18"/>
              </w:rPr>
            </w:pPr>
            <w:r>
              <w:rPr>
                <w:rFonts w:ascii="宋体" w:hAnsi="宋体" w:cs="宋体" w:eastAsia="宋体" w:hint="default"/>
                <w:spacing w:val="-27"/>
                <w:sz w:val="18"/>
                <w:szCs w:val="18"/>
              </w:rPr>
              <w:t>科传计</w:t>
            </w:r>
            <w:r>
              <w:rPr>
                <w:rFonts w:ascii="宋体" w:hAnsi="宋体" w:cs="宋体" w:eastAsia="宋体" w:hint="default"/>
                <w:sz w:val="18"/>
                <w:szCs w:val="18"/>
              </w:rPr>
              <w:t> </w:t>
            </w:r>
            <w:r>
              <w:rPr>
                <w:rFonts w:ascii="宋体" w:hAnsi="宋体" w:cs="宋体" w:eastAsia="宋体" w:hint="default"/>
                <w:spacing w:val="-27"/>
                <w:sz w:val="18"/>
                <w:szCs w:val="18"/>
              </w:rPr>
              <w:t>算机科</w:t>
            </w:r>
            <w:r>
              <w:rPr>
                <w:rFonts w:ascii="宋体" w:hAnsi="宋体" w:cs="宋体" w:eastAsia="宋体" w:hint="default"/>
                <w:sz w:val="18"/>
                <w:szCs w:val="18"/>
              </w:rPr>
              <w:t> </w:t>
            </w:r>
            <w:r>
              <w:rPr>
                <w:rFonts w:ascii="宋体" w:hAnsi="宋体" w:cs="宋体" w:eastAsia="宋体" w:hint="default"/>
                <w:spacing w:val="-27"/>
                <w:sz w:val="18"/>
                <w:szCs w:val="18"/>
              </w:rPr>
              <w:t>技控股</w:t>
            </w:r>
            <w:r>
              <w:rPr>
                <w:rFonts w:ascii="宋体" w:hAnsi="宋体" w:cs="宋体" w:eastAsia="宋体" w:hint="default"/>
                <w:sz w:val="18"/>
                <w:szCs w:val="18"/>
              </w:rPr>
              <w:t> </w:t>
            </w:r>
            <w:r>
              <w:rPr>
                <w:rFonts w:ascii="宋体" w:hAnsi="宋体" w:cs="宋体" w:eastAsia="宋体" w:hint="default"/>
                <w:spacing w:val="-27"/>
                <w:sz w:val="18"/>
                <w:szCs w:val="18"/>
              </w:rPr>
              <w:t>有限公</w:t>
            </w:r>
            <w:r>
              <w:rPr>
                <w:rFonts w:ascii="宋体" w:hAnsi="宋体" w:cs="宋体" w:eastAsia="宋体" w:hint="default"/>
                <w:sz w:val="18"/>
                <w:szCs w:val="18"/>
              </w:rPr>
              <w:t> 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
              <w:jc w:val="right"/>
              <w:rPr>
                <w:rFonts w:ascii="Times New Roman" w:hAnsi="Times New Roman" w:cs="Times New Roman" w:eastAsia="Times New Roman" w:hint="default"/>
                <w:sz w:val="18"/>
                <w:szCs w:val="18"/>
              </w:rPr>
            </w:pPr>
            <w:r>
              <w:rPr>
                <w:rFonts w:ascii="Times New Roman"/>
                <w:spacing w:val="-19"/>
                <w:sz w:val="18"/>
              </w:rPr>
              <w:t>109,464,873.0</w:t>
            </w:r>
          </w:p>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15,567,155.33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-629,239.62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124,402,788.72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649"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0"/>
              <w:jc w:val="both"/>
              <w:rPr>
                <w:rFonts w:ascii="宋体" w:hAnsi="宋体" w:cs="宋体" w:eastAsia="宋体" w:hint="default"/>
                <w:sz w:val="18"/>
                <w:szCs w:val="18"/>
              </w:rPr>
            </w:pPr>
            <w:r>
              <w:rPr>
                <w:rFonts w:ascii="宋体" w:hAnsi="宋体" w:cs="宋体" w:eastAsia="宋体" w:hint="default"/>
                <w:spacing w:val="-27"/>
                <w:sz w:val="18"/>
                <w:szCs w:val="18"/>
              </w:rPr>
              <w:t>青岛海</w:t>
            </w:r>
            <w:r>
              <w:rPr>
                <w:rFonts w:ascii="宋体" w:hAnsi="宋体" w:cs="宋体" w:eastAsia="宋体" w:hint="default"/>
                <w:sz w:val="18"/>
                <w:szCs w:val="18"/>
              </w:rPr>
              <w:t> </w:t>
            </w:r>
            <w:r>
              <w:rPr>
                <w:rFonts w:ascii="宋体" w:hAnsi="宋体" w:cs="宋体" w:eastAsia="宋体" w:hint="default"/>
                <w:spacing w:val="-27"/>
                <w:sz w:val="18"/>
                <w:szCs w:val="18"/>
              </w:rPr>
              <w:t>信智能</w:t>
            </w:r>
            <w:r>
              <w:rPr>
                <w:rFonts w:ascii="宋体" w:hAnsi="宋体" w:cs="宋体" w:eastAsia="宋体" w:hint="default"/>
                <w:sz w:val="18"/>
                <w:szCs w:val="18"/>
              </w:rPr>
              <w:t> </w:t>
            </w:r>
            <w:r>
              <w:rPr>
                <w:rFonts w:ascii="宋体" w:hAnsi="宋体" w:cs="宋体" w:eastAsia="宋体" w:hint="default"/>
                <w:spacing w:val="-27"/>
                <w:sz w:val="18"/>
                <w:szCs w:val="18"/>
              </w:rPr>
              <w:t>商用系</w:t>
            </w:r>
            <w:r>
              <w:rPr>
                <w:rFonts w:ascii="宋体" w:hAnsi="宋体" w:cs="宋体" w:eastAsia="宋体" w:hint="default"/>
                <w:sz w:val="18"/>
                <w:szCs w:val="18"/>
              </w:rPr>
              <w:t> </w:t>
            </w:r>
            <w:r>
              <w:rPr>
                <w:rFonts w:ascii="宋体" w:hAnsi="宋体" w:cs="宋体" w:eastAsia="宋体" w:hint="default"/>
                <w:spacing w:val="-27"/>
                <w:sz w:val="18"/>
                <w:szCs w:val="18"/>
              </w:rPr>
              <w:t>统有限</w:t>
            </w:r>
            <w:r>
              <w:rPr>
                <w:rFonts w:ascii="宋体" w:hAnsi="宋体" w:cs="宋体" w:eastAsia="宋体" w:hint="default"/>
                <w:sz w:val="18"/>
                <w:szCs w:val="18"/>
              </w:rPr>
              <w:t> </w:t>
            </w:r>
            <w:r>
              <w:rPr>
                <w:rFonts w:ascii="宋体" w:hAnsi="宋体" w:cs="宋体" w:eastAsia="宋体" w:hint="default"/>
                <w:spacing w:val="-39"/>
                <w:sz w:val="18"/>
                <w:szCs w:val="18"/>
              </w:rPr>
              <w:t>公司</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156,889,763.7</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5,656,978.80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2,463,560.00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160,083,182.51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140"/>
              <w:jc w:val="left"/>
              <w:rPr>
                <w:rFonts w:ascii="Times New Roman" w:hAnsi="Times New Roman" w:cs="Times New Roman" w:eastAsia="Times New Roman" w:hint="default"/>
                <w:sz w:val="18"/>
                <w:szCs w:val="18"/>
              </w:rPr>
            </w:pPr>
            <w:r>
              <w:rPr>
                <w:rFonts w:ascii="Times New Roman"/>
                <w:spacing w:val="-18"/>
                <w:sz w:val="18"/>
              </w:rPr>
              <w:t>Kalibri</w:t>
            </w:r>
            <w:r>
              <w:rPr>
                <w:rFonts w:ascii="Times New Roman"/>
                <w:spacing w:val="-40"/>
                <w:sz w:val="18"/>
              </w:rPr>
              <w:t> </w:t>
            </w:r>
            <w:r>
              <w:rPr>
                <w:rFonts w:ascii="Times New Roman"/>
                <w:spacing w:val="-40"/>
                <w:sz w:val="18"/>
              </w:rPr>
            </w:r>
            <w:r>
              <w:rPr>
                <w:rFonts w:ascii="Times New Roman"/>
                <w:spacing w:val="-15"/>
                <w:sz w:val="18"/>
              </w:rPr>
              <w:t>Labs</w:t>
            </w:r>
            <w:r>
              <w:rPr>
                <w:rFonts w:ascii="Times New Roman"/>
                <w:w w:val="99"/>
                <w:sz w:val="18"/>
              </w:rPr>
              <w:t> </w:t>
            </w:r>
            <w:r>
              <w:rPr>
                <w:rFonts w:ascii="Times New Roman"/>
                <w:spacing w:val="-22"/>
                <w:sz w:val="18"/>
              </w:rPr>
              <w:t>LLC</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68,631,869.80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-10,290,385.48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-242,095.61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58,099,388.71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66"/>
        <w:gridCol w:w="852"/>
        <w:gridCol w:w="850"/>
        <w:gridCol w:w="920"/>
        <w:gridCol w:w="924"/>
        <w:gridCol w:w="852"/>
        <w:gridCol w:w="850"/>
        <w:gridCol w:w="850"/>
        <w:gridCol w:w="516"/>
        <w:gridCol w:w="797"/>
        <w:gridCol w:w="956"/>
        <w:gridCol w:w="641"/>
      </w:tblGrid>
      <w:tr>
        <w:trPr>
          <w:trHeight w:val="713"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3"/>
              <w:jc w:val="left"/>
              <w:rPr>
                <w:rFonts w:ascii="Times New Roman" w:hAnsi="Times New Roman" w:cs="Times New Roman" w:eastAsia="Times New Roman" w:hint="default"/>
                <w:sz w:val="18"/>
                <w:szCs w:val="18"/>
              </w:rPr>
            </w:pPr>
            <w:r>
              <w:rPr>
                <w:rFonts w:ascii="Times New Roman"/>
                <w:spacing w:val="-18"/>
                <w:sz w:val="18"/>
              </w:rPr>
              <w:t>Stayntou</w:t>
            </w:r>
            <w:r>
              <w:rPr>
                <w:rFonts w:ascii="Times New Roman"/>
                <w:sz w:val="18"/>
              </w:rPr>
              <w:t> </w:t>
            </w:r>
            <w:r>
              <w:rPr>
                <w:rFonts w:ascii="Times New Roman"/>
                <w:spacing w:val="-11"/>
                <w:sz w:val="18"/>
              </w:rPr>
              <w:t>chInc</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pacing w:val="-19"/>
                <w:sz w:val="18"/>
              </w:rPr>
              <w:t>33,472,778.48</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-33,472,778.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1"/>
                <w:w w:val="95"/>
                <w:sz w:val="18"/>
              </w:rPr>
              <w:t>48</w:t>
            </w:r>
            <w:r>
              <w:rPr>
                <w:rFonts w:ascii="Times New Roman"/>
                <w:w w:val="95"/>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9"/>
                <w:sz w:val="18"/>
                <w:szCs w:val="18"/>
              </w:rPr>
              <w:t>小计</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9"/>
                <w:sz w:val="18"/>
              </w:rPr>
              <w:t>353,173,204.2</w:t>
            </w:r>
          </w:p>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0"/>
                <w:sz w:val="18"/>
              </w:rPr>
              <w:t>115,081,280.1</w:t>
            </w:r>
          </w:p>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9</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11,292,504.86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2,280,197.97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-467,690.14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-417,423.35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2,463,560.00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9"/>
                <w:sz w:val="18"/>
              </w:rPr>
              <w:t>-29,472,778.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21"/>
                <w:w w:val="95"/>
                <w:sz w:val="18"/>
              </w:rPr>
              <w:t>48</w:t>
            </w:r>
            <w:r>
              <w:rPr>
                <w:rFonts w:ascii="Times New Roman"/>
                <w:w w:val="95"/>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426,420,725.56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9"/>
                <w:sz w:val="18"/>
                <w:szCs w:val="18"/>
              </w:rPr>
              <w:t>合计</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353,173,204.2</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115,081,280.1</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9</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11,292,504.86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2,280,197.97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-467,690.14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-417,423.35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2,463,560.00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-29,472,778.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1"/>
                <w:w w:val="95"/>
                <w:sz w:val="18"/>
              </w:rPr>
              <w:t>48</w:t>
            </w:r>
            <w:r>
              <w:rPr>
                <w:rFonts w:ascii="Times New Roman"/>
                <w:w w:val="95"/>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426,420,725.56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6"/>
        <w:spacing w:line="244" w:lineRule="auto"/>
        <w:ind w:right="1131"/>
        <w:jc w:val="both"/>
      </w:pPr>
      <w:r>
        <w:rPr>
          <w:spacing w:val="-3"/>
        </w:rPr>
        <w:t>注</w:t>
      </w:r>
      <w:r>
        <w:rPr>
          <w:rFonts w:ascii="Times New Roman" w:hAnsi="Times New Roman" w:cs="Times New Roman" w:eastAsia="Times New Roman" w:hint="default"/>
          <w:spacing w:val="-3"/>
        </w:rPr>
        <w:t>1</w:t>
      </w:r>
      <w:r>
        <w:rPr>
          <w:spacing w:val="-3"/>
        </w:rPr>
        <w:t>：上海鸿鹊信息科技有限公司本年增减变动中其他增加</w:t>
      </w:r>
      <w:r>
        <w:rPr>
          <w:rFonts w:ascii="Times New Roman" w:hAnsi="Times New Roman" w:cs="Times New Roman" w:eastAsia="Times New Roman" w:hint="default"/>
          <w:spacing w:val="-3"/>
        </w:rPr>
        <w:t>4,000,000.00</w:t>
      </w:r>
      <w:r>
        <w:rPr>
          <w:spacing w:val="-3"/>
        </w:rPr>
        <w:t>元，系因</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月本集团</w:t>
      </w:r>
      <w:r>
        <w:rPr>
          <w:w w:val="100"/>
        </w:rPr>
        <w:t> </w:t>
      </w:r>
      <w:r>
        <w:rPr/>
        <w:t>之全资子公司上海石基对其增资</w:t>
      </w:r>
      <w:r>
        <w:rPr>
          <w:rFonts w:ascii="Times New Roman" w:hAnsi="Times New Roman" w:cs="Times New Roman" w:eastAsia="Times New Roman" w:hint="default"/>
        </w:rPr>
        <w:t>185.64</w:t>
      </w:r>
      <w:r>
        <w:rPr/>
        <w:t>万元，增资后持股比例</w:t>
      </w:r>
      <w:r>
        <w:rPr>
          <w:rFonts w:ascii="Times New Roman" w:hAnsi="Times New Roman" w:cs="Times New Roman" w:eastAsia="Times New Roman" w:hint="default"/>
        </w:rPr>
        <w:t>22.037%</w:t>
      </w:r>
      <w:r>
        <w:rPr/>
        <w:t>，并派出一名董事参与其经营</w:t>
      </w:r>
      <w:r>
        <w:rPr>
          <w:spacing w:val="-15"/>
        </w:rPr>
        <w:t> </w:t>
      </w:r>
      <w:r>
        <w:rPr>
          <w:spacing w:val="-15"/>
        </w:rPr>
      </w:r>
      <w:r>
        <w:rPr/>
        <w:t>管理，原在可供出售金融资产核算的投资款</w:t>
      </w:r>
      <w:r>
        <w:rPr>
          <w:rFonts w:ascii="Times New Roman" w:hAnsi="Times New Roman" w:cs="Times New Roman" w:eastAsia="Times New Roman" w:hint="default"/>
        </w:rPr>
        <w:t>4,000,000.00</w:t>
      </w:r>
      <w:r>
        <w:rPr/>
        <w:t>元转为权益法核算后计入其他变动中。</w:t>
      </w:r>
    </w:p>
    <w:p>
      <w:pPr>
        <w:spacing w:line="240" w:lineRule="auto" w:before="7"/>
        <w:rPr>
          <w:rFonts w:ascii="宋体" w:hAnsi="宋体" w:cs="宋体" w:eastAsia="宋体" w:hint="default"/>
          <w:sz w:val="18"/>
          <w:szCs w:val="18"/>
        </w:rPr>
      </w:pPr>
    </w:p>
    <w:p>
      <w:pPr>
        <w:pStyle w:val="Heading6"/>
        <w:spacing w:line="247" w:lineRule="auto"/>
        <w:ind w:right="1131"/>
        <w:jc w:val="both"/>
      </w:pPr>
      <w:r>
        <w:rPr>
          <w:spacing w:val="-4"/>
        </w:rPr>
        <w:t>注</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Stayntouch</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2"/>
        </w:rPr>
        <w:t>Inc</w:t>
      </w:r>
      <w:r>
        <w:rPr>
          <w:spacing w:val="-2"/>
        </w:rPr>
        <w:t>本年增减变动中其他减少</w:t>
      </w:r>
      <w:r>
        <w:rPr>
          <w:rFonts w:ascii="Times New Roman" w:hAnsi="Times New Roman" w:cs="Times New Roman" w:eastAsia="Times New Roman" w:hint="default"/>
          <w:spacing w:val="-2"/>
        </w:rPr>
        <w:t>33,472,778.48</w:t>
      </w:r>
      <w:r>
        <w:rPr>
          <w:spacing w:val="-2"/>
        </w:rPr>
        <w:t>元，系本集团之全资子公司石基香港于</w:t>
      </w:r>
      <w:r>
        <w:rPr>
          <w:w w:val="100"/>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日购买</w:t>
      </w:r>
      <w:r>
        <w:rPr>
          <w:rFonts w:ascii="Times New Roman" w:hAnsi="Times New Roman" w:cs="Times New Roman" w:eastAsia="Times New Roman" w:hint="default"/>
        </w:rPr>
        <w:t>Stayntouch</w:t>
      </w:r>
      <w:r>
        <w:rPr>
          <w:rFonts w:ascii="Times New Roman" w:hAnsi="Times New Roman" w:cs="Times New Roman" w:eastAsia="Times New Roman" w:hint="default"/>
          <w:spacing w:val="-6"/>
        </w:rPr>
        <w:t> </w:t>
      </w:r>
      <w:r>
        <w:rPr>
          <w:rFonts w:ascii="Times New Roman" w:hAnsi="Times New Roman" w:cs="Times New Roman" w:eastAsia="Times New Roman" w:hint="default"/>
        </w:rPr>
        <w:t>Inc</w:t>
      </w:r>
      <w:r>
        <w:rPr/>
        <w:t>剩余</w:t>
      </w:r>
      <w:r>
        <w:rPr>
          <w:rFonts w:ascii="Times New Roman" w:hAnsi="Times New Roman" w:cs="Times New Roman" w:eastAsia="Times New Roman" w:hint="default"/>
        </w:rPr>
        <w:t>77.4%</w:t>
      </w:r>
      <w:r>
        <w:rPr/>
        <w:t>股权，使其成为本集团的全资子公司。</w:t>
      </w:r>
    </w:p>
    <w:p>
      <w:pPr>
        <w:spacing w:line="240" w:lineRule="auto" w:before="8"/>
        <w:rPr>
          <w:rFonts w:ascii="宋体" w:hAnsi="宋体" w:cs="宋体" w:eastAsia="宋体" w:hint="default"/>
          <w:sz w:val="23"/>
          <w:szCs w:val="23"/>
        </w:rPr>
      </w:pPr>
    </w:p>
    <w:p>
      <w:pPr>
        <w:pStyle w:val="Heading7"/>
        <w:spacing w:line="240" w:lineRule="auto"/>
        <w:ind w:right="1133"/>
        <w:jc w:val="left"/>
        <w:rPr>
          <w:b w:val="0"/>
          <w:bCs w:val="0"/>
        </w:rPr>
      </w:pPr>
      <w:r>
        <w:rPr>
          <w:rFonts w:ascii="Times New Roman" w:hAnsi="Times New Roman" w:cs="Times New Roman" w:eastAsia="Times New Roman" w:hint="default"/>
        </w:rPr>
        <w:t>9</w:t>
      </w:r>
      <w:r>
        <w:rPr/>
        <w:t>、投资性房地产</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1702"/>
        <w:gridCol w:w="1702"/>
        <w:gridCol w:w="1702"/>
        <w:gridCol w:w="1633"/>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702"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61,629,857.43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20,599,893.49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82,229,750.92</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142,004.51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142,004.51</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702"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142,004.51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142,004.51</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61,771,861.94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20,599,893.49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82,371,755.43</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19,965,389.61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5,936,012.73</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25,901,402.34</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2,820,899.00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1,404,340.39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4,225,239.39</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2,748,508.42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1,404,340.39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4,152,848.81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835"/>
        <w:gridCol w:w="1702"/>
        <w:gridCol w:w="1702"/>
        <w:gridCol w:w="1702"/>
        <w:gridCol w:w="1633"/>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72,390.58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72,390.58</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22,786,288.61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7,340,353.12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30,126,641.73</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38,985,573.33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13,259,540.37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52,245,113.70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41,664,467.82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14,663,880.76</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56,328,348.58</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198"/>
        <w:gridCol w:w="3188"/>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320,198,940.86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328,105,170.26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320,198,940.86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328,105,170.26</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5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12" w:space="0" w:color="D9D9D9"/>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9D9D9"/>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421,120,153.98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11,300,070.01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41,582,900.23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33,142,102.72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507,145,226.94</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905,612.23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653,295.67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23,628,319.39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1,547,461.78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26,734,689.07</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505,599.26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182,744.83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16,938,419.48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1,417,109.33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19,043,872.90</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tc>
        <w:tc>
          <w:tcPr>
            <w:tcW w:w="1605" w:type="dxa"/>
            <w:tcBorders>
              <w:top w:val="single" w:sz="4" w:space="0" w:color="000000"/>
              <w:left w:val="single" w:sz="10" w:space="0" w:color="D9D9D9"/>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362"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456,883.21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6,586,092.39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130,352.45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7,173,328.05</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）汇率变动影响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400,012.97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103,807.52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517,488.12</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1,927,386.57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807,192.91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906,726.98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3,641,306.46</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1,927,386.57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807,192.91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906,726.98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3,641,306.46</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422,025,766.21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10,025,979.11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64,404,026.71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33,782,837.52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530,238,609.55</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111,285,567.25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8,968,412.15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29,732,367.19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28,256,881.84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178,243,228.43</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18,766,851.48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1,046,965.88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13,190,304.70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1,692,827.02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34,696,949.08</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18,627,380.84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595,451.90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8,741,306.68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1,639,427.92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29,603,567.34</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437,846.36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4,448,998.02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53,399.10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4,940,243.48</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）汇率变动影响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139,470.64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153,138.26</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208,094.98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1,849,170.81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736,291.95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865,989.94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3,659,547.68</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208,094.98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1,849,170.81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667,839.78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865,989.94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3,591,095.51</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）汇率变动影响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68,452.17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68,452.17</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129,844,323.75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8,166,207.22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42,186,379.94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29,083,718.92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209,280,629.83</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59,460.72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150,237.12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93,845.45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493,284.96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796,828.25</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2,022.54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35,766.85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37,789.39</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2,022.54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35,766.85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37,789.39</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59,460.72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150,237.12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91,822.91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457,518.11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759,038.86</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292,121,981.74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1,709,534.77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22,125,823.86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4,241,600.49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320,198,940.86</w:t>
            </w: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309,775,126.01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2,181,420.74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11,756,687.59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4,391,935.92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328,105,170.26</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6"/>
        <w:gridCol w:w="1843"/>
        <w:gridCol w:w="4740"/>
      </w:tblGrid>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4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977"/>
        <w:gridCol w:w="1843"/>
        <w:gridCol w:w="4751"/>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北海客户技术支持服务中心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5,034,320.23</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一、二期同时申请，目前二期尚未施工，故未能取得房产证</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双铁兴苑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1-2714 </w:t>
            </w:r>
            <w:r>
              <w:rPr>
                <w:rFonts w:ascii="宋体" w:hAnsi="宋体" w:cs="宋体" w:eastAsia="宋体" w:hint="default"/>
                <w:sz w:val="18"/>
                <w:szCs w:val="18"/>
              </w:rPr>
              <w:t>到</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1-2721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12,073,227.87</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目前正在办理</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恒生科技园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38,185,261.46</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目前正在办理</w:t>
            </w:r>
          </w:p>
        </w:tc>
      </w:tr>
    </w:tbl>
    <w:p>
      <w:pPr>
        <w:spacing w:line="357" w:lineRule="auto" w:before="49"/>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11</w:t>
      </w:r>
      <w:r>
        <w:rPr/>
        <w:t>、在建工程</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72"/>
        <w:gridCol w:w="3827"/>
        <w:gridCol w:w="3860"/>
      </w:tblGrid>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80,128,551.80</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52,062,798.61</w:t>
            </w:r>
          </w:p>
        </w:tc>
      </w:tr>
      <w:tr>
        <w:trPr>
          <w:trHeight w:val="404"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80,128,551.80</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52,062,798.61</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办公楼改造项目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80,128,551.80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80,128,551.80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52,062,798.61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52,062,798.61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80,128,551.80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80,128,551.80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52,062,798.61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52,062,798.61</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5"/>
        <w:gridCol w:w="737"/>
      </w:tblGrid>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1" w:right="0"/>
              <w:jc w:val="left"/>
              <w:rPr>
                <w:rFonts w:ascii="宋体" w:hAnsi="宋体" w:cs="宋体" w:eastAsia="宋体" w:hint="default"/>
                <w:sz w:val="18"/>
                <w:szCs w:val="18"/>
              </w:rPr>
            </w:pPr>
            <w:r>
              <w:rPr>
                <w:rFonts w:ascii="宋体" w:hAnsi="宋体" w:cs="宋体" w:eastAsia="宋体" w:hint="default"/>
                <w:spacing w:val="-31"/>
                <w:sz w:val="18"/>
                <w:szCs w:val="18"/>
              </w:rPr>
              <w:t>项目名称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3" w:right="0"/>
              <w:jc w:val="left"/>
              <w:rPr>
                <w:rFonts w:ascii="宋体" w:hAnsi="宋体" w:cs="宋体" w:eastAsia="宋体" w:hint="default"/>
                <w:sz w:val="18"/>
                <w:szCs w:val="18"/>
              </w:rPr>
            </w:pPr>
            <w:r>
              <w:rPr>
                <w:rFonts w:ascii="宋体" w:hAnsi="宋体" w:cs="宋体" w:eastAsia="宋体" w:hint="default"/>
                <w:spacing w:val="-27"/>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3" w:right="0"/>
              <w:jc w:val="left"/>
              <w:rPr>
                <w:rFonts w:ascii="宋体" w:hAnsi="宋体" w:cs="宋体" w:eastAsia="宋体" w:hint="default"/>
                <w:sz w:val="18"/>
                <w:szCs w:val="18"/>
              </w:rPr>
            </w:pPr>
            <w:r>
              <w:rPr>
                <w:rFonts w:ascii="宋体" w:hAnsi="宋体" w:cs="宋体" w:eastAsia="宋体" w:hint="default"/>
                <w:spacing w:val="-31"/>
                <w:sz w:val="18"/>
                <w:szCs w:val="18"/>
              </w:rPr>
              <w:t>期初余额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23" w:right="41" w:hanging="140"/>
              <w:jc w:val="left"/>
              <w:rPr>
                <w:rFonts w:ascii="宋体" w:hAnsi="宋体" w:cs="宋体" w:eastAsia="宋体" w:hint="default"/>
                <w:sz w:val="18"/>
                <w:szCs w:val="18"/>
              </w:rPr>
            </w:pPr>
            <w:r>
              <w:rPr>
                <w:rFonts w:ascii="宋体" w:hAnsi="宋体" w:cs="宋体" w:eastAsia="宋体" w:hint="default"/>
                <w:spacing w:val="-31"/>
                <w:sz w:val="18"/>
                <w:szCs w:val="18"/>
              </w:rPr>
              <w:t>本期增加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金额</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3" w:right="41"/>
              <w:jc w:val="center"/>
              <w:rPr>
                <w:rFonts w:ascii="宋体" w:hAnsi="宋体" w:cs="宋体" w:eastAsia="宋体" w:hint="default"/>
                <w:sz w:val="18"/>
                <w:szCs w:val="18"/>
              </w:rPr>
            </w:pPr>
            <w:r>
              <w:rPr>
                <w:rFonts w:ascii="宋体" w:hAnsi="宋体" w:cs="宋体" w:eastAsia="宋体" w:hint="default"/>
                <w:spacing w:val="-31"/>
                <w:sz w:val="18"/>
                <w:szCs w:val="18"/>
              </w:rPr>
              <w:t>本期转入</w:t>
            </w:r>
            <w:r>
              <w:rPr>
                <w:rFonts w:ascii="宋体" w:hAnsi="宋体" w:cs="宋体" w:eastAsia="宋体" w:hint="default"/>
                <w:sz w:val="18"/>
                <w:szCs w:val="18"/>
              </w:rPr>
              <w:t> </w:t>
            </w:r>
            <w:r>
              <w:rPr>
                <w:rFonts w:ascii="宋体" w:hAnsi="宋体" w:cs="宋体" w:eastAsia="宋体" w:hint="default"/>
                <w:spacing w:val="-31"/>
                <w:sz w:val="18"/>
                <w:szCs w:val="18"/>
              </w:rPr>
              <w:t>固定资产</w:t>
            </w:r>
            <w:r>
              <w:rPr>
                <w:rFonts w:ascii="宋体" w:hAnsi="宋体" w:cs="宋体" w:eastAsia="宋体" w:hint="default"/>
                <w:sz w:val="18"/>
                <w:szCs w:val="18"/>
              </w:rPr>
              <w:t> </w:t>
            </w:r>
            <w:r>
              <w:rPr>
                <w:rFonts w:ascii="宋体" w:hAnsi="宋体" w:cs="宋体" w:eastAsia="宋体" w:hint="default"/>
                <w:spacing w:val="-39"/>
                <w:sz w:val="18"/>
                <w:szCs w:val="18"/>
              </w:rPr>
              <w:t>金额</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84" w:right="38"/>
              <w:jc w:val="left"/>
              <w:rPr>
                <w:rFonts w:ascii="宋体" w:hAnsi="宋体" w:cs="宋体" w:eastAsia="宋体" w:hint="default"/>
                <w:sz w:val="18"/>
                <w:szCs w:val="18"/>
              </w:rPr>
            </w:pPr>
            <w:r>
              <w:rPr>
                <w:rFonts w:ascii="宋体" w:hAnsi="宋体" w:cs="宋体" w:eastAsia="宋体" w:hint="default"/>
                <w:spacing w:val="-31"/>
                <w:sz w:val="18"/>
                <w:szCs w:val="18"/>
              </w:rPr>
              <w:t>本期其他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减少金额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3" w:right="0"/>
              <w:jc w:val="left"/>
              <w:rPr>
                <w:rFonts w:ascii="宋体" w:hAnsi="宋体" w:cs="宋体" w:eastAsia="宋体" w:hint="default"/>
                <w:sz w:val="18"/>
                <w:szCs w:val="18"/>
              </w:rPr>
            </w:pPr>
            <w:r>
              <w:rPr>
                <w:rFonts w:ascii="宋体" w:hAnsi="宋体" w:cs="宋体" w:eastAsia="宋体" w:hint="default"/>
                <w:spacing w:val="-31"/>
                <w:sz w:val="18"/>
                <w:szCs w:val="18"/>
              </w:rPr>
              <w:t>期末余额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3" w:right="41"/>
              <w:jc w:val="both"/>
              <w:rPr>
                <w:rFonts w:ascii="宋体" w:hAnsi="宋体" w:cs="宋体" w:eastAsia="宋体" w:hint="default"/>
                <w:sz w:val="18"/>
                <w:szCs w:val="18"/>
              </w:rPr>
            </w:pPr>
            <w:r>
              <w:rPr>
                <w:rFonts w:ascii="宋体" w:hAnsi="宋体" w:cs="宋体" w:eastAsia="宋体" w:hint="default"/>
                <w:spacing w:val="-31"/>
                <w:sz w:val="18"/>
                <w:szCs w:val="18"/>
              </w:rPr>
              <w:t>工程累计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投入占预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算比例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 w:right="0"/>
              <w:jc w:val="center"/>
              <w:rPr>
                <w:rFonts w:ascii="宋体" w:hAnsi="宋体" w:cs="宋体" w:eastAsia="宋体" w:hint="default"/>
                <w:sz w:val="18"/>
                <w:szCs w:val="18"/>
              </w:rPr>
            </w:pPr>
            <w:r>
              <w:rPr>
                <w:rFonts w:ascii="宋体" w:hAnsi="宋体" w:cs="宋体" w:eastAsia="宋体" w:hint="default"/>
                <w:spacing w:val="-31"/>
                <w:sz w:val="18"/>
                <w:szCs w:val="18"/>
              </w:rPr>
              <w:t>工程进度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3" w:right="41"/>
              <w:jc w:val="center"/>
              <w:rPr>
                <w:rFonts w:ascii="宋体" w:hAnsi="宋体" w:cs="宋体" w:eastAsia="宋体" w:hint="default"/>
                <w:sz w:val="18"/>
                <w:szCs w:val="18"/>
              </w:rPr>
            </w:pPr>
            <w:r>
              <w:rPr>
                <w:rFonts w:ascii="宋体" w:hAnsi="宋体" w:cs="宋体" w:eastAsia="宋体" w:hint="default"/>
                <w:spacing w:val="-31"/>
                <w:sz w:val="18"/>
                <w:szCs w:val="18"/>
              </w:rPr>
              <w:t>利息资本</w:t>
            </w:r>
            <w:r>
              <w:rPr>
                <w:rFonts w:ascii="宋体" w:hAnsi="宋体" w:cs="宋体" w:eastAsia="宋体" w:hint="default"/>
                <w:sz w:val="18"/>
                <w:szCs w:val="18"/>
              </w:rPr>
              <w:t> </w:t>
            </w:r>
            <w:r>
              <w:rPr>
                <w:rFonts w:ascii="宋体" w:hAnsi="宋体" w:cs="宋体" w:eastAsia="宋体" w:hint="default"/>
                <w:spacing w:val="-31"/>
                <w:sz w:val="18"/>
                <w:szCs w:val="18"/>
              </w:rPr>
              <w:t>化累计金</w:t>
            </w:r>
            <w:r>
              <w:rPr>
                <w:rFonts w:ascii="宋体" w:hAnsi="宋体" w:cs="宋体" w:eastAsia="宋体" w:hint="default"/>
                <w:sz w:val="18"/>
                <w:szCs w:val="18"/>
              </w:rPr>
              <w:t>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17"/>
              <w:jc w:val="center"/>
              <w:rPr>
                <w:rFonts w:ascii="宋体" w:hAnsi="宋体" w:cs="宋体" w:eastAsia="宋体" w:hint="default"/>
                <w:sz w:val="18"/>
                <w:szCs w:val="18"/>
              </w:rPr>
            </w:pPr>
            <w:r>
              <w:rPr>
                <w:rFonts w:ascii="宋体" w:hAnsi="宋体" w:cs="宋体" w:eastAsia="宋体" w:hint="default"/>
                <w:spacing w:val="-37"/>
                <w:sz w:val="18"/>
                <w:szCs w:val="18"/>
              </w:rPr>
              <w:t>其中：本期</w:t>
            </w:r>
            <w:r>
              <w:rPr>
                <w:rFonts w:ascii="宋体" w:hAnsi="宋体" w:cs="宋体" w:eastAsia="宋体" w:hint="default"/>
                <w:sz w:val="18"/>
                <w:szCs w:val="18"/>
              </w:rPr>
              <w:t> </w:t>
            </w:r>
            <w:r>
              <w:rPr>
                <w:rFonts w:ascii="宋体" w:hAnsi="宋体" w:cs="宋体" w:eastAsia="宋体" w:hint="default"/>
                <w:spacing w:val="-31"/>
                <w:sz w:val="18"/>
                <w:szCs w:val="18"/>
              </w:rPr>
              <w:t>利息资本</w:t>
            </w:r>
            <w:r>
              <w:rPr>
                <w:rFonts w:ascii="宋体" w:hAnsi="宋体" w:cs="宋体" w:eastAsia="宋体" w:hint="default"/>
                <w:sz w:val="18"/>
                <w:szCs w:val="18"/>
              </w:rPr>
              <w:t> </w:t>
            </w:r>
            <w:r>
              <w:rPr>
                <w:rFonts w:ascii="宋体" w:hAnsi="宋体" w:cs="宋体" w:eastAsia="宋体" w:hint="default"/>
                <w:spacing w:val="-27"/>
                <w:sz w:val="18"/>
                <w:szCs w:val="18"/>
              </w:rPr>
              <w:t>化金额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83" w:right="39"/>
              <w:jc w:val="left"/>
              <w:rPr>
                <w:rFonts w:ascii="宋体" w:hAnsi="宋体" w:cs="宋体" w:eastAsia="宋体" w:hint="default"/>
                <w:sz w:val="18"/>
                <w:szCs w:val="18"/>
              </w:rPr>
            </w:pPr>
            <w:r>
              <w:rPr>
                <w:rFonts w:ascii="宋体" w:hAnsi="宋体" w:cs="宋体" w:eastAsia="宋体" w:hint="default"/>
                <w:spacing w:val="-31"/>
                <w:sz w:val="18"/>
                <w:szCs w:val="18"/>
              </w:rPr>
              <w:t>本期利息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资本化率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4" w:right="0"/>
              <w:jc w:val="left"/>
              <w:rPr>
                <w:rFonts w:ascii="宋体" w:hAnsi="宋体" w:cs="宋体" w:eastAsia="宋体" w:hint="default"/>
                <w:sz w:val="18"/>
                <w:szCs w:val="18"/>
              </w:rPr>
            </w:pPr>
            <w:r>
              <w:rPr>
                <w:rFonts w:ascii="宋体" w:hAnsi="宋体" w:cs="宋体" w:eastAsia="宋体" w:hint="default"/>
                <w:spacing w:val="-31"/>
                <w:sz w:val="18"/>
                <w:szCs w:val="18"/>
              </w:rPr>
              <w:t>资金来源</w:t>
            </w:r>
          </w:p>
        </w:tc>
      </w:tr>
      <w:tr>
        <w:trPr>
          <w:trHeight w:val="258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pacing w:val="-31"/>
                <w:sz w:val="18"/>
                <w:szCs w:val="18"/>
              </w:rPr>
              <w:t>办公楼改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造项目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220,000,000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4"/>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52,062,798.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1"/>
                <w:w w:val="95"/>
                <w:sz w:val="18"/>
              </w:rPr>
              <w:t>61</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30,691,305.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21"/>
                <w:w w:val="95"/>
                <w:sz w:val="18"/>
              </w:rPr>
              <w:t>34</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2,625,552.1</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80,128,551.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pacing w:val="-21"/>
                <w:w w:val="95"/>
                <w:sz w:val="18"/>
              </w:rPr>
              <w:t>80</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pacing w:val="-17"/>
                <w:sz w:val="18"/>
              </w:rPr>
              <w:t>36.42%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39"/>
              <w:jc w:val="left"/>
              <w:rPr>
                <w:rFonts w:ascii="宋体" w:hAnsi="宋体" w:cs="宋体" w:eastAsia="宋体" w:hint="default"/>
                <w:sz w:val="18"/>
                <w:szCs w:val="18"/>
              </w:rPr>
            </w:pPr>
            <w:r>
              <w:rPr>
                <w:rFonts w:ascii="宋体" w:hAnsi="宋体" w:cs="宋体" w:eastAsia="宋体" w:hint="default"/>
                <w:spacing w:val="-31"/>
                <w:sz w:val="18"/>
                <w:szCs w:val="18"/>
              </w:rPr>
              <w:t>大楼进展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7"/>
                <w:sz w:val="18"/>
                <w:szCs w:val="18"/>
              </w:rPr>
              <w:t>情况：一标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1"/>
                <w:sz w:val="18"/>
                <w:szCs w:val="18"/>
              </w:rPr>
              <w:t>段玻璃幕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墙已安装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sz w:val="18"/>
                <w:szCs w:val="18"/>
              </w:rPr>
              <w:t>近</w:t>
            </w:r>
            <w:r>
              <w:rPr>
                <w:rFonts w:ascii="Times New Roman" w:hAnsi="Times New Roman" w:cs="Times New Roman" w:eastAsia="Times New Roman" w:hint="default"/>
                <w:spacing w:val="-12"/>
                <w:sz w:val="18"/>
                <w:szCs w:val="18"/>
              </w:rPr>
              <w:t>500</w:t>
            </w:r>
            <w:r>
              <w:rPr>
                <w:rFonts w:ascii="Times New Roman" w:hAnsi="Times New Roman" w:cs="Times New Roman" w:eastAsia="Times New Roman" w:hint="default"/>
                <w:spacing w:val="-30"/>
                <w:sz w:val="18"/>
                <w:szCs w:val="18"/>
              </w:rPr>
              <w:t> </w:t>
            </w:r>
            <w:r>
              <w:rPr>
                <w:rFonts w:ascii="宋体" w:hAnsi="宋体" w:cs="宋体" w:eastAsia="宋体" w:hint="default"/>
                <w:spacing w:val="-41"/>
                <w:sz w:val="18"/>
                <w:szCs w:val="18"/>
              </w:rPr>
              <w:t>块， </w:t>
            </w:r>
            <w:r>
              <w:rPr>
                <w:rFonts w:ascii="宋体" w:hAnsi="宋体" w:cs="宋体" w:eastAsia="宋体" w:hint="default"/>
                <w:spacing w:val="-31"/>
                <w:sz w:val="18"/>
                <w:szCs w:val="18"/>
              </w:rPr>
              <w:t>二标段地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基处理已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3"/>
                <w:sz w:val="18"/>
                <w:szCs w:val="18"/>
              </w:rPr>
              <w:t>开始打桩。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1092" w:lineRule="exact"/>
              <w:ind w:left="2" w:right="-51"/>
              <w:jc w:val="left"/>
              <w:rPr>
                <w:rFonts w:ascii="宋体" w:hAnsi="宋体" w:cs="宋体" w:eastAsia="宋体" w:hint="default"/>
                <w:sz w:val="20"/>
                <w:szCs w:val="20"/>
              </w:rPr>
            </w:pPr>
            <w:r>
              <w:rPr>
                <w:rFonts w:ascii="宋体" w:hAnsi="宋体" w:cs="宋体" w:eastAsia="宋体" w:hint="default"/>
                <w:position w:val="-21"/>
                <w:sz w:val="20"/>
                <w:szCs w:val="20"/>
              </w:rPr>
              <w:pict>
                <v:group style="width:36.25pt;height:54.65pt;mso-position-horizontal-relative:char;mso-position-vertical-relative:line" coordorigin="0,0" coordsize="725,1093">
                  <v:group style="position:absolute;left:0;top:0;width:725;height:1093" coordorigin="0,0" coordsize="725,1093">
                    <v:shape style="position:absolute;left:0;top:0;width:725;height:1093" coordorigin="0,0" coordsize="725,1093" path="m0,1092l725,1092,725,0,0,0,0,1092xe" filled="true" fillcolor="#ffffff" stroked="false">
                      <v:path arrowok="t"/>
                      <v:fill type="solid"/>
                    </v:shape>
                  </v:group>
                </v:group>
              </w:pict>
            </w:r>
            <w:r>
              <w:rPr>
                <w:rFonts w:ascii="宋体" w:hAnsi="宋体" w:cs="宋体" w:eastAsia="宋体" w:hint="default"/>
                <w:position w:val="-21"/>
                <w:sz w:val="20"/>
                <w:szCs w:val="20"/>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1"/>
                <w:sz w:val="18"/>
                <w:szCs w:val="18"/>
              </w:rPr>
              <w:t>自有资金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9"/>
                <w:sz w:val="18"/>
                <w:szCs w:val="18"/>
              </w:rPr>
              <w:t>合计</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9"/>
                <w:sz w:val="18"/>
              </w:rPr>
              <w:t>220,000,000</w:t>
            </w:r>
          </w:p>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4"/>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9"/>
                <w:sz w:val="18"/>
              </w:rPr>
              <w:t>52,062,798.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21"/>
                <w:w w:val="95"/>
                <w:sz w:val="18"/>
              </w:rPr>
              <w:t>61</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9"/>
                <w:sz w:val="18"/>
              </w:rPr>
              <w:t>30,691,305.</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21"/>
                <w:w w:val="95"/>
                <w:sz w:val="18"/>
              </w:rPr>
              <w:t>34</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9"/>
                <w:sz w:val="18"/>
              </w:rPr>
              <w:t>2,625,552.1</w:t>
            </w:r>
          </w:p>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9"/>
                <w:sz w:val="18"/>
              </w:rPr>
              <w:t>80,128,551.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pacing w:val="-21"/>
                <w:w w:val="95"/>
                <w:sz w:val="18"/>
              </w:rPr>
              <w:t>80</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pacing w:val="-20"/>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pacing w:val="-20"/>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pacing w:val="-20"/>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52" w:lineRule="auto"/>
        <w:ind w:right="0"/>
        <w:jc w:val="left"/>
      </w:pPr>
      <w:r>
        <w:rPr>
          <w:spacing w:val="-5"/>
        </w:rPr>
        <w:t>注：根据本公司</w:t>
      </w:r>
      <w:r>
        <w:rPr>
          <w:rFonts w:ascii="Times New Roman" w:hAnsi="Times New Roman" w:cs="Times New Roman" w:eastAsia="Times New Roman" w:hint="default"/>
          <w:spacing w:val="-5"/>
        </w:rPr>
        <w:t>2016</w:t>
      </w:r>
      <w:r>
        <w:rPr>
          <w:spacing w:val="-5"/>
        </w:rPr>
        <w:t>年第二次总裁办公会审议通过《关于修改中电器件办公大楼改造方案的议案》</w:t>
      </w:r>
      <w:r>
        <w:rPr>
          <w:w w:val="100"/>
        </w:rPr>
        <w:t> </w:t>
      </w:r>
      <w:r>
        <w:rPr/>
        <w:t>和《关于办公大楼改造项目相关事项的议案》，本公司授权全资子公司中电器件董事会办理办公大楼</w:t>
      </w:r>
      <w:r>
        <w:rPr>
          <w:w w:val="100"/>
        </w:rPr>
        <w:t> </w:t>
      </w:r>
      <w:r>
        <w:rPr/>
        <w:t>改造过程中相关事项。在投资额不超过</w:t>
      </w:r>
      <w:r>
        <w:rPr>
          <w:rFonts w:ascii="Times New Roman" w:hAnsi="Times New Roman" w:cs="Times New Roman" w:eastAsia="Times New Roman" w:hint="default"/>
        </w:rPr>
        <w:t>1</w:t>
      </w:r>
      <w:r>
        <w:rPr/>
        <w:t>亿元人民币情况下，根据中电器件公司制度设置审批权限；</w:t>
      </w:r>
      <w:r>
        <w:rPr>
          <w:spacing w:val="-43"/>
        </w:rPr>
        <w:t> </w:t>
      </w:r>
      <w:r>
        <w:rPr>
          <w:spacing w:val="-43"/>
        </w:rPr>
      </w:r>
      <w:r>
        <w:rPr>
          <w:rFonts w:ascii="宋体" w:hAnsi="宋体" w:cs="宋体" w:eastAsia="宋体" w:hint="default"/>
        </w:rPr>
        <w:t>2018</w:t>
      </w:r>
      <w:r>
        <w:rPr/>
        <w:t>年</w:t>
      </w:r>
      <w:r>
        <w:rPr>
          <w:rFonts w:ascii="宋体" w:hAnsi="宋体" w:cs="宋体" w:eastAsia="宋体" w:hint="default"/>
        </w:rPr>
        <w:t>2</w:t>
      </w:r>
      <w:r>
        <w:rPr/>
        <w:t>月，经公司总裁办公会审议通过，决定将办公大楼改造投资额预算增加至</w:t>
      </w:r>
      <w:r>
        <w:rPr>
          <w:rFonts w:ascii="宋体" w:hAnsi="宋体" w:cs="宋体" w:eastAsia="宋体" w:hint="default"/>
        </w:rPr>
        <w:t>2.2</w:t>
      </w:r>
      <w:r>
        <w:rPr/>
        <w:t>亿元人民币，如</w:t>
      </w:r>
      <w:r>
        <w:rPr>
          <w:w w:val="100"/>
        </w:rPr>
        <w:t> </w:t>
      </w:r>
      <w:r>
        <w:rPr/>
        <w:t>投资额超过</w:t>
      </w:r>
      <w:r>
        <w:rPr>
          <w:rFonts w:ascii="宋体" w:hAnsi="宋体" w:cs="宋体" w:eastAsia="宋体" w:hint="default"/>
        </w:rPr>
        <w:t>2.2</w:t>
      </w:r>
      <w:r>
        <w:rPr/>
        <w:t>亿元人民币需另行审批，截止本年末相关支出尚未超出预计投资额。</w:t>
      </w:r>
    </w:p>
    <w:p>
      <w:pPr>
        <w:spacing w:line="240" w:lineRule="auto" w:before="9"/>
        <w:rPr>
          <w:rFonts w:ascii="宋体" w:hAnsi="宋体" w:cs="宋体" w:eastAsia="宋体" w:hint="default"/>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401" w:hRule="exact"/>
        </w:trPr>
        <w:tc>
          <w:tcPr>
            <w:tcW w:w="1194"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10" w:space="0" w:color="D9D9D9"/>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1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198" w:type="dxa"/>
            <w:tcBorders>
              <w:top w:val="single" w:sz="4" w:space="0" w:color="000000"/>
              <w:left w:val="single" w:sz="10" w:space="0" w:color="D9D9D9"/>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122,230,618.76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55,365,532.95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611,778,472.09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791,824,623.80</w:t>
            </w: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28,706,811.22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20,437,519.15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290,192,429.66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339,336,760.03</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18,852,522.14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3,271,100.00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22,123,622.14</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31"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238,070,545.86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238,070,545.86</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31"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28,706,811.22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466,501.15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38,910,200.02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68,083,512.39</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汇率变动影</w:t>
            </w:r>
            <w:r>
              <w:rPr>
                <w:rFonts w:ascii="宋体" w:hAnsi="宋体" w:cs="宋体" w:eastAsia="宋体" w:hint="default"/>
                <w:w w:val="99"/>
                <w:sz w:val="18"/>
                <w:szCs w:val="18"/>
              </w:rPr>
              <w:t> </w:t>
            </w:r>
            <w:r>
              <w:rPr>
                <w:rFonts w:ascii="宋体" w:hAnsi="宋体" w:cs="宋体" w:eastAsia="宋体" w:hint="default"/>
                <w:sz w:val="18"/>
                <w:szCs w:val="18"/>
              </w:rPr>
              <w:t>响</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1,118,495.86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9,940,583.78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11,059,079.64</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128,612.32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128,612.32</w:t>
            </w: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128,612.32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128,612.32</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122,230,618.76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31,156,811.22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75,674,439.78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901,970,901.75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1,131,032,771.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二、累计摊销</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35,658,692.28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16,216,632.75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305,725,842.42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357,601,167.45</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51"/>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7,472,898.95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522,989.76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6,083,726.91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79,670,175.60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93,749,791.22</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7,472,898.95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510,447.03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5,759,613.77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75,435,426.90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89,178,386.65</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51"/>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w:t>
            </w:r>
            <w:r>
              <w:rPr>
                <w:rFonts w:ascii="宋体" w:hAnsi="宋体" w:cs="宋体" w:eastAsia="宋体" w:hint="default"/>
                <w:w w:val="99"/>
                <w:sz w:val="18"/>
                <w:szCs w:val="18"/>
              </w:rPr>
              <w:t> </w:t>
            </w:r>
            <w:r>
              <w:rPr>
                <w:rFonts w:ascii="宋体" w:hAnsi="宋体" w:cs="宋体" w:eastAsia="宋体" w:hint="default"/>
                <w:sz w:val="18"/>
                <w:szCs w:val="18"/>
              </w:rPr>
              <w:t>加</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836,745.00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836,745.00</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汇率变动影</w:t>
            </w:r>
            <w:r>
              <w:rPr>
                <w:rFonts w:ascii="宋体" w:hAnsi="宋体" w:cs="宋体" w:eastAsia="宋体" w:hint="default"/>
                <w:w w:val="99"/>
                <w:sz w:val="18"/>
                <w:szCs w:val="18"/>
              </w:rPr>
              <w:t> </w:t>
            </w:r>
            <w:r>
              <w:rPr>
                <w:rFonts w:ascii="宋体" w:hAnsi="宋体" w:cs="宋体" w:eastAsia="宋体" w:hint="default"/>
                <w:sz w:val="18"/>
                <w:szCs w:val="18"/>
              </w:rPr>
              <w:t>响</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12,542.73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324,113.14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3,398,003.70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3,734,659.57</w:t>
            </w: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51"/>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128,612.32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128,612.32</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128,612.32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128,612.32</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43,131,591.23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522,989.76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22,171,747.34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385,396,018.02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451,222,346.35</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2,074,000.00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12,129,362.85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14,203,362.85</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51"/>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239,550.18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239,550.18</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239,550.18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239,550.18</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2,074,000.00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12,368,913.03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14,442,913.03</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81"/>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52"/>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79,099,027.53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28,559,821.46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53,502,692.44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504,205,970.70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665,367,512.13</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86,571,926.48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376,000.00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39,148,900.20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293,923,266.82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420,020,093.50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75.78%</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1133"/>
        <w:jc w:val="left"/>
        <w:rPr>
          <w:b w:val="0"/>
          <w:bCs w:val="0"/>
        </w:rPr>
      </w:pPr>
      <w:r>
        <w:rPr>
          <w:rFonts w:ascii="Times New Roman" w:hAnsi="Times New Roman" w:cs="Times New Roman" w:eastAsia="Times New Roman" w:hint="default"/>
        </w:rPr>
        <w:t>13</w:t>
      </w:r>
      <w:r>
        <w:rPr/>
        <w:t>、开发支出</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3"/>
        <w:gridCol w:w="1064"/>
        <w:gridCol w:w="1061"/>
        <w:gridCol w:w="1064"/>
        <w:gridCol w:w="1063"/>
      </w:tblGrid>
      <w:tr>
        <w:trPr>
          <w:trHeight w:val="403" w:hRule="exact"/>
        </w:trPr>
        <w:tc>
          <w:tcPr>
            <w:tcW w:w="106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pacing w:val="-39"/>
                <w:sz w:val="18"/>
                <w:szCs w:val="18"/>
              </w:rPr>
              <w:t>项目</w:t>
            </w:r>
            <w:r>
              <w:rPr>
                <w:rFonts w:ascii="宋体" w:hAnsi="宋体" w:cs="宋体" w:eastAsia="宋体" w:hint="default"/>
                <w:sz w:val="18"/>
                <w:szCs w:val="18"/>
              </w:rPr>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pacing w:val="-31"/>
                <w:sz w:val="18"/>
                <w:szCs w:val="18"/>
              </w:rPr>
              <w:t>期初余额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 w:right="0"/>
              <w:jc w:val="center"/>
              <w:rPr>
                <w:rFonts w:ascii="宋体" w:hAnsi="宋体" w:cs="宋体" w:eastAsia="宋体" w:hint="default"/>
                <w:sz w:val="18"/>
                <w:szCs w:val="18"/>
              </w:rPr>
            </w:pPr>
            <w:r>
              <w:rPr>
                <w:rFonts w:ascii="宋体" w:hAnsi="宋体" w:cs="宋体" w:eastAsia="宋体" w:hint="default"/>
                <w:spacing w:val="-34"/>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0" w:right="0"/>
              <w:jc w:val="center"/>
              <w:rPr>
                <w:rFonts w:ascii="宋体" w:hAnsi="宋体" w:cs="宋体" w:eastAsia="宋体" w:hint="default"/>
                <w:sz w:val="18"/>
                <w:szCs w:val="18"/>
              </w:rPr>
            </w:pPr>
            <w:r>
              <w:rPr>
                <w:rFonts w:ascii="宋体" w:hAnsi="宋体" w:cs="宋体" w:eastAsia="宋体" w:hint="default"/>
                <w:spacing w:val="-34"/>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pacing w:val="-31"/>
                <w:sz w:val="18"/>
                <w:szCs w:val="18"/>
              </w:rPr>
              <w:t>期末余额</w:t>
            </w:r>
          </w:p>
        </w:tc>
      </w:tr>
      <w:tr>
        <w:trPr>
          <w:trHeight w:val="401" w:hRule="exact"/>
        </w:trPr>
        <w:tc>
          <w:tcPr>
            <w:tcW w:w="1062" w:type="dxa"/>
            <w:vMerge/>
            <w:tcBorders>
              <w:left w:val="single" w:sz="4" w:space="0" w:color="000000"/>
              <w:bottom w:val="single" w:sz="4" w:space="0" w:color="000000"/>
              <w:right w:val="single" w:sz="4" w:space="0" w:color="000000"/>
            </w:tcBorders>
            <w:shd w:val="clear" w:color="auto" w:fill="D9D9D9"/>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63"/>
              <w:jc w:val="right"/>
              <w:rPr>
                <w:rFonts w:ascii="宋体" w:hAnsi="宋体" w:cs="宋体" w:eastAsia="宋体" w:hint="default"/>
                <w:sz w:val="18"/>
                <w:szCs w:val="18"/>
              </w:rPr>
            </w:pPr>
            <w:r>
              <w:rPr>
                <w:rFonts w:ascii="宋体" w:hAnsi="宋体" w:cs="宋体" w:eastAsia="宋体" w:hint="default"/>
                <w:spacing w:val="-34"/>
                <w:sz w:val="18"/>
                <w:szCs w:val="18"/>
              </w:rPr>
              <w:t>内部开发支出</w:t>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pacing w:val="-39"/>
                <w:sz w:val="18"/>
                <w:szCs w:val="18"/>
              </w:rPr>
              <w:t>其他</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pacing w:val="-31"/>
                <w:sz w:val="18"/>
                <w:szCs w:val="18"/>
              </w:rPr>
              <w:t>合并增加</w:t>
            </w:r>
          </w:p>
        </w:tc>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5"/>
              <w:jc w:val="right"/>
              <w:rPr>
                <w:rFonts w:ascii="宋体" w:hAnsi="宋体" w:cs="宋体" w:eastAsia="宋体" w:hint="default"/>
                <w:sz w:val="18"/>
                <w:szCs w:val="18"/>
              </w:rPr>
            </w:pPr>
            <w:r>
              <w:rPr>
                <w:rFonts w:ascii="宋体" w:hAnsi="宋体" w:cs="宋体" w:eastAsia="宋体" w:hint="default"/>
                <w:spacing w:val="-35"/>
                <w:sz w:val="18"/>
                <w:szCs w:val="18"/>
              </w:rPr>
              <w:t>确认为无形资产</w:t>
            </w:r>
          </w:p>
        </w:tc>
        <w:tc>
          <w:tcPr>
            <w:tcW w:w="1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pacing w:val="-34"/>
                <w:sz w:val="18"/>
                <w:szCs w:val="18"/>
              </w:rPr>
              <w:t>转入当期损益</w:t>
            </w:r>
          </w:p>
        </w:tc>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63" w:type="dxa"/>
            <w:vMerge/>
            <w:tcBorders>
              <w:left w:val="single" w:sz="4" w:space="0" w:color="000000"/>
              <w:bottom w:val="single" w:sz="4" w:space="0" w:color="000000"/>
              <w:right w:val="single" w:sz="4" w:space="0" w:color="000000"/>
            </w:tcBorders>
            <w:shd w:val="clear" w:color="auto" w:fill="D9D9D9"/>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19"/>
                <w:sz w:val="18"/>
              </w:rPr>
              <w:t>AboveCloud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40,697,139.43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91,037,847.70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131,734,987.13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19"/>
                <w:sz w:val="18"/>
              </w:rPr>
              <w:t>Hetras2017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19,972,316.26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33,563,783.83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53,536,100.09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38" w:lineRule="auto" w:before="49"/>
              <w:ind w:left="22" w:right="8"/>
              <w:jc w:val="both"/>
              <w:rPr>
                <w:rFonts w:ascii="Times New Roman" w:hAnsi="Times New Roman" w:cs="Times New Roman" w:eastAsia="Times New Roman" w:hint="default"/>
                <w:sz w:val="18"/>
                <w:szCs w:val="18"/>
              </w:rPr>
            </w:pPr>
            <w:r>
              <w:rPr>
                <w:rFonts w:ascii="宋体" w:hAnsi="宋体" w:cs="宋体" w:eastAsia="宋体" w:hint="default"/>
                <w:spacing w:val="-35"/>
                <w:sz w:val="18"/>
                <w:szCs w:val="18"/>
              </w:rPr>
              <w:t>石基数字酒店电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子菜单管理系统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14"/>
                <w:sz w:val="18"/>
                <w:szCs w:val="18"/>
              </w:rPr>
              <w:t>G&amp;M</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14,909,656.60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14,909,656.60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40" w:lineRule="auto" w:before="49"/>
              <w:ind w:left="22" w:right="8"/>
              <w:jc w:val="left"/>
              <w:rPr>
                <w:rFonts w:ascii="Times New Roman" w:hAnsi="Times New Roman" w:cs="Times New Roman" w:eastAsia="Times New Roman" w:hint="default"/>
                <w:sz w:val="18"/>
                <w:szCs w:val="18"/>
              </w:rPr>
            </w:pPr>
            <w:r>
              <w:rPr>
                <w:rFonts w:ascii="宋体" w:hAnsi="宋体" w:cs="宋体" w:eastAsia="宋体" w:hint="default"/>
                <w:spacing w:val="-35"/>
                <w:sz w:val="18"/>
                <w:szCs w:val="18"/>
              </w:rPr>
              <w:t>前台及销售宴会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管理系统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18"/>
                <w:sz w:val="18"/>
                <w:szCs w:val="18"/>
              </w:rPr>
              <w:t>PMS/S&amp;C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14,226,650.14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14,226,650.14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13" w:space="0" w:color="FFFFFF"/>
            </w:tcBorders>
            <w:shd w:val="clear" w:color="auto" w:fill="D9D9D9"/>
          </w:tcPr>
          <w:p>
            <w:pPr>
              <w:pStyle w:val="TableParagraph"/>
              <w:spacing w:line="240" w:lineRule="auto" w:before="49"/>
              <w:ind w:left="22" w:right="-32"/>
              <w:jc w:val="left"/>
              <w:rPr>
                <w:rFonts w:ascii="宋体" w:hAnsi="宋体" w:cs="宋体" w:eastAsia="宋体" w:hint="default"/>
                <w:sz w:val="18"/>
                <w:szCs w:val="18"/>
              </w:rPr>
            </w:pPr>
            <w:r>
              <w:rPr>
                <w:rFonts w:ascii="宋体" w:hAnsi="宋体" w:cs="宋体" w:eastAsia="宋体" w:hint="default"/>
                <w:spacing w:val="-23"/>
                <w:sz w:val="18"/>
                <w:szCs w:val="18"/>
              </w:rPr>
              <w:t>云</w:t>
            </w:r>
            <w:r>
              <w:rPr>
                <w:rFonts w:ascii="Times New Roman" w:hAnsi="Times New Roman" w:cs="Times New Roman" w:eastAsia="Times New Roman" w:hint="default"/>
                <w:spacing w:val="-23"/>
                <w:sz w:val="18"/>
                <w:szCs w:val="18"/>
              </w:rPr>
              <w:t>POS</w:t>
            </w:r>
            <w:r>
              <w:rPr>
                <w:rFonts w:ascii="宋体" w:hAnsi="宋体" w:cs="宋体" w:eastAsia="宋体" w:hint="default"/>
                <w:spacing w:val="-23"/>
                <w:sz w:val="18"/>
                <w:szCs w:val="18"/>
              </w:rPr>
              <w:t>服务平台</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29"/>
                <w:sz w:val="18"/>
                <w:szCs w:val="18"/>
              </w:rPr>
              <w:t>-</w:t>
            </w:r>
            <w:r>
              <w:rPr>
                <w:rFonts w:ascii="宋体" w:hAnsi="宋体" w:cs="宋体" w:eastAsia="宋体" w:hint="default"/>
                <w:spacing w:val="-29"/>
                <w:sz w:val="18"/>
                <w:szCs w:val="18"/>
              </w:rPr>
              <w:t>内部立项</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2,554,767.13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11,909,852.34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14,464,619.47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2"/>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U51</w:t>
            </w:r>
            <w:r>
              <w:rPr>
                <w:rFonts w:ascii="Times New Roman" w:hAnsi="Times New Roman" w:cs="Times New Roman" w:eastAsia="Times New Roman" w:hint="default"/>
                <w:spacing w:val="-27"/>
                <w:sz w:val="18"/>
                <w:szCs w:val="18"/>
              </w:rPr>
              <w:t> </w:t>
            </w:r>
            <w:r>
              <w:rPr>
                <w:rFonts w:ascii="宋体" w:hAnsi="宋体" w:cs="宋体" w:eastAsia="宋体" w:hint="default"/>
                <w:spacing w:val="-33"/>
                <w:sz w:val="18"/>
                <w:szCs w:val="18"/>
              </w:rPr>
              <w:t>标准化产品</w:t>
            </w:r>
            <w:r>
              <w:rPr>
                <w:rFonts w:ascii="宋体" w:hAnsi="宋体" w:cs="宋体" w:eastAsia="宋体" w:hint="default"/>
                <w:sz w:val="18"/>
                <w:szCs w:val="18"/>
              </w:rPr>
              <w:t> </w:t>
            </w:r>
            <w:r>
              <w:rPr>
                <w:rFonts w:ascii="宋体" w:hAnsi="宋体" w:cs="宋体" w:eastAsia="宋体" w:hint="default"/>
                <w:spacing w:val="-39"/>
                <w:sz w:val="18"/>
                <w:szCs w:val="18"/>
              </w:rPr>
              <w:t>项目</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10,303,661.42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633,929.40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9,669,732.02</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
              <w:jc w:val="left"/>
              <w:rPr>
                <w:rFonts w:ascii="Times New Roman" w:hAnsi="Times New Roman" w:cs="Times New Roman" w:eastAsia="Times New Roman" w:hint="default"/>
                <w:sz w:val="18"/>
                <w:szCs w:val="18"/>
              </w:rPr>
            </w:pPr>
            <w:r>
              <w:rPr>
                <w:rFonts w:ascii="宋体" w:hAnsi="宋体" w:cs="宋体" w:eastAsia="宋体" w:hint="default"/>
                <w:spacing w:val="-35"/>
                <w:sz w:val="18"/>
                <w:szCs w:val="18"/>
              </w:rPr>
              <w:t>酒店增值税自动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6"/>
                <w:sz w:val="18"/>
                <w:szCs w:val="18"/>
              </w:rPr>
              <w:t>化软件</w:t>
            </w:r>
            <w:r>
              <w:rPr>
                <w:rFonts w:ascii="Times New Roman" w:hAnsi="Times New Roman" w:cs="Times New Roman" w:eastAsia="Times New Roman" w:hint="default"/>
                <w:spacing w:val="-36"/>
                <w:sz w:val="18"/>
                <w:szCs w:val="18"/>
              </w:rPr>
              <w:t>VAT</w:t>
            </w:r>
            <w:r>
              <w:rPr>
                <w:rFonts w:ascii="Times New Roman" w:hAnsi="Times New Roman" w:cs="Times New Roman" w:eastAsia="Times New Roman"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8,976,962.30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8,976,962.30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
              <w:jc w:val="left"/>
              <w:rPr>
                <w:rFonts w:ascii="Times New Roman" w:hAnsi="Times New Roman" w:cs="Times New Roman" w:eastAsia="Times New Roman" w:hint="default"/>
                <w:sz w:val="18"/>
                <w:szCs w:val="18"/>
              </w:rPr>
            </w:pPr>
            <w:r>
              <w:rPr>
                <w:rFonts w:ascii="宋体" w:hAnsi="宋体" w:cs="宋体" w:eastAsia="宋体" w:hint="default"/>
                <w:spacing w:val="-35"/>
                <w:sz w:val="18"/>
                <w:szCs w:val="18"/>
              </w:rPr>
              <w:t>石基数字酒店餐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6"/>
                <w:sz w:val="18"/>
                <w:szCs w:val="18"/>
              </w:rPr>
              <w:t>厅收银系统</w:t>
            </w:r>
            <w:r>
              <w:rPr>
                <w:rFonts w:ascii="Times New Roman" w:hAnsi="Times New Roman" w:cs="Times New Roman" w:eastAsia="Times New Roman" w:hint="default"/>
                <w:spacing w:val="-26"/>
                <w:sz w:val="18"/>
                <w:szCs w:val="18"/>
              </w:rPr>
              <w:t>POS</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8,339,377.34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8,339,377.34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环企逸享版产品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整合项目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8,145,590.51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8,145,590.51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环企景区综合管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控平台研发项目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7,835,134.30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7,835,134.30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49"/>
              <w:ind w:left="22" w:right="8"/>
              <w:jc w:val="left"/>
              <w:rPr>
                <w:rFonts w:ascii="宋体" w:hAnsi="宋体" w:cs="宋体" w:eastAsia="宋体" w:hint="default"/>
                <w:sz w:val="18"/>
                <w:szCs w:val="18"/>
              </w:rPr>
            </w:pPr>
            <w:r>
              <w:rPr>
                <w:rFonts w:ascii="宋体" w:hAnsi="宋体" w:cs="宋体" w:eastAsia="宋体" w:hint="default"/>
                <w:spacing w:val="-17"/>
                <w:sz w:val="18"/>
                <w:szCs w:val="18"/>
              </w:rPr>
              <w:t>环企新</w:t>
            </w:r>
            <w:r>
              <w:rPr>
                <w:rFonts w:ascii="Times New Roman" w:hAnsi="Times New Roman" w:cs="Times New Roman" w:eastAsia="Times New Roman" w:hint="default"/>
                <w:spacing w:val="-17"/>
                <w:sz w:val="18"/>
                <w:szCs w:val="18"/>
              </w:rPr>
              <w:t>SaaS</w:t>
            </w:r>
            <w:r>
              <w:rPr>
                <w:rFonts w:ascii="宋体" w:hAnsi="宋体" w:cs="宋体" w:eastAsia="宋体" w:hint="default"/>
                <w:spacing w:val="-17"/>
                <w:sz w:val="18"/>
                <w:szCs w:val="18"/>
              </w:rPr>
              <w:t>旅</w:t>
            </w:r>
            <w:r>
              <w:rPr>
                <w:rFonts w:ascii="宋体" w:hAnsi="宋体" w:cs="宋体" w:eastAsia="宋体" w:hint="default"/>
                <w:spacing w:val="-86"/>
                <w:sz w:val="18"/>
                <w:szCs w:val="18"/>
              </w:rPr>
              <w:t> </w:t>
            </w:r>
            <w:r>
              <w:rPr>
                <w:rFonts w:ascii="宋体" w:hAnsi="宋体" w:cs="宋体" w:eastAsia="宋体" w:hint="default"/>
                <w:spacing w:val="-35"/>
                <w:sz w:val="18"/>
                <w:szCs w:val="18"/>
              </w:rPr>
              <w:t>游目的地营销平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2"/>
                <w:sz w:val="18"/>
                <w:szCs w:val="18"/>
              </w:rPr>
              <w:t>台研发项目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7,820,742.37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7,820,742.37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18"/>
                <w:sz w:val="18"/>
              </w:rPr>
              <w:t>Sinfonia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7,580,956.96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7,580,956.96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环企逸云终端研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7,549,001.02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7,549,001.02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2" w:right="8"/>
              <w:jc w:val="left"/>
              <w:rPr>
                <w:rFonts w:ascii="Times New Roman" w:hAnsi="Times New Roman" w:cs="Times New Roman" w:eastAsia="Times New Roman" w:hint="default"/>
                <w:sz w:val="18"/>
                <w:szCs w:val="18"/>
              </w:rPr>
            </w:pPr>
            <w:r>
              <w:rPr>
                <w:rFonts w:ascii="宋体" w:hAnsi="宋体" w:cs="宋体" w:eastAsia="宋体" w:hint="default"/>
                <w:spacing w:val="-35"/>
                <w:sz w:val="18"/>
                <w:szCs w:val="18"/>
              </w:rPr>
              <w:t>石基昆仑会务中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4"/>
                <w:sz w:val="18"/>
                <w:szCs w:val="18"/>
              </w:rPr>
              <w:t>心系统（简称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21"/>
                <w:sz w:val="18"/>
                <w:szCs w:val="18"/>
              </w:rPr>
              <w:t>KEH</w:t>
            </w:r>
            <w:r>
              <w:rPr>
                <w:rFonts w:ascii="宋体" w:hAnsi="宋体" w:cs="宋体" w:eastAsia="宋体" w:hint="default"/>
                <w:spacing w:val="-21"/>
                <w:sz w:val="18"/>
                <w:szCs w:val="18"/>
              </w:rPr>
              <w:t>）</w:t>
            </w:r>
            <w:r>
              <w:rPr>
                <w:rFonts w:ascii="Times New Roman" w:hAnsi="Times New Roman" w:cs="Times New Roman" w:eastAsia="Times New Roman" w:hint="default"/>
                <w:spacing w:val="-21"/>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6,620,694.91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6,620,694.91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339"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1"/>
                <w:sz w:val="18"/>
                <w:szCs w:val="18"/>
              </w:rPr>
              <w:t>富基信息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MSSV2.0</w:t>
            </w:r>
            <w:r>
              <w:rPr>
                <w:rFonts w:ascii="Times New Roman" w:hAnsi="Times New Roman" w:cs="Times New Roman" w:eastAsia="Times New Roman" w:hint="default"/>
                <w:spacing w:val="-25"/>
                <w:sz w:val="18"/>
                <w:szCs w:val="18"/>
              </w:rPr>
              <w:t> </w:t>
            </w:r>
            <w:r>
              <w:rPr>
                <w:rFonts w:ascii="宋体" w:hAnsi="宋体" w:cs="宋体" w:eastAsia="宋体" w:hint="default"/>
                <w:spacing w:val="-41"/>
                <w:sz w:val="18"/>
                <w:szCs w:val="18"/>
              </w:rPr>
              <w:t>产品</w:t>
            </w:r>
            <w:r>
              <w:rPr>
                <w:rFonts w:ascii="宋体" w:hAnsi="宋体" w:cs="宋体" w:eastAsia="宋体" w:hint="default"/>
                <w:sz w:val="18"/>
                <w:szCs w:val="18"/>
              </w:rPr>
            </w:r>
          </w:p>
          <w:p>
            <w:pPr>
              <w:pStyle w:val="TableParagraph"/>
              <w:spacing w:line="300" w:lineRule="auto" w:before="63"/>
              <w:ind w:left="22" w:right="144"/>
              <w:jc w:val="left"/>
              <w:rPr>
                <w:rFonts w:ascii="宋体" w:hAnsi="宋体" w:cs="宋体" w:eastAsia="宋体" w:hint="default"/>
                <w:sz w:val="18"/>
                <w:szCs w:val="18"/>
              </w:rPr>
            </w:pPr>
            <w:r>
              <w:rPr>
                <w:rFonts w:ascii="宋体" w:hAnsi="宋体" w:cs="宋体" w:eastAsia="宋体" w:hint="default"/>
                <w:spacing w:val="-37"/>
                <w:sz w:val="18"/>
                <w:szCs w:val="18"/>
              </w:rPr>
              <w:t>研发项目</w:t>
            </w:r>
            <w:r>
              <w:rPr>
                <w:rFonts w:ascii="Times New Roman" w:hAnsi="Times New Roman" w:cs="Times New Roman" w:eastAsia="Times New Roman" w:hint="default"/>
                <w:spacing w:val="-37"/>
                <w:sz w:val="18"/>
                <w:szCs w:val="18"/>
              </w:rPr>
              <w:t>-</w:t>
            </w:r>
            <w:r>
              <w:rPr>
                <w:rFonts w:ascii="宋体" w:hAnsi="宋体" w:cs="宋体" w:eastAsia="宋体" w:hint="default"/>
                <w:spacing w:val="-37"/>
                <w:sz w:val="18"/>
                <w:szCs w:val="18"/>
              </w:rPr>
              <w:t>内部</w:t>
            </w:r>
            <w:r>
              <w:rPr>
                <w:rFonts w:ascii="宋体" w:hAnsi="宋体" w:cs="宋体" w:eastAsia="宋体" w:hint="default"/>
                <w:spacing w:val="-39"/>
                <w:sz w:val="18"/>
                <w:szCs w:val="18"/>
              </w:rPr>
              <w:t> 立项</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5,659,413.02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5,560,545.79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98,867.23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pacing w:val="-35"/>
                <w:sz w:val="18"/>
                <w:szCs w:val="18"/>
              </w:rPr>
              <w:t>石基昆仑房包餐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5,598,432.69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5,598,432.69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3"/>
        <w:gridCol w:w="1064"/>
        <w:gridCol w:w="1061"/>
        <w:gridCol w:w="1064"/>
        <w:gridCol w:w="1063"/>
      </w:tblGrid>
      <w:tr>
        <w:trPr>
          <w:trHeight w:val="67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pacing w:val="-35"/>
                <w:sz w:val="18"/>
                <w:szCs w:val="18"/>
              </w:rPr>
              <w:t>识别系统（简称</w:t>
            </w:r>
          </w:p>
          <w:p>
            <w:pPr>
              <w:pStyle w:val="TableParagraph"/>
              <w:spacing w:line="240" w:lineRule="auto" w:before="7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1"/>
                <w:sz w:val="18"/>
                <w:szCs w:val="18"/>
              </w:rPr>
              <w:t>KPC</w:t>
            </w:r>
            <w:r>
              <w:rPr>
                <w:rFonts w:ascii="宋体" w:hAnsi="宋体" w:cs="宋体" w:eastAsia="宋体" w:hint="default"/>
                <w:spacing w:val="-21"/>
                <w:sz w:val="18"/>
                <w:szCs w:val="18"/>
              </w:rPr>
              <w:t>）</w:t>
            </w:r>
            <w:r>
              <w:rPr>
                <w:rFonts w:ascii="Times New Roman" w:hAnsi="Times New Roman" w:cs="Times New Roman" w:eastAsia="Times New Roman" w:hint="default"/>
                <w:spacing w:val="-21"/>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5"/>
                <w:sz w:val="18"/>
                <w:szCs w:val="18"/>
              </w:rPr>
              <w:t>西软云签名系统</w:t>
            </w: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spacing w:val="-20"/>
                <w:sz w:val="18"/>
              </w:rPr>
              <w:t>V1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5,411,639.54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20"/>
                <w:sz w:val="18"/>
              </w:rPr>
              <w:t>5,411,639.54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08"/>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中台</w:t>
            </w:r>
            <w:r>
              <w:rPr>
                <w:rFonts w:ascii="Times New Roman" w:hAnsi="Times New Roman" w:cs="Times New Roman" w:eastAsia="Times New Roman" w:hint="default"/>
                <w:spacing w:val="-22"/>
                <w:sz w:val="18"/>
                <w:szCs w:val="18"/>
              </w:rPr>
              <w:t>O2O</w:t>
            </w:r>
            <w:r>
              <w:rPr>
                <w:rFonts w:ascii="宋体" w:hAnsi="宋体" w:cs="宋体" w:eastAsia="宋体" w:hint="default"/>
                <w:spacing w:val="-22"/>
                <w:sz w:val="18"/>
                <w:szCs w:val="18"/>
              </w:rPr>
              <w:t>业务</w:t>
            </w:r>
            <w:r>
              <w:rPr>
                <w:rFonts w:ascii="宋体" w:hAnsi="宋体" w:cs="宋体" w:eastAsia="宋体" w:hint="default"/>
                <w:spacing w:val="-88"/>
                <w:sz w:val="18"/>
                <w:szCs w:val="18"/>
              </w:rPr>
              <w:t> </w:t>
            </w:r>
            <w:r>
              <w:rPr>
                <w:rFonts w:ascii="宋体" w:hAnsi="宋体" w:cs="宋体" w:eastAsia="宋体" w:hint="default"/>
                <w:spacing w:val="-18"/>
                <w:sz w:val="18"/>
                <w:szCs w:val="18"/>
              </w:rPr>
              <w:t>拓展</w:t>
            </w:r>
            <w:r>
              <w:rPr>
                <w:rFonts w:ascii="Times New Roman" w:hAnsi="Times New Roman" w:cs="Times New Roman" w:eastAsia="Times New Roman" w:hint="default"/>
                <w:spacing w:val="-18"/>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5,295,498.83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5,295,498.83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5"/>
                <w:sz w:val="18"/>
                <w:szCs w:val="18"/>
              </w:rPr>
              <w:t>石基大数据平台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5,223,754.75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5,223,754.75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339"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7" w:lineRule="auto" w:before="49"/>
              <w:ind w:left="22" w:right="36"/>
              <w:jc w:val="left"/>
              <w:rPr>
                <w:rFonts w:ascii="宋体" w:hAnsi="宋体" w:cs="宋体" w:eastAsia="宋体" w:hint="default"/>
                <w:sz w:val="18"/>
                <w:szCs w:val="18"/>
              </w:rPr>
            </w:pPr>
            <w:r>
              <w:rPr>
                <w:rFonts w:ascii="宋体" w:hAnsi="宋体" w:cs="宋体" w:eastAsia="宋体" w:hint="default"/>
                <w:spacing w:val="-32"/>
                <w:sz w:val="18"/>
                <w:szCs w:val="18"/>
              </w:rPr>
              <w:t>富基信息惠</w:t>
            </w:r>
            <w:r>
              <w:rPr>
                <w:rFonts w:ascii="宋体" w:hAnsi="宋体" w:cs="宋体" w:eastAsia="宋体" w:hint="default"/>
                <w:sz w:val="18"/>
                <w:szCs w:val="18"/>
              </w:rPr>
              <w:t> </w:t>
            </w:r>
            <w:r>
              <w:rPr>
                <w:rFonts w:ascii="Times New Roman" w:hAnsi="Times New Roman" w:cs="Times New Roman" w:eastAsia="Times New Roman" w:hint="default"/>
                <w:spacing w:val="-18"/>
                <w:sz w:val="18"/>
                <w:szCs w:val="18"/>
              </w:rPr>
              <w:t>GOV2.0</w:t>
            </w:r>
            <w:r>
              <w:rPr>
                <w:rFonts w:ascii="Times New Roman" w:hAnsi="Times New Roman" w:cs="Times New Roman" w:eastAsia="Times New Roman" w:hint="default"/>
                <w:spacing w:val="-27"/>
                <w:sz w:val="18"/>
                <w:szCs w:val="18"/>
              </w:rPr>
              <w:t> </w:t>
            </w:r>
            <w:r>
              <w:rPr>
                <w:rFonts w:ascii="宋体" w:hAnsi="宋体" w:cs="宋体" w:eastAsia="宋体" w:hint="default"/>
                <w:spacing w:val="-27"/>
                <w:sz w:val="18"/>
                <w:szCs w:val="18"/>
              </w:rPr>
              <w:t>产品研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2"/>
                <w:sz w:val="18"/>
                <w:szCs w:val="18"/>
              </w:rPr>
              <w:t>发项目</w:t>
            </w:r>
            <w:r>
              <w:rPr>
                <w:rFonts w:ascii="Times New Roman" w:hAnsi="Times New Roman" w:cs="Times New Roman" w:eastAsia="Times New Roman" w:hint="default"/>
                <w:spacing w:val="-32"/>
                <w:sz w:val="18"/>
                <w:szCs w:val="18"/>
              </w:rPr>
              <w:t>-</w:t>
            </w:r>
            <w:r>
              <w:rPr>
                <w:rFonts w:ascii="宋体" w:hAnsi="宋体" w:cs="宋体" w:eastAsia="宋体" w:hint="default"/>
                <w:spacing w:val="-32"/>
                <w:sz w:val="18"/>
                <w:szCs w:val="18"/>
              </w:rPr>
              <w:t>内部立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5,093,075.84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right"/>
              <w:rPr>
                <w:rFonts w:ascii="Times New Roman" w:hAnsi="Times New Roman" w:cs="Times New Roman" w:eastAsia="Times New Roman" w:hint="default"/>
                <w:sz w:val="18"/>
                <w:szCs w:val="18"/>
              </w:rPr>
            </w:pPr>
            <w:r>
              <w:rPr>
                <w:rFonts w:ascii="Times New Roman"/>
                <w:spacing w:val="-19"/>
                <w:sz w:val="18"/>
              </w:rPr>
              <w:t>4,970,630.16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
              <w:jc w:val="right"/>
              <w:rPr>
                <w:rFonts w:ascii="Times New Roman" w:hAnsi="Times New Roman" w:cs="Times New Roman" w:eastAsia="Times New Roman" w:hint="default"/>
                <w:sz w:val="18"/>
                <w:szCs w:val="18"/>
              </w:rPr>
            </w:pPr>
            <w:r>
              <w:rPr>
                <w:rFonts w:ascii="Times New Roman"/>
                <w:spacing w:val="-19"/>
                <w:sz w:val="18"/>
              </w:rPr>
              <w:t>122,445.68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2" w:right="48"/>
              <w:jc w:val="left"/>
              <w:rPr>
                <w:rFonts w:ascii="宋体" w:hAnsi="宋体" w:cs="宋体" w:eastAsia="宋体" w:hint="default"/>
                <w:sz w:val="18"/>
                <w:szCs w:val="18"/>
              </w:rPr>
            </w:pPr>
            <w:r>
              <w:rPr>
                <w:rFonts w:ascii="宋体" w:hAnsi="宋体" w:cs="宋体" w:eastAsia="宋体" w:hint="default"/>
                <w:spacing w:val="-41"/>
                <w:sz w:val="18"/>
                <w:szCs w:val="18"/>
              </w:rPr>
              <w:t>石基企业信息管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7"/>
                <w:sz w:val="18"/>
                <w:szCs w:val="18"/>
              </w:rPr>
              <w:t>理系统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4,745,335.87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4,745,335.87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环企逸速版系统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研发项目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4,447,905.70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4,447,905.70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
              <w:jc w:val="both"/>
              <w:rPr>
                <w:rFonts w:ascii="Times New Roman" w:hAnsi="Times New Roman" w:cs="Times New Roman" w:eastAsia="Times New Roman" w:hint="default"/>
                <w:sz w:val="18"/>
                <w:szCs w:val="18"/>
              </w:rPr>
            </w:pPr>
            <w:r>
              <w:rPr>
                <w:rFonts w:ascii="宋体" w:hAnsi="宋体" w:cs="宋体" w:eastAsia="宋体" w:hint="default"/>
                <w:spacing w:val="-35"/>
                <w:sz w:val="18"/>
                <w:szCs w:val="18"/>
              </w:rPr>
              <w:t>思迅商业零售业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软件产品升级开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5"/>
                <w:sz w:val="18"/>
                <w:szCs w:val="18"/>
              </w:rPr>
              <w:t>发</w:t>
            </w:r>
            <w:r>
              <w:rPr>
                <w:rFonts w:ascii="Times New Roman" w:hAnsi="Times New Roman" w:cs="Times New Roman" w:eastAsia="Times New Roman" w:hint="default"/>
                <w:spacing w:val="-25"/>
                <w:sz w:val="18"/>
                <w:szCs w:val="18"/>
              </w:rPr>
              <w:t>-008</w:t>
            </w:r>
            <w:r>
              <w:rPr>
                <w:rFonts w:ascii="Times New Roman" w:hAnsi="Times New Roman" w:cs="Times New Roman" w:eastAsia="Times New Roman"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4,231,810.13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4,231,810.13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38" w:lineRule="auto" w:before="49"/>
              <w:ind w:left="22" w:right="8"/>
              <w:jc w:val="left"/>
              <w:rPr>
                <w:rFonts w:ascii="Times New Roman" w:hAnsi="Times New Roman" w:cs="Times New Roman" w:eastAsia="Times New Roman" w:hint="default"/>
                <w:sz w:val="18"/>
                <w:szCs w:val="18"/>
              </w:rPr>
            </w:pPr>
            <w:r>
              <w:rPr>
                <w:rFonts w:ascii="宋体" w:hAnsi="宋体" w:cs="宋体" w:eastAsia="宋体" w:hint="default"/>
                <w:spacing w:val="-35"/>
                <w:sz w:val="18"/>
                <w:szCs w:val="18"/>
              </w:rPr>
              <w:t>美食联网通云平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台预订</w:t>
            </w:r>
            <w:r>
              <w:rPr>
                <w:rFonts w:ascii="宋体" w:hAnsi="宋体" w:cs="宋体" w:eastAsia="宋体" w:hint="default"/>
                <w:sz w:val="18"/>
                <w:szCs w:val="18"/>
              </w:rPr>
              <w:t> </w:t>
            </w:r>
            <w:r>
              <w:rPr>
                <w:rFonts w:ascii="Times New Roman" w:hAnsi="Times New Roman" w:cs="Times New Roman" w:eastAsia="Times New Roman" w:hint="default"/>
                <w:spacing w:val="-20"/>
                <w:sz w:val="18"/>
                <w:szCs w:val="18"/>
              </w:rPr>
              <w:t>[HeroTable]V2.0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4,184,825.78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4,184,825.78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pacing w:val="-28"/>
                <w:sz w:val="18"/>
                <w:szCs w:val="18"/>
              </w:rPr>
              <w:t>扫码点餐</w:t>
            </w:r>
            <w:r>
              <w:rPr>
                <w:rFonts w:ascii="Times New Roman" w:hAnsi="Times New Roman" w:cs="Times New Roman" w:eastAsia="Times New Roman" w:hint="default"/>
                <w:spacing w:val="-28"/>
                <w:sz w:val="18"/>
                <w:szCs w:val="18"/>
              </w:rPr>
              <w:t>-016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4,086,831.39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4,086,831.39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工程设备管理系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3,954,446.55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3,954,446.55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38" w:lineRule="auto" w:before="49"/>
              <w:ind w:left="22" w:right="8"/>
              <w:jc w:val="left"/>
              <w:rPr>
                <w:rFonts w:ascii="Times New Roman" w:hAnsi="Times New Roman" w:cs="Times New Roman" w:eastAsia="Times New Roman" w:hint="default"/>
                <w:sz w:val="18"/>
                <w:szCs w:val="18"/>
              </w:rPr>
            </w:pPr>
            <w:r>
              <w:rPr>
                <w:rFonts w:ascii="宋体" w:hAnsi="宋体" w:cs="宋体" w:eastAsia="宋体" w:hint="default"/>
                <w:spacing w:val="-35"/>
                <w:sz w:val="18"/>
                <w:szCs w:val="18"/>
              </w:rPr>
              <w:t>美食联网通云平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台餐饮</w:t>
            </w:r>
            <w:r>
              <w:rPr>
                <w:rFonts w:ascii="宋体" w:hAnsi="宋体" w:cs="宋体" w:eastAsia="宋体" w:hint="default"/>
                <w:sz w:val="18"/>
                <w:szCs w:val="18"/>
              </w:rPr>
              <w:t> </w:t>
            </w:r>
            <w:r>
              <w:rPr>
                <w:rFonts w:ascii="Times New Roman" w:hAnsi="Times New Roman" w:cs="Times New Roman" w:eastAsia="Times New Roman" w:hint="default"/>
                <w:spacing w:val="-19"/>
                <w:sz w:val="18"/>
                <w:szCs w:val="18"/>
              </w:rPr>
              <w:t>[Hero]V3.0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3,867,418.43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3,867,418.43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5"/>
                <w:sz w:val="18"/>
                <w:szCs w:val="18"/>
              </w:rPr>
              <w:t>西软云网站系统</w:t>
            </w: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spacing w:val="-20"/>
                <w:sz w:val="18"/>
              </w:rPr>
              <w:t>V1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3,806,095.41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3,806,095.41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337"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2" w:lineRule="exact" w:before="9"/>
              <w:ind w:left="22" w:right="23"/>
              <w:jc w:val="left"/>
              <w:rPr>
                <w:rFonts w:ascii="Times New Roman" w:hAnsi="Times New Roman" w:cs="Times New Roman" w:eastAsia="Times New Roman" w:hint="default"/>
                <w:sz w:val="18"/>
                <w:szCs w:val="18"/>
              </w:rPr>
            </w:pPr>
            <w:r>
              <w:rPr>
                <w:rFonts w:ascii="宋体" w:hAnsi="宋体" w:cs="宋体" w:eastAsia="宋体" w:hint="default"/>
                <w:spacing w:val="-41"/>
                <w:sz w:val="18"/>
                <w:szCs w:val="18"/>
              </w:rPr>
              <w:t>美食联网通云平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7"/>
                <w:sz w:val="18"/>
                <w:szCs w:val="18"/>
              </w:rPr>
              <w:t>台客户</w:t>
            </w:r>
            <w:r>
              <w:rPr>
                <w:rFonts w:ascii="宋体" w:hAnsi="宋体" w:cs="宋体" w:eastAsia="宋体" w:hint="default"/>
                <w:sz w:val="18"/>
                <w:szCs w:val="18"/>
              </w:rPr>
              <w:t> </w:t>
            </w:r>
            <w:r>
              <w:rPr>
                <w:rFonts w:ascii="Times New Roman" w:hAnsi="Times New Roman" w:cs="Times New Roman" w:eastAsia="Times New Roman" w:hint="default"/>
                <w:spacing w:val="-20"/>
                <w:sz w:val="18"/>
                <w:szCs w:val="18"/>
              </w:rPr>
              <w:t>[HeroLoyalty]V2.</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30"/>
                <w:sz w:val="18"/>
                <w:szCs w:val="18"/>
              </w:rPr>
            </w:r>
            <w:r>
              <w:rPr>
                <w:rFonts w:ascii="Times New Roman" w:hAnsi="Times New Roman" w:cs="Times New Roman" w:eastAsia="Times New Roman" w:hint="default"/>
                <w:sz w:val="18"/>
                <w:szCs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3,679,402.12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
              <w:jc w:val="right"/>
              <w:rPr>
                <w:rFonts w:ascii="Times New Roman" w:hAnsi="Times New Roman" w:cs="Times New Roman" w:eastAsia="Times New Roman" w:hint="default"/>
                <w:sz w:val="18"/>
                <w:szCs w:val="18"/>
              </w:rPr>
            </w:pPr>
            <w:r>
              <w:rPr>
                <w:rFonts w:ascii="Times New Roman"/>
                <w:spacing w:val="-19"/>
                <w:sz w:val="18"/>
              </w:rPr>
              <w:t>3,679,402.12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
              <w:jc w:val="left"/>
              <w:rPr>
                <w:rFonts w:ascii="Times New Roman" w:hAnsi="Times New Roman" w:cs="Times New Roman" w:eastAsia="Times New Roman" w:hint="default"/>
                <w:sz w:val="18"/>
                <w:szCs w:val="18"/>
              </w:rPr>
            </w:pPr>
            <w:r>
              <w:rPr>
                <w:rFonts w:ascii="宋体" w:hAnsi="宋体" w:cs="宋体" w:eastAsia="宋体" w:hint="default"/>
                <w:spacing w:val="-35"/>
                <w:sz w:val="18"/>
                <w:szCs w:val="18"/>
              </w:rPr>
              <w:t>西软云酒店管理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软件</w:t>
            </w:r>
            <w:r>
              <w:rPr>
                <w:rFonts w:ascii="Times New Roman" w:hAnsi="Times New Roman" w:cs="Times New Roman" w:eastAsia="Times New Roman" w:hint="default"/>
                <w:spacing w:val="-18"/>
                <w:sz w:val="18"/>
                <w:szCs w:val="18"/>
              </w:rPr>
              <w:t>V2.0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3,416,849.64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3,416,849.64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38" w:lineRule="auto" w:before="49"/>
              <w:ind w:left="22" w:right="8"/>
              <w:jc w:val="left"/>
              <w:rPr>
                <w:rFonts w:ascii="Times New Roman" w:hAnsi="Times New Roman" w:cs="Times New Roman" w:eastAsia="Times New Roman" w:hint="default"/>
                <w:sz w:val="18"/>
                <w:szCs w:val="18"/>
              </w:rPr>
            </w:pPr>
            <w:r>
              <w:rPr>
                <w:rFonts w:ascii="宋体" w:hAnsi="宋体" w:cs="宋体" w:eastAsia="宋体" w:hint="default"/>
                <w:spacing w:val="-35"/>
                <w:sz w:val="18"/>
                <w:szCs w:val="18"/>
              </w:rPr>
              <w:t>美食联网通智能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分析系统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20"/>
                <w:sz w:val="18"/>
                <w:szCs w:val="18"/>
              </w:rPr>
              <w:t>[:InfrasysBI]V2.0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3,408,695.49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3,408,695.49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pacing w:val="-21"/>
                <w:sz w:val="18"/>
                <w:szCs w:val="18"/>
              </w:rPr>
              <w:t>Cambridge</w:t>
            </w:r>
            <w:r>
              <w:rPr>
                <w:rFonts w:ascii="宋体" w:hAnsi="宋体" w:cs="宋体" w:eastAsia="宋体" w:hint="default"/>
                <w:spacing w:val="-21"/>
                <w:sz w:val="18"/>
                <w:szCs w:val="18"/>
              </w:rPr>
              <w:t>康桥</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3,332,993.81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3,332,993.81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3"/>
        <w:gridCol w:w="1064"/>
        <w:gridCol w:w="1061"/>
        <w:gridCol w:w="1064"/>
        <w:gridCol w:w="1063"/>
      </w:tblGrid>
      <w:tr>
        <w:trPr>
          <w:trHeight w:val="362"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pacing w:val="-35"/>
                <w:sz w:val="18"/>
                <w:szCs w:val="18"/>
              </w:rPr>
              <w:t>云酒店管理系统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13" w:space="0" w:color="FFFFFF"/>
            </w:tcBorders>
            <w:shd w:val="clear" w:color="auto" w:fill="D9D9D9"/>
          </w:tcPr>
          <w:p>
            <w:pPr>
              <w:pStyle w:val="TableParagraph"/>
              <w:spacing w:line="300" w:lineRule="auto" w:before="49"/>
              <w:ind w:left="22" w:right="-2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9"/>
                <w:sz w:val="18"/>
                <w:szCs w:val="18"/>
              </w:rPr>
              <w:t>2018ehop</w:t>
            </w:r>
            <w:r>
              <w:rPr>
                <w:rFonts w:ascii="宋体" w:hAnsi="宋体" w:cs="宋体" w:eastAsia="宋体" w:hint="default"/>
                <w:spacing w:val="-19"/>
                <w:sz w:val="18"/>
                <w:szCs w:val="18"/>
              </w:rPr>
              <w:t>移动管</w:t>
            </w:r>
            <w:r>
              <w:rPr>
                <w:rFonts w:ascii="宋体" w:hAnsi="宋体" w:cs="宋体" w:eastAsia="宋体" w:hint="default"/>
                <w:sz w:val="18"/>
                <w:szCs w:val="18"/>
              </w:rPr>
              <w:t> </w:t>
            </w:r>
            <w:r>
              <w:rPr>
                <w:rFonts w:ascii="宋体" w:hAnsi="宋体" w:cs="宋体" w:eastAsia="宋体" w:hint="default"/>
                <w:spacing w:val="-17"/>
                <w:sz w:val="18"/>
                <w:szCs w:val="18"/>
              </w:rPr>
              <w:t>家</w:t>
            </w:r>
            <w:r>
              <w:rPr>
                <w:rFonts w:ascii="Times New Roman" w:hAnsi="Times New Roman" w:cs="Times New Roman" w:eastAsia="Times New Roman" w:hint="default"/>
                <w:spacing w:val="-17"/>
                <w:sz w:val="18"/>
                <w:szCs w:val="18"/>
              </w:rPr>
              <w:t>018</w:t>
            </w:r>
            <w:r>
              <w:rPr>
                <w:rFonts w:ascii="Times New Roman" w:hAnsi="Times New Roman" w:cs="Times New Roman" w:eastAsia="Times New Roman" w:hint="default"/>
                <w:sz w:val="18"/>
                <w:szCs w:val="18"/>
              </w:rPr>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3,327,484.82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3,327,484.82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5"/>
                <w:sz w:val="18"/>
                <w:szCs w:val="18"/>
              </w:rPr>
              <w:t>西软云公寓系统</w:t>
            </w: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spacing w:val="-20"/>
                <w:sz w:val="18"/>
              </w:rPr>
              <w:t>V1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3,134,579.68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3,134,579.68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19"/>
                <w:sz w:val="18"/>
              </w:rPr>
              <w:t>StayntouchInc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3,120,284.87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3,120,284.87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smp</w:t>
            </w:r>
            <w:r>
              <w:rPr>
                <w:rFonts w:ascii="Times New Roman" w:hAnsi="Times New Roman" w:cs="Times New Roman" w:eastAsia="Times New Roman" w:hint="default"/>
                <w:spacing w:val="-22"/>
                <w:sz w:val="18"/>
                <w:szCs w:val="18"/>
              </w:rPr>
              <w:t> </w:t>
            </w:r>
            <w:r>
              <w:rPr>
                <w:rFonts w:ascii="宋体" w:hAnsi="宋体" w:cs="宋体" w:eastAsia="宋体" w:hint="default"/>
                <w:spacing w:val="-31"/>
                <w:sz w:val="18"/>
                <w:szCs w:val="18"/>
              </w:rPr>
              <w:t>平台系统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3,059,441.17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3,059,441.17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49"/>
              <w:ind w:left="22" w:right="8"/>
              <w:jc w:val="left"/>
              <w:rPr>
                <w:rFonts w:ascii="Times New Roman" w:hAnsi="Times New Roman" w:cs="Times New Roman" w:eastAsia="Times New Roman" w:hint="default"/>
                <w:sz w:val="18"/>
                <w:szCs w:val="18"/>
              </w:rPr>
            </w:pPr>
            <w:r>
              <w:rPr>
                <w:rFonts w:ascii="宋体" w:hAnsi="宋体" w:cs="宋体" w:eastAsia="宋体" w:hint="default"/>
                <w:spacing w:val="-37"/>
                <w:sz w:val="18"/>
                <w:szCs w:val="18"/>
              </w:rPr>
              <w:t>委托研发</w:t>
            </w:r>
            <w:r>
              <w:rPr>
                <w:rFonts w:ascii="Times New Roman" w:hAnsi="Times New Roman" w:cs="Times New Roman" w:eastAsia="Times New Roman" w:hint="default"/>
                <w:spacing w:val="-37"/>
                <w:sz w:val="18"/>
                <w:szCs w:val="18"/>
              </w:rPr>
              <w:t>-</w:t>
            </w:r>
            <w:r>
              <w:rPr>
                <w:rFonts w:ascii="宋体" w:hAnsi="宋体" w:cs="宋体" w:eastAsia="宋体" w:hint="default"/>
                <w:spacing w:val="-37"/>
                <w:sz w:val="18"/>
                <w:szCs w:val="18"/>
              </w:rPr>
              <w:t>思迅</w:t>
            </w:r>
            <w:r>
              <w:rPr>
                <w:rFonts w:ascii="宋体" w:hAnsi="宋体" w:cs="宋体" w:eastAsia="宋体" w:hint="default"/>
                <w:spacing w:val="-39"/>
                <w:sz w:val="18"/>
                <w:szCs w:val="18"/>
              </w:rPr>
              <w:t> </w:t>
            </w:r>
            <w:r>
              <w:rPr>
                <w:rFonts w:ascii="宋体" w:hAnsi="宋体" w:cs="宋体" w:eastAsia="宋体" w:hint="default"/>
                <w:spacing w:val="-35"/>
                <w:sz w:val="18"/>
                <w:szCs w:val="18"/>
              </w:rPr>
              <w:t>盘点及收货管理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4"/>
                <w:sz w:val="18"/>
                <w:szCs w:val="18"/>
              </w:rPr>
              <w:t>系统软件</w:t>
            </w:r>
            <w:r>
              <w:rPr>
                <w:rFonts w:ascii="Times New Roman" w:hAnsi="Times New Roman" w:cs="Times New Roman" w:eastAsia="Times New Roman" w:hint="default"/>
                <w:spacing w:val="-24"/>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3,050,000.00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3,050,000.00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340"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7"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富基信息自助收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2"/>
                <w:sz w:val="18"/>
                <w:szCs w:val="18"/>
              </w:rPr>
              <w:t>银</w:t>
            </w:r>
            <w:r>
              <w:rPr>
                <w:rFonts w:ascii="Times New Roman" w:hAnsi="Times New Roman" w:cs="Times New Roman" w:eastAsia="Times New Roman" w:hint="default"/>
                <w:spacing w:val="-22"/>
                <w:sz w:val="18"/>
                <w:szCs w:val="18"/>
              </w:rPr>
              <w:t>POSV1.0</w:t>
            </w:r>
            <w:r>
              <w:rPr>
                <w:rFonts w:ascii="宋体" w:hAnsi="宋体" w:cs="宋体" w:eastAsia="宋体" w:hint="default"/>
                <w:spacing w:val="-22"/>
                <w:sz w:val="18"/>
                <w:szCs w:val="18"/>
              </w:rPr>
              <w:t>产品</w:t>
            </w:r>
            <w:r>
              <w:rPr>
                <w:rFonts w:ascii="宋体" w:hAnsi="宋体" w:cs="宋体" w:eastAsia="宋体" w:hint="default"/>
                <w:spacing w:val="-39"/>
                <w:sz w:val="18"/>
                <w:szCs w:val="18"/>
              </w:rPr>
              <w:t> </w:t>
            </w:r>
            <w:r>
              <w:rPr>
                <w:rFonts w:ascii="宋体" w:hAnsi="宋体" w:cs="宋体" w:eastAsia="宋体" w:hint="default"/>
                <w:spacing w:val="-37"/>
                <w:sz w:val="18"/>
                <w:szCs w:val="18"/>
              </w:rPr>
              <w:t>研发项目</w:t>
            </w:r>
            <w:r>
              <w:rPr>
                <w:rFonts w:ascii="Times New Roman" w:hAnsi="Times New Roman" w:cs="Times New Roman" w:eastAsia="Times New Roman" w:hint="default"/>
                <w:spacing w:val="-37"/>
                <w:sz w:val="18"/>
                <w:szCs w:val="18"/>
              </w:rPr>
              <w:t>-</w:t>
            </w:r>
            <w:r>
              <w:rPr>
                <w:rFonts w:ascii="宋体" w:hAnsi="宋体" w:cs="宋体" w:eastAsia="宋体" w:hint="default"/>
                <w:spacing w:val="-37"/>
                <w:sz w:val="18"/>
                <w:szCs w:val="18"/>
              </w:rPr>
              <w:t>内部</w:t>
            </w:r>
            <w:r>
              <w:rPr>
                <w:rFonts w:ascii="宋体" w:hAnsi="宋体" w:cs="宋体" w:eastAsia="宋体" w:hint="default"/>
                <w:spacing w:val="-39"/>
                <w:sz w:val="18"/>
                <w:szCs w:val="18"/>
              </w:rPr>
              <w:t> 立项</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2,832,617.20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right"/>
              <w:rPr>
                <w:rFonts w:ascii="Times New Roman" w:hAnsi="Times New Roman" w:cs="Times New Roman" w:eastAsia="Times New Roman" w:hint="default"/>
                <w:sz w:val="18"/>
                <w:szCs w:val="18"/>
              </w:rPr>
            </w:pPr>
            <w:r>
              <w:rPr>
                <w:rFonts w:ascii="Times New Roman"/>
                <w:spacing w:val="-19"/>
                <w:sz w:val="18"/>
              </w:rPr>
              <w:t>2,832,617.20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天店软件升级开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2,677,538.70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2,677,538.70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微钱包移动支付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平台</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2,646,313.90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2,646,313.90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
              <w:jc w:val="both"/>
              <w:rPr>
                <w:rFonts w:ascii="Times New Roman" w:hAnsi="Times New Roman" w:cs="Times New Roman" w:eastAsia="Times New Roman" w:hint="default"/>
                <w:sz w:val="18"/>
                <w:szCs w:val="18"/>
              </w:rPr>
            </w:pPr>
            <w:r>
              <w:rPr>
                <w:rFonts w:ascii="宋体" w:hAnsi="宋体" w:cs="宋体" w:eastAsia="宋体" w:hint="default"/>
                <w:spacing w:val="-35"/>
                <w:sz w:val="18"/>
                <w:szCs w:val="18"/>
              </w:rPr>
              <w:t>石基昆仑中央预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订中心系统（简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9"/>
                <w:sz w:val="18"/>
                <w:szCs w:val="18"/>
              </w:rPr>
              <w:t>称</w:t>
            </w:r>
            <w:r>
              <w:rPr>
                <w:rFonts w:ascii="Times New Roman" w:hAnsi="Times New Roman" w:cs="Times New Roman" w:eastAsia="Times New Roman" w:hint="default"/>
                <w:spacing w:val="-19"/>
                <w:sz w:val="18"/>
                <w:szCs w:val="18"/>
              </w:rPr>
              <w:t>CRS</w:t>
            </w:r>
            <w:r>
              <w:rPr>
                <w:rFonts w:ascii="宋体" w:hAnsi="宋体" w:cs="宋体" w:eastAsia="宋体" w:hint="default"/>
                <w:spacing w:val="-19"/>
                <w:sz w:val="18"/>
                <w:szCs w:val="18"/>
              </w:rPr>
              <w:t>）</w:t>
            </w:r>
            <w:r>
              <w:rPr>
                <w:rFonts w:ascii="Times New Roman" w:hAnsi="Times New Roman" w:cs="Times New Roman" w:eastAsia="Times New Roman" w:hint="default"/>
                <w:spacing w:val="-19"/>
                <w:sz w:val="18"/>
                <w:szCs w:val="18"/>
              </w:rPr>
              <w:t>V3.16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2,576,652.37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2,576,652.37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2" w:right="8"/>
              <w:jc w:val="left"/>
              <w:rPr>
                <w:rFonts w:ascii="Times New Roman" w:hAnsi="Times New Roman" w:cs="Times New Roman" w:eastAsia="Times New Roman" w:hint="default"/>
                <w:sz w:val="18"/>
                <w:szCs w:val="18"/>
              </w:rPr>
            </w:pPr>
            <w:r>
              <w:rPr>
                <w:rFonts w:ascii="宋体" w:hAnsi="宋体" w:cs="宋体" w:eastAsia="宋体" w:hint="default"/>
                <w:spacing w:val="-35"/>
                <w:sz w:val="18"/>
                <w:szCs w:val="18"/>
              </w:rPr>
              <w:t>自助收银（安卓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4"/>
                <w:sz w:val="18"/>
                <w:szCs w:val="18"/>
              </w:rPr>
              <w:t>版）</w:t>
            </w:r>
            <w:r>
              <w:rPr>
                <w:rFonts w:ascii="Times New Roman" w:hAnsi="Times New Roman" w:cs="Times New Roman" w:eastAsia="Times New Roman" w:hint="default"/>
                <w:spacing w:val="-24"/>
                <w:sz w:val="18"/>
                <w:szCs w:val="18"/>
              </w:rPr>
              <w:t>-009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2,507,591.13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2,507,591.13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18"/>
                <w:sz w:val="18"/>
              </w:rPr>
              <w:t>pastoral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2,484,640.25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2,484,640.25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pacing w:val="-23"/>
                <w:sz w:val="18"/>
                <w:szCs w:val="18"/>
              </w:rPr>
              <w:t>扫码购</w:t>
            </w:r>
            <w:r>
              <w:rPr>
                <w:rFonts w:ascii="Times New Roman" w:hAnsi="Times New Roman" w:cs="Times New Roman" w:eastAsia="Times New Roman" w:hint="default"/>
                <w:spacing w:val="-23"/>
                <w:sz w:val="18"/>
                <w:szCs w:val="18"/>
              </w:rPr>
              <w:t>017</w:t>
            </w:r>
            <w:r>
              <w:rPr>
                <w:rFonts w:ascii="Times New Roman" w:hAnsi="Times New Roman" w:cs="Times New Roman" w:eastAsia="Times New Roman"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2,402,308.07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2,402,308.07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
              <w:jc w:val="both"/>
              <w:rPr>
                <w:rFonts w:ascii="Times New Roman" w:hAnsi="Times New Roman" w:cs="Times New Roman" w:eastAsia="Times New Roman" w:hint="default"/>
                <w:sz w:val="18"/>
                <w:szCs w:val="18"/>
              </w:rPr>
            </w:pPr>
            <w:r>
              <w:rPr>
                <w:rFonts w:ascii="宋体" w:hAnsi="宋体" w:cs="宋体" w:eastAsia="宋体" w:hint="default"/>
                <w:spacing w:val="-35"/>
                <w:sz w:val="18"/>
                <w:szCs w:val="18"/>
              </w:rPr>
              <w:t>正品北京大兴国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际机场智慧餐饮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平台</w:t>
            </w:r>
            <w:r>
              <w:rPr>
                <w:rFonts w:ascii="Times New Roman" w:hAnsi="Times New Roman" w:cs="Times New Roman" w:eastAsia="Times New Roman" w:hint="default"/>
                <w:spacing w:val="-18"/>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2,392,313.04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2,392,313.04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银石卡标记化服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8"/>
                <w:sz w:val="18"/>
                <w:szCs w:val="18"/>
              </w:rPr>
              <w:t>务平台（</w:t>
            </w:r>
            <w:r>
              <w:rPr>
                <w:rFonts w:ascii="Times New Roman" w:hAnsi="Times New Roman" w:cs="Times New Roman" w:eastAsia="Times New Roman" w:hint="default"/>
                <w:spacing w:val="-28"/>
                <w:sz w:val="18"/>
                <w:szCs w:val="18"/>
              </w:rPr>
              <w:t>STS</w:t>
            </w:r>
            <w:r>
              <w:rPr>
                <w:rFonts w:ascii="宋体" w:hAnsi="宋体" w:cs="宋体" w:eastAsia="宋体" w:hint="default"/>
                <w:spacing w:val="-28"/>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2,372,667.93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2,372,667.93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72"/>
              <w:jc w:val="left"/>
              <w:rPr>
                <w:rFonts w:ascii="宋体" w:hAnsi="宋体" w:cs="宋体" w:eastAsia="宋体" w:hint="default"/>
                <w:sz w:val="18"/>
                <w:szCs w:val="18"/>
              </w:rPr>
            </w:pPr>
            <w:r>
              <w:rPr>
                <w:rFonts w:ascii="Times New Roman" w:hAnsi="Times New Roman" w:cs="Times New Roman" w:eastAsia="Times New Roman" w:hint="default"/>
                <w:spacing w:val="-21"/>
                <w:sz w:val="18"/>
                <w:szCs w:val="18"/>
              </w:rPr>
              <w:t>Glory</w:t>
            </w:r>
            <w:r>
              <w:rPr>
                <w:rFonts w:ascii="宋体" w:hAnsi="宋体" w:cs="宋体" w:eastAsia="宋体" w:hint="default"/>
                <w:spacing w:val="-21"/>
                <w:sz w:val="18"/>
                <w:szCs w:val="18"/>
              </w:rPr>
              <w:t>中央预订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9"/>
                <w:sz w:val="18"/>
                <w:szCs w:val="18"/>
              </w:rPr>
              <w:t>系统</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2,266,953.32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2,266,953.32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微餐厅微商店在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线产品升级开发</w:t>
            </w:r>
          </w:p>
          <w:p>
            <w:pPr>
              <w:pStyle w:val="TableParagraph"/>
              <w:spacing w:line="240" w:lineRule="auto" w:before="59"/>
              <w:ind w:left="22" w:right="0"/>
              <w:jc w:val="left"/>
              <w:rPr>
                <w:rFonts w:ascii="Times New Roman" w:hAnsi="Times New Roman" w:cs="Times New Roman" w:eastAsia="Times New Roman" w:hint="default"/>
                <w:sz w:val="18"/>
                <w:szCs w:val="18"/>
              </w:rPr>
            </w:pPr>
            <w:r>
              <w:rPr>
                <w:rFonts w:ascii="Times New Roman"/>
                <w:spacing w:val="-21"/>
                <w:sz w:val="18"/>
              </w:rPr>
              <w:t>-002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2,231,179.42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2,231,179.42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
              <w:jc w:val="both"/>
              <w:rPr>
                <w:rFonts w:ascii="Times New Roman" w:hAnsi="Times New Roman" w:cs="Times New Roman" w:eastAsia="Times New Roman" w:hint="default"/>
                <w:sz w:val="18"/>
                <w:szCs w:val="18"/>
              </w:rPr>
            </w:pPr>
            <w:r>
              <w:rPr>
                <w:rFonts w:ascii="宋体" w:hAnsi="宋体" w:cs="宋体" w:eastAsia="宋体" w:hint="default"/>
                <w:spacing w:val="-35"/>
                <w:sz w:val="18"/>
                <w:szCs w:val="18"/>
              </w:rPr>
              <w:t>思迅大型商贸企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业信息管理系统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2"/>
                <w:sz w:val="18"/>
                <w:szCs w:val="18"/>
              </w:rPr>
              <w:t>开发与服务</w:t>
            </w:r>
            <w:r>
              <w:rPr>
                <w:rFonts w:ascii="Times New Roman" w:hAnsi="Times New Roman" w:cs="Times New Roman" w:eastAsia="Times New Roman" w:hint="default"/>
                <w:spacing w:val="-32"/>
                <w:sz w:val="18"/>
                <w:szCs w:val="18"/>
              </w:rPr>
              <w:t>-004</w:t>
            </w:r>
            <w:r>
              <w:rPr>
                <w:rFonts w:ascii="Times New Roman" w:hAnsi="Times New Roman" w:cs="Times New Roman" w:eastAsia="Times New Roman"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2,169,299.08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2,169,299.08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pacing w:val="-19"/>
                <w:sz w:val="18"/>
                <w:szCs w:val="18"/>
              </w:rPr>
              <w:t>思迅</w:t>
            </w:r>
            <w:r>
              <w:rPr>
                <w:rFonts w:ascii="Times New Roman" w:hAnsi="Times New Roman" w:cs="Times New Roman" w:eastAsia="Times New Roman" w:hint="default"/>
                <w:spacing w:val="-19"/>
                <w:sz w:val="18"/>
                <w:szCs w:val="18"/>
              </w:rPr>
              <w:t>eshop</w:t>
            </w:r>
            <w:r>
              <w:rPr>
                <w:rFonts w:ascii="Times New Roman" w:hAnsi="Times New Roman" w:cs="Times New Roman" w:eastAsia="Times New Roman" w:hint="default"/>
                <w:spacing w:val="-22"/>
                <w:sz w:val="18"/>
                <w:szCs w:val="18"/>
              </w:rPr>
              <w:t> </w:t>
            </w:r>
            <w:r>
              <w:rPr>
                <w:rFonts w:ascii="宋体" w:hAnsi="宋体" w:cs="宋体" w:eastAsia="宋体" w:hint="default"/>
                <w:spacing w:val="-41"/>
                <w:sz w:val="18"/>
                <w:szCs w:val="18"/>
              </w:rPr>
              <w:t>商业</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2,114,466.43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20"/>
                <w:sz w:val="18"/>
              </w:rPr>
              <w:t>2,114,466.43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104.997002pt;margin-top:379.48999pt;width:56.7pt;height:22.05pt;mso-position-horizontal-relative:page;mso-position-vertical-relative:page;z-index:-1383592" type="#_x0000_t202" filled="false" stroked="false">
            <v:textbox inset="0,0,0,0">
              <w:txbxContent>
                <w:p>
                  <w:pPr>
                    <w:spacing w:line="240" w:lineRule="auto" w:before="9"/>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10.059998pt;margin-top:378.889984pt;width:52.7pt;height:28.1pt;mso-position-horizontal-relative:page;mso-position-vertical-relative:page;z-index:-1383568" coordorigin="2201,7578" coordsize="1054,562">
            <v:group style="position:absolute;left:2213;top:7590;width:2;height:394" coordorigin="2213,7590" coordsize="2,394">
              <v:shape style="position:absolute;left:2213;top:7590;width:2;height:394" coordorigin="2213,7590" coordsize="0,394" path="m2213,7590l2213,7983e" filled="false" stroked="true" strokeweight="1.2pt" strokecolor="#ffffff">
                <v:path arrowok="t"/>
              </v:shape>
            </v:group>
            <v:group style="position:absolute;left:2201;top:7983;width:1054;height:156" coordorigin="2201,7983" coordsize="1054,156">
              <v:shape style="position:absolute;left:2201;top:7983;width:1054;height:156" coordorigin="2201,7983" coordsize="1054,156" path="m2201,8139l3255,8139,3255,7983,2201,7983,2201,8139xe" filled="true" fillcolor="#ffffff" stroked="false">
                <v:path arrowok="t"/>
                <v:fill type="solid"/>
              </v:shape>
            </v:group>
            <v:group style="position:absolute;left:2225;top:7590;width:1008;height:394" coordorigin="2225,7590" coordsize="1008,394">
              <v:shape style="position:absolute;left:2225;top:7590;width:1008;height:394" coordorigin="2225,7590" coordsize="1008,394" path="m2225,7983l3233,7983,3233,7590,2225,7590,2225,7983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062"/>
        <w:gridCol w:w="443"/>
        <w:gridCol w:w="621"/>
        <w:gridCol w:w="1064"/>
        <w:gridCol w:w="1063"/>
        <w:gridCol w:w="1063"/>
        <w:gridCol w:w="1064"/>
        <w:gridCol w:w="1061"/>
        <w:gridCol w:w="1064"/>
        <w:gridCol w:w="1063"/>
      </w:tblGrid>
      <w:tr>
        <w:trPr>
          <w:trHeight w:val="67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pacing w:val="-34"/>
                <w:sz w:val="18"/>
                <w:szCs w:val="18"/>
              </w:rPr>
              <w:t>软件升级开发</w:t>
            </w:r>
          </w:p>
          <w:p>
            <w:pPr>
              <w:pStyle w:val="TableParagraph"/>
              <w:spacing w:line="240" w:lineRule="auto" w:before="119"/>
              <w:ind w:left="22" w:right="0"/>
              <w:jc w:val="left"/>
              <w:rPr>
                <w:rFonts w:ascii="Times New Roman" w:hAnsi="Times New Roman" w:cs="Times New Roman" w:eastAsia="Times New Roman" w:hint="default"/>
                <w:sz w:val="18"/>
                <w:szCs w:val="18"/>
              </w:rPr>
            </w:pPr>
            <w:r>
              <w:rPr>
                <w:rFonts w:ascii="Times New Roman"/>
                <w:spacing w:val="-21"/>
                <w:sz w:val="18"/>
              </w:rPr>
              <w:t>-003</w:t>
            </w:r>
            <w:r>
              <w:rPr>
                <w:rFonts w:ascii="Times New Roman"/>
                <w:sz w:val="18"/>
              </w:rPr>
            </w:r>
          </w:p>
        </w:tc>
        <w:tc>
          <w:tcPr>
            <w:tcW w:w="1063"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B/S</w:t>
            </w:r>
            <w:r>
              <w:rPr>
                <w:rFonts w:ascii="Times New Roman" w:hAnsi="Times New Roman" w:cs="Times New Roman" w:eastAsia="Times New Roman" w:hint="default"/>
                <w:spacing w:val="-26"/>
                <w:sz w:val="18"/>
                <w:szCs w:val="18"/>
              </w:rPr>
              <w:t> </w:t>
            </w:r>
            <w:r>
              <w:rPr>
                <w:rFonts w:ascii="宋体" w:hAnsi="宋体" w:cs="宋体" w:eastAsia="宋体" w:hint="default"/>
                <w:spacing w:val="-33"/>
                <w:sz w:val="18"/>
                <w:szCs w:val="18"/>
              </w:rPr>
              <w:t>架构商友超</w:t>
            </w:r>
            <w:r>
              <w:rPr>
                <w:rFonts w:ascii="宋体" w:hAnsi="宋体" w:cs="宋体" w:eastAsia="宋体" w:hint="default"/>
                <w:sz w:val="18"/>
                <w:szCs w:val="18"/>
              </w:rPr>
              <w:t> </w:t>
            </w:r>
            <w:r>
              <w:rPr>
                <w:rFonts w:ascii="宋体" w:hAnsi="宋体" w:cs="宋体" w:eastAsia="宋体" w:hint="default"/>
                <w:spacing w:val="-27"/>
                <w:sz w:val="18"/>
                <w:szCs w:val="18"/>
              </w:rPr>
              <w:t>市系统</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pacing w:val="-19"/>
                <w:sz w:val="18"/>
              </w:rPr>
              <w:t>2,200,773.21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1,972,478.35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4,173,251.56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48"/>
              <w:jc w:val="left"/>
              <w:rPr>
                <w:rFonts w:ascii="宋体" w:hAnsi="宋体" w:cs="宋体" w:eastAsia="宋体" w:hint="default"/>
                <w:sz w:val="18"/>
                <w:szCs w:val="18"/>
              </w:rPr>
            </w:pPr>
            <w:r>
              <w:rPr>
                <w:rFonts w:ascii="Times New Roman" w:hAnsi="Times New Roman" w:cs="Times New Roman" w:eastAsia="Times New Roman" w:hint="default"/>
                <w:spacing w:val="-24"/>
                <w:sz w:val="18"/>
                <w:szCs w:val="18"/>
              </w:rPr>
              <w:t>011</w:t>
            </w:r>
            <w:r>
              <w:rPr>
                <w:rFonts w:ascii="宋体" w:hAnsi="宋体" w:cs="宋体" w:eastAsia="宋体" w:hint="default"/>
                <w:spacing w:val="-24"/>
                <w:sz w:val="18"/>
                <w:szCs w:val="18"/>
              </w:rPr>
              <w:t>考拉母婴系</w:t>
            </w:r>
            <w:r>
              <w:rPr>
                <w:rFonts w:ascii="宋体" w:hAnsi="宋体" w:cs="宋体" w:eastAsia="宋体" w:hint="default"/>
                <w:sz w:val="18"/>
                <w:szCs w:val="18"/>
              </w:rPr>
              <w:t> 统</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1,909,839.01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1,909,839.01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
              <w:jc w:val="left"/>
              <w:rPr>
                <w:rFonts w:ascii="Times New Roman" w:hAnsi="Times New Roman" w:cs="Times New Roman" w:eastAsia="Times New Roman" w:hint="default"/>
                <w:sz w:val="18"/>
                <w:szCs w:val="18"/>
              </w:rPr>
            </w:pPr>
            <w:r>
              <w:rPr>
                <w:rFonts w:ascii="宋体" w:hAnsi="宋体" w:cs="宋体" w:eastAsia="宋体" w:hint="default"/>
                <w:spacing w:val="-35"/>
                <w:sz w:val="18"/>
                <w:szCs w:val="18"/>
              </w:rPr>
              <w:t>集团运营数据监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4"/>
                <w:sz w:val="18"/>
                <w:szCs w:val="18"/>
              </w:rPr>
              <w:t>控系统（简称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21"/>
                <w:sz w:val="18"/>
                <w:szCs w:val="18"/>
              </w:rPr>
              <w:t>SOC</w:t>
            </w:r>
            <w:r>
              <w:rPr>
                <w:rFonts w:ascii="宋体" w:hAnsi="宋体" w:cs="宋体" w:eastAsia="宋体" w:hint="default"/>
                <w:spacing w:val="-21"/>
                <w:sz w:val="18"/>
                <w:szCs w:val="18"/>
              </w:rPr>
              <w:t>）</w:t>
            </w:r>
            <w:r>
              <w:rPr>
                <w:rFonts w:ascii="Times New Roman" w:hAnsi="Times New Roman" w:cs="Times New Roman" w:eastAsia="Times New Roman" w:hint="default"/>
                <w:spacing w:val="-21"/>
                <w:sz w:val="18"/>
                <w:szCs w:val="18"/>
              </w:rPr>
              <w:t>V1.0</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1,709,864.06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1,709,864.06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1"/>
                <w:sz w:val="18"/>
                <w:szCs w:val="18"/>
              </w:rPr>
              <w:t>自助收银</w:t>
            </w: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spacing w:val="-19"/>
                <w:sz w:val="18"/>
              </w:rPr>
              <w:t>window-015</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1,655,171.94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1,655,171.94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13" w:space="0" w:color="FFFFFF"/>
            </w:tcBorders>
            <w:shd w:val="clear" w:color="auto" w:fill="D9D9D9"/>
          </w:tcPr>
          <w:p>
            <w:pPr>
              <w:pStyle w:val="TableParagraph"/>
              <w:spacing w:line="300" w:lineRule="auto" w:before="49"/>
              <w:ind w:left="22" w:right="-29"/>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POS</w:t>
            </w:r>
            <w:r>
              <w:rPr>
                <w:rFonts w:ascii="Times New Roman" w:hAnsi="Times New Roman" w:cs="Times New Roman" w:eastAsia="Times New Roman" w:hint="default"/>
                <w:spacing w:val="-26"/>
                <w:sz w:val="18"/>
                <w:szCs w:val="18"/>
              </w:rPr>
              <w:t> </w:t>
            </w:r>
            <w:r>
              <w:rPr>
                <w:rFonts w:ascii="宋体" w:hAnsi="宋体" w:cs="宋体" w:eastAsia="宋体" w:hint="default"/>
                <w:spacing w:val="-33"/>
                <w:sz w:val="18"/>
                <w:szCs w:val="18"/>
              </w:rPr>
              <w:t>服务中台系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统</w:t>
            </w:r>
          </w:p>
        </w:tc>
        <w:tc>
          <w:tcPr>
            <w:tcW w:w="1063"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1,607,519.91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1,136,985.40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470,534.51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25"/>
              <w:jc w:val="left"/>
              <w:rPr>
                <w:rFonts w:ascii="宋体" w:hAnsi="宋体" w:cs="宋体" w:eastAsia="宋体" w:hint="default"/>
                <w:sz w:val="18"/>
                <w:szCs w:val="18"/>
              </w:rPr>
            </w:pPr>
            <w:r>
              <w:rPr>
                <w:rFonts w:ascii="宋体" w:hAnsi="宋体" w:cs="宋体" w:eastAsia="宋体" w:hint="default"/>
                <w:spacing w:val="-35"/>
                <w:sz w:val="18"/>
                <w:szCs w:val="18"/>
              </w:rPr>
              <w:t>数字门店项目</w:t>
            </w:r>
            <w:r>
              <w:rPr>
                <w:rFonts w:ascii="Times New Roman" w:hAnsi="Times New Roman" w:cs="Times New Roman" w:eastAsia="Times New Roman" w:hint="default"/>
                <w:spacing w:val="-3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pacing w:val="-31"/>
                <w:sz w:val="18"/>
                <w:szCs w:val="18"/>
              </w:rPr>
              <w:t>内部研发</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1,560,997.47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1,560,997.47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SOFTPOS</w:t>
            </w:r>
            <w:r>
              <w:rPr>
                <w:rFonts w:ascii="Times New Roman" w:hAnsi="Times New Roman" w:cs="Times New Roman" w:eastAsia="Times New Roman" w:hint="default"/>
                <w:spacing w:val="-25"/>
                <w:sz w:val="18"/>
                <w:szCs w:val="18"/>
              </w:rPr>
              <w:t> </w:t>
            </w:r>
            <w:r>
              <w:rPr>
                <w:rFonts w:ascii="宋体" w:hAnsi="宋体" w:cs="宋体" w:eastAsia="宋体" w:hint="default"/>
                <w:spacing w:val="-41"/>
                <w:sz w:val="18"/>
                <w:szCs w:val="18"/>
              </w:rPr>
              <w:t>云推</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送</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2,161,764.96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2,161,764.96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计算机公司项目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1"/>
                <w:sz w:val="18"/>
                <w:szCs w:val="18"/>
              </w:rPr>
              <w:t>计划书（云收银</w:t>
            </w:r>
          </w:p>
        </w:tc>
        <w:tc>
          <w:tcPr>
            <w:tcW w:w="443" w:type="dxa"/>
            <w:tcBorders>
              <w:top w:val="single" w:sz="4" w:space="0" w:color="000000"/>
              <w:left w:val="single" w:sz="4" w:space="0" w:color="000000"/>
              <w:bottom w:val="single" w:sz="4" w:space="0" w:color="000000"/>
              <w:right w:val="nil" w:sz="6" w:space="0" w:color="auto"/>
            </w:tcBorders>
          </w:tcPr>
          <w:p>
            <w:pPr/>
          </w:p>
        </w:tc>
        <w:tc>
          <w:tcPr>
            <w:tcW w:w="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1,947,833.41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1,947,833.41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三亚海昌梦幻不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夜城</w:t>
            </w:r>
            <w:r>
              <w:rPr>
                <w:rFonts w:ascii="宋体" w:hAnsi="宋体" w:cs="宋体" w:eastAsia="宋体" w:hint="default"/>
                <w:sz w:val="18"/>
                <w:szCs w:val="18"/>
              </w:rPr>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1,736,352.27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1,736,352.27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2" w:right="48"/>
              <w:jc w:val="left"/>
              <w:rPr>
                <w:rFonts w:ascii="宋体" w:hAnsi="宋体" w:cs="宋体" w:eastAsia="宋体" w:hint="default"/>
                <w:sz w:val="18"/>
                <w:szCs w:val="18"/>
              </w:rPr>
            </w:pPr>
            <w:r>
              <w:rPr>
                <w:rFonts w:ascii="宋体" w:hAnsi="宋体" w:cs="宋体" w:eastAsia="宋体" w:hint="default"/>
                <w:spacing w:val="-41"/>
                <w:sz w:val="18"/>
                <w:szCs w:val="18"/>
              </w:rPr>
              <w:t>银石通用支付平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台</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1,674,309.60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1,674,309.60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24"/>
              <w:jc w:val="center"/>
              <w:rPr>
                <w:rFonts w:ascii="宋体" w:hAnsi="宋体" w:cs="宋体" w:eastAsia="宋体" w:hint="default"/>
                <w:sz w:val="18"/>
                <w:szCs w:val="18"/>
              </w:rPr>
            </w:pPr>
            <w:r>
              <w:rPr>
                <w:rFonts w:ascii="宋体" w:hAnsi="宋体" w:cs="宋体" w:eastAsia="宋体" w:hint="default"/>
                <w:spacing w:val="-34"/>
                <w:sz w:val="18"/>
                <w:szCs w:val="18"/>
              </w:rPr>
              <w:t>浙江康邻科技</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1,289,088.48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1,289,088.48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24"/>
              <w:jc w:val="center"/>
              <w:rPr>
                <w:rFonts w:ascii="宋体" w:hAnsi="宋体" w:cs="宋体" w:eastAsia="宋体" w:hint="default"/>
                <w:sz w:val="18"/>
                <w:szCs w:val="18"/>
              </w:rPr>
            </w:pPr>
            <w:r>
              <w:rPr>
                <w:rFonts w:ascii="宋体" w:hAnsi="宋体" w:cs="宋体" w:eastAsia="宋体" w:hint="default"/>
                <w:spacing w:val="-34"/>
                <w:sz w:val="18"/>
                <w:szCs w:val="18"/>
              </w:rPr>
              <w:t>任务管理系统</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1,489,113.72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20"/>
                <w:sz w:val="18"/>
              </w:rPr>
              <w:t>1,489,113.72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建材市场管理系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统</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1,401,555.09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1,297,569.52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103,985.57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建材商超门店系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统</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1,331,953.15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1,229,310.38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102,642.77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
              <w:jc w:val="both"/>
              <w:rPr>
                <w:rFonts w:ascii="宋体" w:hAnsi="宋体" w:cs="宋体" w:eastAsia="宋体" w:hint="default"/>
                <w:sz w:val="18"/>
                <w:szCs w:val="18"/>
              </w:rPr>
            </w:pPr>
            <w:r>
              <w:rPr>
                <w:rFonts w:ascii="宋体" w:hAnsi="宋体" w:cs="宋体" w:eastAsia="宋体" w:hint="default"/>
                <w:spacing w:val="-35"/>
                <w:sz w:val="18"/>
                <w:szCs w:val="18"/>
              </w:rPr>
              <w:t>基于分布式计算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的云销售管理应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用研发</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1,077,400.81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138,604.33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938,796.48</w:t>
            </w:r>
          </w:p>
        </w:tc>
      </w:tr>
      <w:tr>
        <w:trPr>
          <w:trHeight w:val="716" w:hRule="exact"/>
        </w:trPr>
        <w:tc>
          <w:tcPr>
            <w:tcW w:w="1062" w:type="dxa"/>
            <w:tcBorders>
              <w:top w:val="single" w:sz="4" w:space="0" w:color="000000"/>
              <w:left w:val="single" w:sz="4" w:space="0" w:color="000000"/>
              <w:bottom w:val="single" w:sz="4" w:space="0" w:color="000000"/>
              <w:right w:val="single" w:sz="13" w:space="0" w:color="FFFFFF"/>
            </w:tcBorders>
            <w:shd w:val="clear" w:color="auto" w:fill="D9D9D9"/>
          </w:tcPr>
          <w:p>
            <w:pPr>
              <w:pStyle w:val="TableParagraph"/>
              <w:spacing w:line="300" w:lineRule="auto" w:before="49"/>
              <w:ind w:left="22" w:right="-32"/>
              <w:jc w:val="left"/>
              <w:rPr>
                <w:rFonts w:ascii="宋体" w:hAnsi="宋体" w:cs="宋体" w:eastAsia="宋体" w:hint="default"/>
                <w:sz w:val="18"/>
                <w:szCs w:val="18"/>
              </w:rPr>
            </w:pPr>
            <w:r>
              <w:rPr>
                <w:rFonts w:ascii="宋体" w:hAnsi="宋体" w:cs="宋体" w:eastAsia="宋体" w:hint="default"/>
                <w:spacing w:val="-23"/>
                <w:sz w:val="18"/>
                <w:szCs w:val="18"/>
              </w:rPr>
              <w:t>云</w:t>
            </w:r>
            <w:r>
              <w:rPr>
                <w:rFonts w:ascii="Times New Roman" w:hAnsi="Times New Roman" w:cs="Times New Roman" w:eastAsia="Times New Roman" w:hint="default"/>
                <w:spacing w:val="-23"/>
                <w:sz w:val="18"/>
                <w:szCs w:val="18"/>
              </w:rPr>
              <w:t>POS</w:t>
            </w:r>
            <w:r>
              <w:rPr>
                <w:rFonts w:ascii="宋体" w:hAnsi="宋体" w:cs="宋体" w:eastAsia="宋体" w:hint="default"/>
                <w:spacing w:val="-23"/>
                <w:sz w:val="18"/>
                <w:szCs w:val="18"/>
              </w:rPr>
              <w:t>专业款机</w:t>
            </w:r>
            <w:r>
              <w:rPr>
                <w:rFonts w:ascii="宋体" w:hAnsi="宋体" w:cs="宋体" w:eastAsia="宋体" w:hint="default"/>
                <w:sz w:val="18"/>
                <w:szCs w:val="18"/>
              </w:rPr>
              <w:t> </w:t>
            </w:r>
            <w:r>
              <w:rPr>
                <w:rFonts w:ascii="宋体" w:hAnsi="宋体" w:cs="宋体" w:eastAsia="宋体" w:hint="default"/>
                <w:spacing w:val="-31"/>
                <w:sz w:val="18"/>
                <w:szCs w:val="18"/>
              </w:rPr>
              <w:t>端</w:t>
            </w:r>
            <w:r>
              <w:rPr>
                <w:rFonts w:ascii="Times New Roman" w:hAnsi="Times New Roman" w:cs="Times New Roman" w:eastAsia="Times New Roman" w:hint="default"/>
                <w:spacing w:val="-31"/>
                <w:sz w:val="18"/>
                <w:szCs w:val="18"/>
              </w:rPr>
              <w:t>-</w:t>
            </w:r>
            <w:r>
              <w:rPr>
                <w:rFonts w:ascii="宋体" w:hAnsi="宋体" w:cs="宋体" w:eastAsia="宋体" w:hint="default"/>
                <w:spacing w:val="-31"/>
                <w:sz w:val="18"/>
                <w:szCs w:val="18"/>
              </w:rPr>
              <w:t>内部立项</w:t>
            </w:r>
          </w:p>
        </w:tc>
        <w:tc>
          <w:tcPr>
            <w:tcW w:w="1063"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pacing w:val="-19"/>
                <w:sz w:val="18"/>
              </w:rPr>
              <w:t>1,847,181.15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903,973.42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2,751,154.57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
              <w:jc w:val="both"/>
              <w:rPr>
                <w:rFonts w:ascii="宋体" w:hAnsi="宋体" w:cs="宋体" w:eastAsia="宋体" w:hint="default"/>
                <w:sz w:val="18"/>
                <w:szCs w:val="18"/>
              </w:rPr>
            </w:pPr>
            <w:r>
              <w:rPr>
                <w:rFonts w:ascii="宋体" w:hAnsi="宋体" w:cs="宋体" w:eastAsia="宋体" w:hint="default"/>
                <w:spacing w:val="-35"/>
                <w:sz w:val="18"/>
                <w:szCs w:val="18"/>
              </w:rPr>
              <w:t>跨平台移动开发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技术在酒店企业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工作圈中的应用</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865,481.43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53,881.44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811,599.99</w:t>
            </w:r>
          </w:p>
        </w:tc>
      </w:tr>
      <w:tr>
        <w:trPr>
          <w:trHeight w:val="674"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8"/>
              <w:jc w:val="left"/>
              <w:rPr>
                <w:rFonts w:ascii="宋体" w:hAnsi="宋体" w:cs="宋体" w:eastAsia="宋体" w:hint="default"/>
                <w:sz w:val="18"/>
                <w:szCs w:val="18"/>
              </w:rPr>
            </w:pPr>
            <w:r>
              <w:rPr>
                <w:rFonts w:ascii="宋体" w:hAnsi="宋体" w:cs="宋体" w:eastAsia="宋体" w:hint="default"/>
                <w:spacing w:val="-23"/>
                <w:sz w:val="18"/>
                <w:szCs w:val="18"/>
              </w:rPr>
              <w:t>新一代</w:t>
            </w:r>
            <w:r>
              <w:rPr>
                <w:rFonts w:ascii="Times New Roman" w:hAnsi="Times New Roman" w:cs="Times New Roman" w:eastAsia="Times New Roman" w:hint="default"/>
                <w:spacing w:val="-23"/>
                <w:sz w:val="18"/>
                <w:szCs w:val="18"/>
              </w:rPr>
              <w:t>JAVA</w:t>
            </w:r>
            <w:r>
              <w:rPr>
                <w:rFonts w:ascii="宋体" w:hAnsi="宋体" w:cs="宋体" w:eastAsia="宋体" w:hint="default"/>
                <w:spacing w:val="-23"/>
                <w:sz w:val="18"/>
                <w:szCs w:val="18"/>
              </w:rPr>
              <w:t>富</w:t>
            </w:r>
            <w:r>
              <w:rPr>
                <w:rFonts w:ascii="宋体" w:hAnsi="宋体" w:cs="宋体" w:eastAsia="宋体" w:hint="default"/>
                <w:spacing w:val="-86"/>
                <w:sz w:val="18"/>
                <w:szCs w:val="18"/>
              </w:rPr>
              <w:t> </w:t>
            </w:r>
            <w:r>
              <w:rPr>
                <w:rFonts w:ascii="宋体" w:hAnsi="宋体" w:cs="宋体" w:eastAsia="宋体" w:hint="default"/>
                <w:spacing w:val="-35"/>
                <w:sz w:val="18"/>
                <w:szCs w:val="18"/>
              </w:rPr>
              <w:t>客户端技术在客</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865,210.59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126,696.97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738,513.62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3"/>
        <w:gridCol w:w="1064"/>
        <w:gridCol w:w="1061"/>
        <w:gridCol w:w="1064"/>
        <w:gridCol w:w="1063"/>
      </w:tblGrid>
      <w:tr>
        <w:trPr>
          <w:trHeight w:val="67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8"/>
              <w:ind w:left="22" w:right="8"/>
              <w:jc w:val="left"/>
              <w:rPr>
                <w:rFonts w:ascii="宋体" w:hAnsi="宋体" w:cs="宋体" w:eastAsia="宋体" w:hint="default"/>
                <w:sz w:val="18"/>
                <w:szCs w:val="18"/>
              </w:rPr>
            </w:pPr>
            <w:r>
              <w:rPr>
                <w:rFonts w:ascii="宋体" w:hAnsi="宋体" w:cs="宋体" w:eastAsia="宋体" w:hint="default"/>
                <w:spacing w:val="-35"/>
                <w:sz w:val="18"/>
                <w:szCs w:val="18"/>
              </w:rPr>
              <w:t>房中央预订业务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中的应用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13" w:space="0" w:color="FFFFFF"/>
            </w:tcBorders>
            <w:shd w:val="clear" w:color="auto" w:fill="D9D9D9"/>
          </w:tcPr>
          <w:p>
            <w:pPr>
              <w:pStyle w:val="TableParagraph"/>
              <w:spacing w:line="300" w:lineRule="auto" w:before="49"/>
              <w:ind w:left="22" w:right="-32"/>
              <w:jc w:val="left"/>
              <w:rPr>
                <w:rFonts w:ascii="宋体" w:hAnsi="宋体" w:cs="宋体" w:eastAsia="宋体" w:hint="default"/>
                <w:sz w:val="18"/>
                <w:szCs w:val="18"/>
              </w:rPr>
            </w:pPr>
            <w:r>
              <w:rPr>
                <w:rFonts w:ascii="宋体" w:hAnsi="宋体" w:cs="宋体" w:eastAsia="宋体" w:hint="default"/>
                <w:spacing w:val="-23"/>
                <w:sz w:val="18"/>
                <w:szCs w:val="18"/>
              </w:rPr>
              <w:t>建材市场</w:t>
            </w:r>
            <w:r>
              <w:rPr>
                <w:rFonts w:ascii="Times New Roman" w:hAnsi="Times New Roman" w:cs="Times New Roman" w:eastAsia="Times New Roman" w:hint="default"/>
                <w:spacing w:val="-23"/>
                <w:sz w:val="18"/>
                <w:szCs w:val="18"/>
              </w:rPr>
              <w:t>POS</w:t>
            </w:r>
            <w:r>
              <w:rPr>
                <w:rFonts w:ascii="宋体" w:hAnsi="宋体" w:cs="宋体" w:eastAsia="宋体" w:hint="default"/>
                <w:spacing w:val="-23"/>
                <w:sz w:val="18"/>
                <w:szCs w:val="18"/>
              </w:rPr>
              <w:t>系</w:t>
            </w:r>
            <w:r>
              <w:rPr>
                <w:rFonts w:ascii="宋体" w:hAnsi="宋体" w:cs="宋体" w:eastAsia="宋体" w:hint="default"/>
                <w:sz w:val="18"/>
                <w:szCs w:val="18"/>
              </w:rPr>
              <w:t> 统</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826,318.68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758,206.06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68,112.62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65"/>
              <w:jc w:val="left"/>
              <w:rPr>
                <w:rFonts w:ascii="宋体" w:hAnsi="宋体" w:cs="宋体" w:eastAsia="宋体" w:hint="default"/>
                <w:sz w:val="18"/>
                <w:szCs w:val="18"/>
              </w:rPr>
            </w:pPr>
            <w:r>
              <w:rPr>
                <w:rFonts w:ascii="宋体" w:hAnsi="宋体" w:cs="宋体" w:eastAsia="宋体" w:hint="default"/>
                <w:spacing w:val="-19"/>
                <w:sz w:val="18"/>
                <w:szCs w:val="18"/>
              </w:rPr>
              <w:t>云</w:t>
            </w:r>
            <w:r>
              <w:rPr>
                <w:rFonts w:ascii="Times New Roman" w:hAnsi="Times New Roman" w:cs="Times New Roman" w:eastAsia="Times New Roman" w:hint="default"/>
                <w:spacing w:val="-19"/>
                <w:sz w:val="18"/>
                <w:szCs w:val="18"/>
              </w:rPr>
              <w:t>POS</w:t>
            </w:r>
            <w:r>
              <w:rPr>
                <w:rFonts w:ascii="宋体" w:hAnsi="宋体" w:cs="宋体" w:eastAsia="宋体" w:hint="default"/>
                <w:spacing w:val="-19"/>
                <w:sz w:val="18"/>
                <w:szCs w:val="18"/>
              </w:rPr>
              <w:t>移动端</w:t>
            </w:r>
            <w:r>
              <w:rPr>
                <w:rFonts w:ascii="Times New Roman" w:hAnsi="Times New Roman" w:cs="Times New Roman" w:eastAsia="Times New Roman" w:hint="default"/>
                <w:spacing w:val="-19"/>
                <w:sz w:val="18"/>
                <w:szCs w:val="18"/>
              </w:rPr>
              <w:t>-</w:t>
            </w:r>
            <w:r>
              <w:rPr>
                <w:rFonts w:ascii="Times New Roman" w:hAnsi="Times New Roman" w:cs="Times New Roman" w:eastAsia="Times New Roman" w:hint="default"/>
                <w:sz w:val="18"/>
                <w:szCs w:val="18"/>
              </w:rPr>
              <w:t> </w:t>
            </w:r>
            <w:r>
              <w:rPr>
                <w:rFonts w:ascii="宋体" w:hAnsi="宋体" w:cs="宋体" w:eastAsia="宋体" w:hint="default"/>
                <w:spacing w:val="-31"/>
                <w:sz w:val="18"/>
                <w:szCs w:val="18"/>
              </w:rPr>
              <w:t>内部立项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1,486,872.41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582,239.95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2,069,112.36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13" w:space="0" w:color="FFFFFF"/>
            </w:tcBorders>
            <w:shd w:val="clear" w:color="auto" w:fill="D9D9D9"/>
          </w:tcPr>
          <w:p>
            <w:pPr>
              <w:pStyle w:val="TableParagraph"/>
              <w:spacing w:line="300" w:lineRule="auto" w:before="49"/>
              <w:ind w:left="22" w:right="-29"/>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POS</w:t>
            </w:r>
            <w:r>
              <w:rPr>
                <w:rFonts w:ascii="Times New Roman" w:hAnsi="Times New Roman" w:cs="Times New Roman" w:eastAsia="Times New Roman" w:hint="default"/>
                <w:spacing w:val="-26"/>
                <w:sz w:val="18"/>
                <w:szCs w:val="18"/>
              </w:rPr>
              <w:t> </w:t>
            </w:r>
            <w:r>
              <w:rPr>
                <w:rFonts w:ascii="宋体" w:hAnsi="宋体" w:cs="宋体" w:eastAsia="宋体" w:hint="default"/>
                <w:spacing w:val="-33"/>
                <w:sz w:val="18"/>
                <w:szCs w:val="18"/>
              </w:rPr>
              <w:t>客屏自助收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7"/>
                <w:sz w:val="18"/>
                <w:szCs w:val="18"/>
              </w:rPr>
              <w:t>银系统</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515,499.30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356,074.91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159,424.39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5"/>
                <w:sz w:val="18"/>
                <w:szCs w:val="18"/>
              </w:rPr>
              <w:t>自营集合店系统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364,857.36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99,453.00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265,404.36</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会员微信小程序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系统</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340,376.28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91,489.00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248,887.28</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17"/>
              <w:jc w:val="left"/>
              <w:rPr>
                <w:rFonts w:ascii="宋体" w:hAnsi="宋体" w:cs="宋体" w:eastAsia="宋体" w:hint="default"/>
                <w:sz w:val="18"/>
                <w:szCs w:val="18"/>
              </w:rPr>
            </w:pPr>
            <w:r>
              <w:rPr>
                <w:rFonts w:ascii="宋体" w:hAnsi="宋体" w:cs="宋体" w:eastAsia="宋体" w:hint="default"/>
                <w:spacing w:val="-21"/>
                <w:sz w:val="18"/>
                <w:szCs w:val="18"/>
              </w:rPr>
              <w:t>可视化</w:t>
            </w:r>
            <w:r>
              <w:rPr>
                <w:rFonts w:ascii="Times New Roman" w:hAnsi="Times New Roman" w:cs="Times New Roman" w:eastAsia="Times New Roman" w:hint="default"/>
                <w:spacing w:val="-21"/>
                <w:sz w:val="18"/>
                <w:szCs w:val="18"/>
              </w:rPr>
              <w:t>CI</w:t>
            </w:r>
            <w:r>
              <w:rPr>
                <w:rFonts w:ascii="Times New Roman" w:hAnsi="Times New Roman" w:cs="Times New Roman" w:eastAsia="Times New Roman" w:hint="default"/>
                <w:spacing w:val="-31"/>
                <w:sz w:val="18"/>
                <w:szCs w:val="18"/>
              </w:rPr>
              <w:t> </w:t>
            </w:r>
            <w:r>
              <w:rPr>
                <w:rFonts w:ascii="宋体" w:hAnsi="宋体" w:cs="宋体" w:eastAsia="宋体" w:hint="default"/>
                <w:spacing w:val="-41"/>
                <w:sz w:val="18"/>
                <w:szCs w:val="18"/>
              </w:rPr>
              <w:t>分析 </w:t>
            </w:r>
            <w:r>
              <w:rPr>
                <w:rFonts w:ascii="宋体" w:hAnsi="宋体" w:cs="宋体" w:eastAsia="宋体" w:hint="default"/>
                <w:spacing w:val="-39"/>
                <w:sz w:val="18"/>
                <w:szCs w:val="18"/>
              </w:rPr>
              <w:t>系统</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303,125.55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83,705.00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219,420.55</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购物中心餐饮系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220,267.96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59,856.00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160,411.96</w:t>
            </w:r>
          </w:p>
        </w:tc>
      </w:tr>
      <w:tr>
        <w:trPr>
          <w:trHeight w:val="715" w:hRule="exact"/>
        </w:trPr>
        <w:tc>
          <w:tcPr>
            <w:tcW w:w="1062" w:type="dxa"/>
            <w:tcBorders>
              <w:top w:val="single" w:sz="4" w:space="0" w:color="000000"/>
              <w:left w:val="single" w:sz="4" w:space="0" w:color="000000"/>
              <w:bottom w:val="single" w:sz="4" w:space="0" w:color="000000"/>
              <w:right w:val="single" w:sz="13" w:space="0" w:color="FFFFFF"/>
            </w:tcBorders>
            <w:shd w:val="clear" w:color="auto" w:fill="D9D9D9"/>
          </w:tcPr>
          <w:p>
            <w:pPr>
              <w:pStyle w:val="TableParagraph"/>
              <w:spacing w:line="300" w:lineRule="auto" w:before="49"/>
              <w:ind w:left="22" w:right="-29"/>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POS</w:t>
            </w:r>
            <w:r>
              <w:rPr>
                <w:rFonts w:ascii="Times New Roman" w:hAnsi="Times New Roman" w:cs="Times New Roman" w:eastAsia="Times New Roman" w:hint="default"/>
                <w:spacing w:val="-26"/>
                <w:sz w:val="18"/>
                <w:szCs w:val="18"/>
              </w:rPr>
              <w:t> </w:t>
            </w:r>
            <w:r>
              <w:rPr>
                <w:rFonts w:ascii="宋体" w:hAnsi="宋体" w:cs="宋体" w:eastAsia="宋体" w:hint="default"/>
                <w:spacing w:val="-33"/>
                <w:sz w:val="18"/>
                <w:szCs w:val="18"/>
              </w:rPr>
              <w:t>销售中台服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7"/>
                <w:sz w:val="18"/>
                <w:szCs w:val="18"/>
              </w:rPr>
              <w:t>务项目</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217,835.68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216,740.28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434,575.96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
              <w:jc w:val="both"/>
              <w:rPr>
                <w:rFonts w:ascii="宋体" w:hAnsi="宋体" w:cs="宋体" w:eastAsia="宋体" w:hint="default"/>
                <w:sz w:val="18"/>
                <w:szCs w:val="18"/>
              </w:rPr>
            </w:pPr>
            <w:r>
              <w:rPr>
                <w:rFonts w:ascii="宋体" w:hAnsi="宋体" w:cs="宋体" w:eastAsia="宋体" w:hint="default"/>
                <w:spacing w:val="-35"/>
                <w:sz w:val="18"/>
                <w:szCs w:val="18"/>
              </w:rPr>
              <w:t>基于云计算的酒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店企业服务平台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研发</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173,066.69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sz w:val="18"/>
              </w:rPr>
              <w:t>2,617.26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170,449.43</w:t>
            </w: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2" w:right="8"/>
              <w:jc w:val="both"/>
              <w:rPr>
                <w:rFonts w:ascii="宋体" w:hAnsi="宋体" w:cs="宋体" w:eastAsia="宋体" w:hint="default"/>
                <w:sz w:val="18"/>
                <w:szCs w:val="18"/>
              </w:rPr>
            </w:pPr>
            <w:r>
              <w:rPr>
                <w:rFonts w:ascii="宋体" w:hAnsi="宋体" w:cs="宋体" w:eastAsia="宋体" w:hint="default"/>
                <w:spacing w:val="-35"/>
                <w:sz w:val="18"/>
                <w:szCs w:val="18"/>
              </w:rPr>
              <w:t>酒店社交媒体客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人自助服务应用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研发</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163,399.22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sz w:val="18"/>
              </w:rPr>
              <w:t>2,873.69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160,525.53</w:t>
            </w:r>
          </w:p>
        </w:tc>
      </w:tr>
      <w:tr>
        <w:trPr>
          <w:trHeight w:val="1337"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2" w:lineRule="auto" w:before="49"/>
              <w:ind w:left="22" w:right="8"/>
              <w:jc w:val="both"/>
              <w:rPr>
                <w:rFonts w:ascii="宋体" w:hAnsi="宋体" w:cs="宋体" w:eastAsia="宋体" w:hint="default"/>
                <w:sz w:val="18"/>
                <w:szCs w:val="18"/>
              </w:rPr>
            </w:pPr>
            <w:r>
              <w:rPr>
                <w:rFonts w:ascii="宋体" w:hAnsi="宋体" w:cs="宋体" w:eastAsia="宋体" w:hint="default"/>
                <w:spacing w:val="-23"/>
                <w:sz w:val="18"/>
                <w:szCs w:val="18"/>
              </w:rPr>
              <w:t>新一代</w:t>
            </w:r>
            <w:r>
              <w:rPr>
                <w:rFonts w:ascii="Times New Roman" w:hAnsi="Times New Roman" w:cs="Times New Roman" w:eastAsia="Times New Roman" w:hint="default"/>
                <w:spacing w:val="-23"/>
                <w:sz w:val="18"/>
                <w:szCs w:val="18"/>
              </w:rPr>
              <w:t>JAVA</w:t>
            </w:r>
            <w:r>
              <w:rPr>
                <w:rFonts w:ascii="宋体" w:hAnsi="宋体" w:cs="宋体" w:eastAsia="宋体" w:hint="default"/>
                <w:spacing w:val="-23"/>
                <w:sz w:val="18"/>
                <w:szCs w:val="18"/>
              </w:rPr>
              <w:t>富</w:t>
            </w:r>
            <w:r>
              <w:rPr>
                <w:rFonts w:ascii="宋体" w:hAnsi="宋体" w:cs="宋体" w:eastAsia="宋体" w:hint="default"/>
                <w:spacing w:val="-86"/>
                <w:sz w:val="18"/>
                <w:szCs w:val="18"/>
              </w:rPr>
              <w:t> </w:t>
            </w:r>
            <w:r>
              <w:rPr>
                <w:rFonts w:ascii="宋体" w:hAnsi="宋体" w:cs="宋体" w:eastAsia="宋体" w:hint="default"/>
                <w:spacing w:val="-35"/>
                <w:sz w:val="18"/>
                <w:szCs w:val="18"/>
              </w:rPr>
              <w:t>客户端技术在公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寓长租业务中的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应用</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152,224.33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150,376.36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
              <w:jc w:val="right"/>
              <w:rPr>
                <w:rFonts w:ascii="Times New Roman" w:hAnsi="Times New Roman" w:cs="Times New Roman" w:eastAsia="Times New Roman" w:hint="default"/>
                <w:sz w:val="18"/>
                <w:szCs w:val="18"/>
              </w:rPr>
            </w:pPr>
            <w:r>
              <w:rPr>
                <w:rFonts w:ascii="Times New Roman"/>
                <w:spacing w:val="-18"/>
                <w:sz w:val="18"/>
              </w:rPr>
              <w:t>1,847.97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2" w:lineRule="auto" w:before="91"/>
              <w:ind w:left="22" w:right="79"/>
              <w:jc w:val="left"/>
              <w:rPr>
                <w:rFonts w:ascii="Times New Roman" w:hAnsi="Times New Roman" w:cs="Times New Roman" w:eastAsia="Times New Roman" w:hint="default"/>
                <w:sz w:val="18"/>
                <w:szCs w:val="18"/>
              </w:rPr>
            </w:pPr>
            <w:r>
              <w:rPr>
                <w:rFonts w:ascii="Times New Roman"/>
                <w:spacing w:val="-20"/>
                <w:sz w:val="18"/>
              </w:rPr>
              <w:t>SWD-APPFAB</w:t>
            </w:r>
            <w:r>
              <w:rPr>
                <w:rFonts w:ascii="Times New Roman"/>
                <w:spacing w:val="-42"/>
                <w:sz w:val="18"/>
              </w:rPr>
              <w:t> </w:t>
            </w:r>
            <w:r>
              <w:rPr>
                <w:rFonts w:ascii="Times New Roman"/>
                <w:spacing w:val="-42"/>
                <w:sz w:val="18"/>
              </w:rPr>
            </w:r>
            <w:r>
              <w:rPr>
                <w:rFonts w:ascii="Times New Roman"/>
                <w:spacing w:val="-17"/>
                <w:sz w:val="18"/>
              </w:rPr>
              <w:t>RICV2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2,369,181.08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2,369,181.08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19"/>
                <w:sz w:val="18"/>
              </w:rPr>
              <w:t>SWD-APPsV2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1,388,751.56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1,388,751.56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5"/>
                <w:sz w:val="18"/>
                <w:szCs w:val="18"/>
              </w:rPr>
              <w:t>其他小项目合计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41,113,744.76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20"/>
                <w:sz w:val="18"/>
              </w:rPr>
              <w:t>41,113,744.76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pacing w:val="-39"/>
                <w:sz w:val="18"/>
                <w:szCs w:val="18"/>
              </w:rPr>
              <w:t>合计</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72,734,817.91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437,762,436.14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238,070,545.86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20"/>
                <w:sz w:val="18"/>
              </w:rPr>
              <w:t>259,042,966.97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13,383,741.22</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6"/>
        <w:spacing w:line="259" w:lineRule="auto"/>
        <w:ind w:right="1133"/>
        <w:jc w:val="left"/>
      </w:pPr>
      <w:r>
        <w:rPr>
          <w:spacing w:val="-2"/>
        </w:rPr>
        <w:t>注：本公司开发支出分为研究阶段和开发阶段，研发项目进入开发阶段开始资本化，本年末公司</w:t>
      </w:r>
      <w:r>
        <w:rPr>
          <w:w w:val="100"/>
        </w:rPr>
        <w:t> </w:t>
      </w:r>
      <w:r>
        <w:rPr/>
        <w:t>资本化的项目均已进入开发阶段。</w:t>
      </w:r>
    </w:p>
    <w:p>
      <w:pPr>
        <w:spacing w:after="0" w:line="259"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1133"/>
        <w:jc w:val="left"/>
        <w:rPr>
          <w:b w:val="0"/>
          <w:bCs w:val="0"/>
        </w:rPr>
      </w:pPr>
      <w:r>
        <w:rPr>
          <w:rFonts w:ascii="Times New Roman" w:hAnsi="Times New Roman" w:cs="Times New Roman" w:eastAsia="Times New Roman" w:hint="default"/>
        </w:rPr>
        <w:t>14</w:t>
      </w:r>
      <w:r>
        <w:rPr/>
        <w:t>、商誉</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9"/>
        <w:gridCol w:w="1366"/>
        <w:gridCol w:w="1368"/>
        <w:gridCol w:w="1368"/>
        <w:gridCol w:w="1366"/>
      </w:tblGrid>
      <w:tr>
        <w:trPr>
          <w:trHeight w:val="359"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0" w:hRule="exact"/>
        </w:trPr>
        <w:tc>
          <w:tcPr>
            <w:tcW w:w="1367" w:type="dxa"/>
            <w:vMerge/>
            <w:tcBorders>
              <w:left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vMerge w:val="restart"/>
            <w:tcBorders>
              <w:top w:val="single" w:sz="4" w:space="0" w:color="000000"/>
              <w:left w:val="single" w:sz="12" w:space="0" w:color="D2D2D2"/>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vMerge w:val="restart"/>
            <w:tcBorders>
              <w:top w:val="single" w:sz="4" w:space="0" w:color="000000"/>
              <w:left w:val="single" w:sz="4" w:space="0" w:color="000000"/>
              <w:right w:val="single" w:sz="10" w:space="0" w:color="D2D2D2"/>
            </w:tcBorders>
            <w:shd w:val="clear" w:color="auto" w:fill="D9D9D9"/>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367" w:type="dxa"/>
            <w:vMerge/>
            <w:tcBorders>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tcBorders>
              <w:left w:val="single" w:sz="12" w:space="0" w:color="D2D2D2"/>
              <w:right w:val="single" w:sz="4" w:space="0" w:color="000000"/>
            </w:tcBorders>
            <w:shd w:val="clear" w:color="auto" w:fill="D9D9D9"/>
          </w:tcPr>
          <w:p>
            <w:pPr/>
          </w:p>
        </w:tc>
        <w:tc>
          <w:tcPr>
            <w:tcW w:w="1368" w:type="dxa"/>
            <w:vMerge/>
            <w:tcBorders>
              <w:left w:val="single" w:sz="4" w:space="0" w:color="000000"/>
              <w:right w:val="single" w:sz="4" w:space="0" w:color="000000"/>
            </w:tcBorders>
            <w:shd w:val="clear" w:color="auto" w:fill="D9D9D9"/>
          </w:tcPr>
          <w:p>
            <w:pPr/>
          </w:p>
        </w:tc>
        <w:tc>
          <w:tcPr>
            <w:tcW w:w="1368" w:type="dxa"/>
            <w:vMerge/>
            <w:tcBorders>
              <w:left w:val="single" w:sz="4" w:space="0" w:color="000000"/>
              <w:right w:val="single" w:sz="10" w:space="0" w:color="D2D2D2"/>
            </w:tcBorders>
            <w:shd w:val="clear" w:color="auto" w:fill="D9D9D9"/>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12" w:space="0" w:color="D2D2D2"/>
              <w:bottom w:val="single" w:sz="4" w:space="0" w:color="000000"/>
              <w:right w:val="single" w:sz="4" w:space="0" w:color="000000"/>
            </w:tcBorders>
            <w:shd w:val="clear" w:color="auto" w:fill="D9D9D9"/>
          </w:tcPr>
          <w:p>
            <w:pPr/>
          </w:p>
        </w:tc>
        <w:tc>
          <w:tcPr>
            <w:tcW w:w="1368" w:type="dxa"/>
            <w:vMerge/>
            <w:tcBorders>
              <w:left w:val="single" w:sz="4" w:space="0" w:color="000000"/>
              <w:bottom w:val="single" w:sz="4" w:space="0" w:color="000000"/>
              <w:right w:val="single" w:sz="4" w:space="0" w:color="000000"/>
            </w:tcBorders>
            <w:shd w:val="clear" w:color="auto" w:fill="D9D9D9"/>
          </w:tcPr>
          <w:p>
            <w:pPr/>
          </w:p>
        </w:tc>
        <w:tc>
          <w:tcPr>
            <w:tcW w:w="1368" w:type="dxa"/>
            <w:vMerge/>
            <w:tcBorders>
              <w:left w:val="single" w:sz="4" w:space="0" w:color="000000"/>
              <w:bottom w:val="single" w:sz="4" w:space="0" w:color="000000"/>
              <w:right w:val="single" w:sz="10" w:space="0" w:color="D2D2D2"/>
            </w:tcBorders>
            <w:shd w:val="clear" w:color="auto" w:fill="D9D9D9"/>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杭州西软科技有 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41,079,739.22</w:t>
            </w:r>
          </w:p>
        </w:tc>
        <w:tc>
          <w:tcPr>
            <w:tcW w:w="1369"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41,079,739.22</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2" w:lineRule="auto" w:before="91"/>
              <w:ind w:left="22" w:right="72"/>
              <w:jc w:val="left"/>
              <w:rPr>
                <w:rFonts w:ascii="Times New Roman" w:hAnsi="Times New Roman" w:cs="Times New Roman" w:eastAsia="Times New Roman" w:hint="default"/>
                <w:sz w:val="18"/>
                <w:szCs w:val="18"/>
              </w:rPr>
            </w:pPr>
            <w:r>
              <w:rPr>
                <w:rFonts w:ascii="Times New Roman"/>
                <w:sz w:val="18"/>
              </w:rPr>
              <w:t>Shiji</w:t>
            </w:r>
            <w:r>
              <w:rPr>
                <w:rFonts w:ascii="Times New Roman"/>
                <w:spacing w:val="-5"/>
                <w:sz w:val="18"/>
              </w:rPr>
              <w:t> </w:t>
            </w:r>
            <w:r>
              <w:rPr>
                <w:rFonts w:ascii="Times New Roman"/>
                <w:sz w:val="18"/>
              </w:rPr>
              <w:t>Information</w:t>
            </w:r>
            <w:r>
              <w:rPr>
                <w:rFonts w:ascii="Times New Roman"/>
                <w:sz w:val="18"/>
              </w:rPr>
              <w:t> Technology (Hong Kong)</w:t>
            </w:r>
            <w:r>
              <w:rPr>
                <w:rFonts w:ascii="Times New Roman"/>
                <w:spacing w:val="-4"/>
                <w:sz w:val="18"/>
              </w:rPr>
              <w:t> </w:t>
            </w:r>
            <w:r>
              <w:rPr>
                <w:rFonts w:ascii="Times New Roman"/>
                <w:sz w:val="18"/>
              </w:rPr>
              <w:t>Ltd</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19,070,965.66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919,200.88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19,990,166.54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南京银石计算机 系统有限公司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47,742,187.30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47,742,187.30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上海正品贵德软 件有限公司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19,522,150.61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19,522,150.61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深圳市思迅软件 股份有限公司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155,906,824.65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155,906,824.65</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深圳市奥凯软件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520,173.45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520,173.45</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广州万迅电脑软 件有限公司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81,300,916.76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3,243,834.79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84,544,751.55</w:t>
            </w:r>
          </w:p>
        </w:tc>
      </w:tr>
      <w:tr>
        <w:trPr>
          <w:trHeight w:val="1337"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2" w:lineRule="auto" w:before="91"/>
              <w:ind w:left="22" w:right="221"/>
              <w:jc w:val="left"/>
              <w:rPr>
                <w:rFonts w:ascii="Times New Roman" w:hAnsi="Times New Roman" w:cs="Times New Roman" w:eastAsia="Times New Roman" w:hint="default"/>
                <w:sz w:val="18"/>
                <w:szCs w:val="18"/>
              </w:rPr>
            </w:pPr>
            <w:r>
              <w:rPr>
                <w:rFonts w:ascii="Times New Roman"/>
                <w:sz w:val="18"/>
              </w:rPr>
              <w:t>Horwath Consulting Services</w:t>
            </w:r>
            <w:r>
              <w:rPr>
                <w:rFonts w:ascii="Times New Roman"/>
                <w:spacing w:val="-9"/>
                <w:sz w:val="18"/>
              </w:rPr>
              <w:t> </w:t>
            </w:r>
            <w:r>
              <w:rPr>
                <w:rFonts w:ascii="Times New Roman"/>
                <w:sz w:val="18"/>
              </w:rPr>
              <w:t>Asia</w:t>
            </w:r>
            <w:r>
              <w:rPr>
                <w:rFonts w:ascii="Times New Roman"/>
                <w:w w:val="99"/>
                <w:sz w:val="18"/>
              </w:rPr>
              <w:t> </w:t>
            </w:r>
            <w:r>
              <w:rPr>
                <w:rFonts w:ascii="Times New Roman"/>
                <w:sz w:val="18"/>
              </w:rPr>
              <w:t>Pacific</w:t>
            </w:r>
            <w:r>
              <w:rPr>
                <w:rFonts w:ascii="Times New Roman"/>
                <w:spacing w:val="-7"/>
                <w:sz w:val="18"/>
              </w:rPr>
              <w:t> </w:t>
            </w:r>
            <w:r>
              <w:rPr>
                <w:rFonts w:ascii="Times New Roman"/>
                <w:sz w:val="18"/>
              </w:rPr>
              <w:t>Limited</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57,762,859.44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1,781,041.52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59,543,900.96</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杭州连边科技有 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1,333,142.76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1,333,142.76</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北京商用星联信 息科技有限公司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64,769.98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64,769.98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上海时运信息技 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9,251,741.81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9,251,741.81</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北京长京益康信 息科技有限公司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518,792,424.49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518,792,424.49</w:t>
            </w:r>
          </w:p>
        </w:tc>
      </w:tr>
      <w:tr>
        <w:trPr>
          <w:trHeight w:val="1339"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2" w:lineRule="auto" w:before="91"/>
              <w:ind w:left="22" w:right="187"/>
              <w:jc w:val="left"/>
              <w:rPr>
                <w:rFonts w:ascii="Times New Roman" w:hAnsi="Times New Roman" w:cs="Times New Roman" w:eastAsia="Times New Roman" w:hint="default"/>
                <w:sz w:val="18"/>
                <w:szCs w:val="18"/>
              </w:rPr>
            </w:pPr>
            <w:r>
              <w:rPr>
                <w:rFonts w:ascii="Times New Roman"/>
                <w:sz w:val="18"/>
              </w:rPr>
              <w:t>Shiji</w:t>
            </w:r>
            <w:r>
              <w:rPr>
                <w:rFonts w:ascii="Times New Roman"/>
                <w:spacing w:val="-2"/>
                <w:sz w:val="18"/>
              </w:rPr>
              <w:t> </w:t>
            </w:r>
            <w:r>
              <w:rPr>
                <w:rFonts w:ascii="Times New Roman"/>
                <w:sz w:val="18"/>
              </w:rPr>
              <w:t>Retail</w:t>
            </w:r>
            <w:r>
              <w:rPr>
                <w:rFonts w:ascii="Times New Roman"/>
                <w:sz w:val="18"/>
              </w:rPr>
              <w:t> Information Technology</w:t>
            </w:r>
            <w:r>
              <w:rPr>
                <w:rFonts w:ascii="Times New Roman"/>
                <w:spacing w:val="-14"/>
                <w:sz w:val="18"/>
              </w:rPr>
              <w:t> </w:t>
            </w:r>
            <w:r>
              <w:rPr>
                <w:rFonts w:ascii="Times New Roman"/>
                <w:sz w:val="18"/>
              </w:rPr>
              <w:t>Co.</w:t>
            </w:r>
            <w:r>
              <w:rPr>
                <w:rFonts w:ascii="Times New Roman"/>
                <w:sz w:val="18"/>
              </w:rPr>
              <w:t> Ltd</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123,188,310.37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5,937,549.53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129,125,859.90</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北京阳光物业管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124,035.18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124,035.18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9"/>
        <w:gridCol w:w="1366"/>
        <w:gridCol w:w="1368"/>
        <w:gridCol w:w="1368"/>
        <w:gridCol w:w="1366"/>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北京航信华仪软 件技术有限公司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5,846,357.23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5,846,357.23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Shiji</w:t>
            </w:r>
            <w:r>
              <w:rPr>
                <w:rFonts w:ascii="Times New Roman"/>
                <w:spacing w:val="-5"/>
                <w:sz w:val="18"/>
              </w:rPr>
              <w:t> </w:t>
            </w:r>
            <w:r>
              <w:rPr>
                <w:rFonts w:ascii="Times New Roman"/>
                <w:sz w:val="18"/>
              </w:rPr>
              <w:t>GmbH</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52,606,034.66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2,535,556.62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55,141,591.28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2" w:lineRule="auto" w:before="91"/>
              <w:ind w:left="22" w:right="360"/>
              <w:jc w:val="left"/>
              <w:rPr>
                <w:rFonts w:ascii="Times New Roman" w:hAnsi="Times New Roman" w:cs="Times New Roman" w:eastAsia="Times New Roman" w:hint="default"/>
                <w:sz w:val="18"/>
                <w:szCs w:val="18"/>
              </w:rPr>
            </w:pPr>
            <w:r>
              <w:rPr>
                <w:rFonts w:ascii="Times New Roman"/>
                <w:sz w:val="18"/>
              </w:rPr>
              <w:t>Review</w:t>
            </w:r>
            <w:r>
              <w:rPr>
                <w:rFonts w:ascii="Times New Roman"/>
                <w:spacing w:val="-5"/>
                <w:sz w:val="18"/>
              </w:rPr>
              <w:t> </w:t>
            </w:r>
            <w:r>
              <w:rPr>
                <w:rFonts w:ascii="Times New Roman"/>
                <w:sz w:val="18"/>
              </w:rPr>
              <w:t>Rank</w:t>
            </w:r>
            <w:r>
              <w:rPr>
                <w:rFonts w:ascii="Times New Roman"/>
                <w:sz w:val="18"/>
              </w:rPr>
              <w:t> S.A.</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55,073,302.79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2,654,476.40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57,727,779.19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Galasys</w:t>
            </w:r>
            <w:r>
              <w:rPr>
                <w:rFonts w:ascii="Times New Roman"/>
                <w:spacing w:val="-6"/>
                <w:sz w:val="18"/>
              </w:rPr>
              <w:t> </w:t>
            </w:r>
            <w:r>
              <w:rPr>
                <w:rFonts w:ascii="Times New Roman"/>
                <w:sz w:val="18"/>
              </w:rPr>
              <w:t>PLC</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160,438,683.98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8,164,080.86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168,602,764.84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广州合光信息技 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12,649,039.24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12,649,039.24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北京宝库在线网 络技术有限公司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45,492,725.87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45,492,725.87</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南京客至软件有 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5,045,531.13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5,045,531.13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Stayntouch</w:t>
            </w:r>
            <w:r>
              <w:rPr>
                <w:rFonts w:ascii="Times New Roman"/>
                <w:spacing w:val="-5"/>
                <w:sz w:val="18"/>
              </w:rPr>
              <w:t> </w:t>
            </w:r>
            <w:r>
              <w:rPr>
                <w:rFonts w:ascii="Times New Roman"/>
                <w:sz w:val="18"/>
              </w:rPr>
              <w:t>Inc</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207,663,050.53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884,978.06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206,778,072.47</w:t>
            </w:r>
          </w:p>
        </w:tc>
      </w:tr>
      <w:tr>
        <w:trPr>
          <w:trHeight w:val="1337"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2" w:lineRule="auto" w:before="91"/>
              <w:ind w:left="22" w:right="125"/>
              <w:jc w:val="left"/>
              <w:rPr>
                <w:rFonts w:ascii="Times New Roman" w:hAnsi="Times New Roman" w:cs="Times New Roman" w:eastAsia="Times New Roman" w:hint="default"/>
                <w:sz w:val="18"/>
                <w:szCs w:val="18"/>
              </w:rPr>
            </w:pPr>
            <w:r>
              <w:rPr>
                <w:rFonts w:ascii="Times New Roman" w:hAnsi="Times New Roman"/>
                <w:sz w:val="18"/>
              </w:rPr>
              <w:t>CONCEPTEK-</w:t>
            </w:r>
            <w:r>
              <w:rPr>
                <w:rFonts w:ascii="Times New Roman" w:hAnsi="Times New Roman"/>
                <w:w w:val="99"/>
                <w:sz w:val="18"/>
              </w:rPr>
              <w:t> </w:t>
            </w:r>
            <w:r>
              <w:rPr>
                <w:rFonts w:ascii="Times New Roman" w:hAnsi="Times New Roman"/>
                <w:sz w:val="18"/>
              </w:rPr>
              <w:t>SISTEMAS</w:t>
            </w:r>
            <w:r>
              <w:rPr>
                <w:rFonts w:ascii="Times New Roman" w:hAnsi="Times New Roman"/>
                <w:spacing w:val="-2"/>
                <w:sz w:val="18"/>
              </w:rPr>
              <w:t> </w:t>
            </w:r>
            <w:r>
              <w:rPr>
                <w:rFonts w:ascii="Times New Roman" w:hAnsi="Times New Roman"/>
                <w:sz w:val="18"/>
              </w:rPr>
              <w:t>DE</w:t>
            </w:r>
            <w:r>
              <w:rPr>
                <w:rFonts w:ascii="Times New Roman" w:hAnsi="Times New Roman"/>
                <w:w w:val="99"/>
                <w:sz w:val="18"/>
              </w:rPr>
              <w:t> </w:t>
            </w:r>
            <w:r>
              <w:rPr>
                <w:rFonts w:ascii="Times New Roman" w:hAnsi="Times New Roman"/>
                <w:sz w:val="18"/>
              </w:rPr>
              <w:t>INFORMAÇÃO</w:t>
            </w:r>
            <w:r>
              <w:rPr>
                <w:rFonts w:ascii="Times New Roman" w:hAnsi="Times New Roman"/>
                <w:w w:val="99"/>
                <w:sz w:val="18"/>
              </w:rPr>
              <w:t> </w:t>
            </w:r>
            <w:r>
              <w:rPr>
                <w:rFonts w:ascii="Times New Roman" w:hAnsi="Times New Roman"/>
                <w:sz w:val="18"/>
              </w:rPr>
              <w:t>S.A.</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30,753,438.12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237,329.44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30,990,767.56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1,349,624,620.34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301,603,784.89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25,473,070.04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884,978.06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1,675,816,497.21</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9"/>
        <w:gridCol w:w="1366"/>
        <w:gridCol w:w="1368"/>
        <w:gridCol w:w="1368"/>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9D9D9"/>
          </w:tcPr>
          <w:p>
            <w:pPr/>
          </w:p>
        </w:tc>
        <w:tc>
          <w:tcPr>
            <w:tcW w:w="2734"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13" w:space="0" w:color="D9D9D9"/>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42" w:hRule="exact"/>
        </w:trPr>
        <w:tc>
          <w:tcPr>
            <w:tcW w:w="1344" w:type="dxa"/>
            <w:vMerge/>
            <w:tcBorders>
              <w:left w:val="single" w:sz="4" w:space="0" w:color="000000"/>
              <w:right w:val="single" w:sz="4" w:space="0" w:color="000000"/>
            </w:tcBorders>
            <w:shd w:val="clear" w:color="auto" w:fill="D9D9D9"/>
          </w:tcPr>
          <w:p>
            <w:pPr/>
          </w:p>
        </w:tc>
        <w:tc>
          <w:tcPr>
            <w:tcW w:w="1378"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9D9D9"/>
          </w:tcPr>
          <w:p>
            <w:pPr/>
          </w:p>
        </w:tc>
        <w:tc>
          <w:tcPr>
            <w:tcW w:w="2736" w:type="dxa"/>
            <w:gridSpan w:val="2"/>
            <w:vMerge/>
            <w:tcBorders>
              <w:left w:val="single" w:sz="4" w:space="0" w:color="000000"/>
              <w:bottom w:val="single" w:sz="4" w:space="0" w:color="000000"/>
              <w:right w:val="single" w:sz="4" w:space="0" w:color="000000"/>
            </w:tcBorders>
            <w:shd w:val="clear" w:color="auto" w:fill="D9D9D9"/>
          </w:tcPr>
          <w:p>
            <w:pPr/>
          </w:p>
        </w:tc>
        <w:tc>
          <w:tcPr>
            <w:tcW w:w="1366" w:type="dxa"/>
            <w:vMerge/>
            <w:tcBorders>
              <w:left w:val="single" w:sz="13" w:space="0" w:color="D9D9D9"/>
              <w:right w:val="single" w:sz="4" w:space="0" w:color="000000"/>
            </w:tcBorders>
            <w:shd w:val="clear" w:color="auto" w:fill="D2D2D2"/>
          </w:tcPr>
          <w:p>
            <w:pPr/>
          </w:p>
        </w:tc>
      </w:tr>
      <w:tr>
        <w:trPr>
          <w:trHeight w:val="252" w:hRule="exact"/>
        </w:trPr>
        <w:tc>
          <w:tcPr>
            <w:tcW w:w="1344" w:type="dxa"/>
            <w:vMerge/>
            <w:tcBorders>
              <w:left w:val="single" w:sz="4" w:space="0" w:color="000000"/>
              <w:right w:val="single" w:sz="4" w:space="0" w:color="000000"/>
            </w:tcBorders>
            <w:shd w:val="clear" w:color="auto" w:fill="D9D9D9"/>
          </w:tcPr>
          <w:p>
            <w:pPr/>
          </w:p>
        </w:tc>
        <w:tc>
          <w:tcPr>
            <w:tcW w:w="1378" w:type="dxa"/>
            <w:vMerge/>
            <w:tcBorders>
              <w:left w:val="single" w:sz="4" w:space="0" w:color="000000"/>
              <w:bottom w:val="nil" w:sz="6" w:space="0" w:color="auto"/>
              <w:right w:val="single" w:sz="4" w:space="0" w:color="000000"/>
            </w:tcBorders>
            <w:shd w:val="clear" w:color="auto" w:fill="D9D9D9"/>
          </w:tcPr>
          <w:p>
            <w:pPr/>
          </w:p>
        </w:tc>
        <w:tc>
          <w:tcPr>
            <w:tcW w:w="136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tcBorders>
              <w:left w:val="single" w:sz="13" w:space="0" w:color="D9D9D9"/>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9D9D9"/>
          </w:tcPr>
          <w:p>
            <w:pPr/>
          </w:p>
        </w:tc>
        <w:tc>
          <w:tcPr>
            <w:tcW w:w="1378" w:type="dxa"/>
            <w:tcBorders>
              <w:top w:val="nil" w:sz="6" w:space="0" w:color="auto"/>
              <w:left w:val="single" w:sz="4" w:space="0" w:color="000000"/>
              <w:bottom w:val="single" w:sz="4" w:space="0" w:color="000000"/>
              <w:right w:val="single" w:sz="4" w:space="0" w:color="000000"/>
            </w:tcBorders>
            <w:shd w:val="clear" w:color="auto" w:fill="D9D9D9"/>
          </w:tcPr>
          <w:p>
            <w:pPr/>
          </w:p>
        </w:tc>
        <w:tc>
          <w:tcPr>
            <w:tcW w:w="1369" w:type="dxa"/>
            <w:vMerge/>
            <w:tcBorders>
              <w:left w:val="single" w:sz="4" w:space="0" w:color="000000"/>
              <w:bottom w:val="single" w:sz="4" w:space="0" w:color="000000"/>
              <w:right w:val="single" w:sz="4" w:space="0" w:color="000000"/>
            </w:tcBorders>
            <w:shd w:val="clear" w:color="auto" w:fill="D9D9D9"/>
          </w:tcPr>
          <w:p>
            <w:pPr/>
          </w:p>
        </w:tc>
        <w:tc>
          <w:tcPr>
            <w:tcW w:w="1366" w:type="dxa"/>
            <w:vMerge/>
            <w:tcBorders>
              <w:left w:val="single" w:sz="4" w:space="0" w:color="000000"/>
              <w:bottom w:val="single" w:sz="4" w:space="0" w:color="000000"/>
              <w:right w:val="single" w:sz="4" w:space="0" w:color="000000"/>
            </w:tcBorders>
            <w:shd w:val="clear" w:color="auto" w:fill="D9D9D9"/>
          </w:tcPr>
          <w:p>
            <w:pPr/>
          </w:p>
        </w:tc>
        <w:tc>
          <w:tcPr>
            <w:tcW w:w="1368" w:type="dxa"/>
            <w:vMerge/>
            <w:tcBorders>
              <w:left w:val="single" w:sz="4" w:space="0" w:color="000000"/>
              <w:bottom w:val="single" w:sz="4" w:space="0" w:color="000000"/>
              <w:right w:val="single" w:sz="4" w:space="0" w:color="000000"/>
            </w:tcBorders>
            <w:shd w:val="clear" w:color="auto" w:fill="D9D9D9"/>
          </w:tcPr>
          <w:p>
            <w:pPr/>
          </w:p>
        </w:tc>
        <w:tc>
          <w:tcPr>
            <w:tcW w:w="1368" w:type="dxa"/>
            <w:vMerge/>
            <w:tcBorders>
              <w:left w:val="single" w:sz="4" w:space="0" w:color="000000"/>
              <w:bottom w:val="single" w:sz="4" w:space="0" w:color="000000"/>
              <w:right w:val="single" w:sz="4" w:space="0" w:color="000000"/>
            </w:tcBorders>
            <w:shd w:val="clear" w:color="auto" w:fill="D9D9D9"/>
          </w:tcPr>
          <w:p>
            <w:pPr/>
          </w:p>
        </w:tc>
        <w:tc>
          <w:tcPr>
            <w:tcW w:w="1366" w:type="dxa"/>
            <w:vMerge/>
            <w:tcBorders>
              <w:left w:val="single" w:sz="13" w:space="0" w:color="D9D9D9"/>
              <w:bottom w:val="single" w:sz="4" w:space="0" w:color="000000"/>
              <w:right w:val="single" w:sz="4" w:space="0" w:color="000000"/>
            </w:tcBorders>
            <w:shd w:val="clear" w:color="auto" w:fill="D2D2D2"/>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上海正品贵德软 件有限公司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6,360,774.78</w:t>
            </w:r>
          </w:p>
        </w:tc>
        <w:tc>
          <w:tcPr>
            <w:tcW w:w="1369" w:type="dxa"/>
            <w:tcBorders>
              <w:top w:val="single" w:sz="49" w:space="0" w:color="D9D9D9"/>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9" w:space="0" w:color="D9D9D9"/>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9" w:space="0" w:color="D9D9D9"/>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9" w:space="0" w:color="D9D9D9"/>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6,360,774.78</w:t>
            </w:r>
          </w:p>
        </w:tc>
      </w:tr>
      <w:tr>
        <w:trPr>
          <w:trHeight w:val="1027"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2" w:lineRule="auto" w:before="91"/>
              <w:ind w:left="12" w:right="20"/>
              <w:jc w:val="left"/>
              <w:rPr>
                <w:rFonts w:ascii="Times New Roman" w:hAnsi="Times New Roman" w:cs="Times New Roman" w:eastAsia="Times New Roman" w:hint="default"/>
                <w:sz w:val="18"/>
                <w:szCs w:val="18"/>
              </w:rPr>
            </w:pPr>
            <w:r>
              <w:rPr>
                <w:rFonts w:ascii="Times New Roman"/>
                <w:sz w:val="18"/>
              </w:rPr>
              <w:t>HorwathConsulti ngServicesAsiaPa cificLimited</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20,811,000.00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20,811,000.00</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广州万迅电脑软 件有限公司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716"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北京航信华仪软 件技术有限公司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5,846,357.23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5,846,357.23</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41,171,774.78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5,846,357.23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47,018,132.01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pStyle w:val="Heading6"/>
        <w:spacing w:line="259" w:lineRule="auto" w:before="87"/>
        <w:ind w:right="0" w:firstLine="0"/>
        <w:jc w:val="left"/>
      </w:pPr>
      <w:r>
        <w:rPr>
          <w:spacing w:val="-2"/>
        </w:rPr>
        <w:t>公司期末对与商誉相关的各资产组进行了商誉减值测试，首先将该商誉及归属于少数股东权益的商誉</w:t>
      </w:r>
      <w:r>
        <w:rPr>
          <w:spacing w:val="-73"/>
        </w:rPr>
        <w:t> </w:t>
      </w:r>
      <w:r>
        <w:rPr>
          <w:spacing w:val="-73"/>
        </w:rPr>
      </w:r>
      <w:r>
        <w:rPr>
          <w:spacing w:val="-1"/>
        </w:rPr>
        <w:t>包括在内，调整各资产组的账面价值，然后将调整后的各资产组账面价值与其可收回金额进行比较，</w:t>
      </w:r>
    </w:p>
    <w:p>
      <w:pPr>
        <w:spacing w:after="0" w:line="259" w:lineRule="auto"/>
        <w:jc w:val="left"/>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463" w:lineRule="auto" w:before="32"/>
        <w:ind w:left="592" w:right="5091" w:hanging="440"/>
        <w:jc w:val="left"/>
      </w:pPr>
      <w:r>
        <w:rPr/>
        <w:pict>
          <v:shape style="position:absolute;margin-left:56.279999pt;margin-top:51.907631pt;width:484.1pt;height:283.5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71"/>
                    <w:gridCol w:w="1400"/>
                    <w:gridCol w:w="1294"/>
                    <w:gridCol w:w="1560"/>
                    <w:gridCol w:w="1417"/>
                    <w:gridCol w:w="1418"/>
                  </w:tblGrid>
                  <w:tr>
                    <w:trPr>
                      <w:trHeight w:val="971" w:hRule="exact"/>
                    </w:trPr>
                    <w:tc>
                      <w:tcPr>
                        <w:tcW w:w="25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422" w:right="62" w:hanging="361"/>
                          <w:jc w:val="left"/>
                          <w:rPr>
                            <w:rFonts w:ascii="宋体" w:hAnsi="宋体" w:cs="宋体" w:eastAsia="宋体" w:hint="default"/>
                            <w:sz w:val="18"/>
                            <w:szCs w:val="18"/>
                          </w:rPr>
                        </w:pPr>
                        <w:r>
                          <w:rPr>
                            <w:rFonts w:ascii="宋体" w:hAnsi="宋体" w:cs="宋体" w:eastAsia="宋体" w:hint="default"/>
                            <w:sz w:val="18"/>
                            <w:szCs w:val="18"/>
                          </w:rPr>
                          <w:t>杭州西软科技有 限公司</w:t>
                        </w:r>
                      </w:p>
                    </w:tc>
                    <w:tc>
                      <w:tcPr>
                        <w:tcW w:w="12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69" w:right="7" w:hanging="360"/>
                          <w:jc w:val="left"/>
                          <w:rPr>
                            <w:rFonts w:ascii="宋体" w:hAnsi="宋体" w:cs="宋体" w:eastAsia="宋体" w:hint="default"/>
                            <w:sz w:val="18"/>
                            <w:szCs w:val="18"/>
                          </w:rPr>
                        </w:pPr>
                        <w:r>
                          <w:rPr>
                            <w:rFonts w:ascii="宋体" w:hAnsi="宋体" w:cs="宋体" w:eastAsia="宋体" w:hint="default"/>
                            <w:sz w:val="18"/>
                            <w:szCs w:val="18"/>
                          </w:rPr>
                          <w:t>杭州连边科技有 限公司</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62" w:lineRule="auto" w:before="60"/>
                          <w:ind w:left="48" w:right="49" w:firstLine="2"/>
                          <w:jc w:val="center"/>
                          <w:rPr>
                            <w:rFonts w:ascii="Times New Roman" w:hAnsi="Times New Roman" w:cs="Times New Roman" w:eastAsia="Times New Roman" w:hint="default"/>
                            <w:sz w:val="18"/>
                            <w:szCs w:val="18"/>
                          </w:rPr>
                        </w:pPr>
                        <w:r>
                          <w:rPr>
                            <w:rFonts w:ascii="Times New Roman"/>
                            <w:sz w:val="18"/>
                          </w:rPr>
                          <w:t>Shiji</w:t>
                        </w:r>
                        <w:r>
                          <w:rPr>
                            <w:rFonts w:ascii="Times New Roman"/>
                            <w:spacing w:val="-4"/>
                            <w:sz w:val="18"/>
                          </w:rPr>
                          <w:t> </w:t>
                        </w:r>
                        <w:r>
                          <w:rPr>
                            <w:rFonts w:ascii="Times New Roman"/>
                            <w:sz w:val="18"/>
                          </w:rPr>
                          <w:t>Information</w:t>
                        </w:r>
                        <w:r>
                          <w:rPr>
                            <w:rFonts w:ascii="Times New Roman"/>
                            <w:sz w:val="18"/>
                          </w:rPr>
                          <w:t> </w:t>
                        </w:r>
                        <w:r>
                          <w:rPr>
                            <w:rFonts w:ascii="Times New Roman"/>
                            <w:spacing w:val="-1"/>
                            <w:sz w:val="18"/>
                          </w:rPr>
                          <w:t>Technology(HongK</w:t>
                        </w:r>
                        <w:r>
                          <w:rPr>
                            <w:rFonts w:ascii="Times New Roman"/>
                            <w:w w:val="99"/>
                            <w:sz w:val="18"/>
                          </w:rPr>
                          <w:t> </w:t>
                        </w:r>
                        <w:r>
                          <w:rPr>
                            <w:rFonts w:ascii="Times New Roman"/>
                            <w:sz w:val="18"/>
                          </w:rPr>
                          <w:t>ong)Ltd.</w:t>
                        </w: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160" w:right="70" w:hanging="92"/>
                          <w:jc w:val="left"/>
                          <w:rPr>
                            <w:rFonts w:ascii="宋体" w:hAnsi="宋体" w:cs="宋体" w:eastAsia="宋体" w:hint="default"/>
                            <w:sz w:val="18"/>
                            <w:szCs w:val="18"/>
                          </w:rPr>
                        </w:pPr>
                        <w:r>
                          <w:rPr>
                            <w:rFonts w:ascii="宋体" w:hAnsi="宋体" w:cs="宋体" w:eastAsia="宋体" w:hint="default"/>
                            <w:sz w:val="18"/>
                            <w:szCs w:val="18"/>
                          </w:rPr>
                          <w:t>南京银石计算机 系统有限公司</w:t>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52" w:right="71" w:hanging="180"/>
                          <w:jc w:val="left"/>
                          <w:rPr>
                            <w:rFonts w:ascii="宋体" w:hAnsi="宋体" w:cs="宋体" w:eastAsia="宋体" w:hint="default"/>
                            <w:sz w:val="18"/>
                            <w:szCs w:val="18"/>
                          </w:rPr>
                        </w:pPr>
                        <w:r>
                          <w:rPr>
                            <w:rFonts w:ascii="宋体" w:hAnsi="宋体" w:cs="宋体" w:eastAsia="宋体" w:hint="default"/>
                            <w:sz w:val="18"/>
                            <w:szCs w:val="18"/>
                          </w:rPr>
                          <w:t>上海正品贵德软 件有限公司</w:t>
                        </w:r>
                      </w:p>
                    </w:tc>
                  </w:tr>
                  <w:tr>
                    <w:trPr>
                      <w:trHeight w:val="347" w:hRule="exact"/>
                    </w:trPr>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41,079,739.22</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1,333,142.76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19,990,166.54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47,742,187.30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19,522,150.61</w:t>
                        </w:r>
                      </w:p>
                    </w:tc>
                  </w:tr>
                  <w:tr>
                    <w:trPr>
                      <w:trHeight w:val="348" w:hRule="exact"/>
                    </w:trPr>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6,360,774.78</w:t>
                        </w:r>
                      </w:p>
                    </w:tc>
                  </w:tr>
                  <w:tr>
                    <w:trPr>
                      <w:trHeight w:val="346" w:hRule="exact"/>
                    </w:trPr>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商誉的账面价值③</w:t>
                        </w:r>
                        <w:r>
                          <w:rPr>
                            <w:rFonts w:ascii="Times New Roman" w:hAnsi="Times New Roman" w:cs="Times New Roman" w:eastAsia="Times New Roman" w:hint="default"/>
                            <w:sz w:val="18"/>
                            <w:szCs w:val="18"/>
                          </w:rPr>
                          <w:t>=</w:t>
                        </w:r>
                        <w:r>
                          <w:rPr>
                            <w:rFonts w:ascii="宋体" w:hAnsi="宋体" w:cs="宋体" w:eastAsia="宋体" w:hint="default"/>
                            <w:sz w:val="18"/>
                            <w:szCs w:val="18"/>
                          </w:rPr>
                          <w:t>①</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41,079,739.22</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1,333,142.76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19,990,166.54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47,742,187.30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13,161,375.83</w:t>
                        </w:r>
                      </w:p>
                    </w:tc>
                  </w:tr>
                  <w:tr>
                    <w:trPr>
                      <w:trHeight w:val="660" w:hRule="exact"/>
                    </w:trPr>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9"/>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 誉价值④</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571,346.90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r>
                  <w:tr>
                    <w:trPr>
                      <w:trHeight w:val="658" w:hRule="exact"/>
                    </w:trPr>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9"/>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 的商誉价值⑤</w:t>
                        </w:r>
                        <w:r>
                          <w:rPr>
                            <w:rFonts w:ascii="Times New Roman" w:hAnsi="Times New Roman" w:cs="Times New Roman" w:eastAsia="Times New Roman" w:hint="default"/>
                            <w:sz w:val="18"/>
                            <w:szCs w:val="18"/>
                          </w:rPr>
                          <w:t>=</w:t>
                        </w:r>
                        <w:r>
                          <w:rPr>
                            <w:rFonts w:ascii="宋体" w:hAnsi="宋体" w:cs="宋体" w:eastAsia="宋体" w:hint="default"/>
                            <w:sz w:val="18"/>
                            <w:szCs w:val="18"/>
                          </w:rPr>
                          <w:t>④</w:t>
                        </w:r>
                        <w:r>
                          <w:rPr>
                            <w:rFonts w:ascii="Times New Roman" w:hAnsi="Times New Roman" w:cs="Times New Roman" w:eastAsia="Times New Roman" w:hint="default"/>
                            <w:sz w:val="18"/>
                            <w:szCs w:val="18"/>
                          </w:rPr>
                          <w:t>+</w:t>
                        </w:r>
                        <w:r>
                          <w:rPr>
                            <w:rFonts w:ascii="宋体" w:hAnsi="宋体" w:cs="宋体" w:eastAsia="宋体" w:hint="default"/>
                            <w:sz w:val="18"/>
                            <w:szCs w:val="18"/>
                          </w:rPr>
                          <w:t>③</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41,079,739.22</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1,904,489.66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19,990,166.54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47,742,187.30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13,161,375.83</w:t>
                        </w:r>
                      </w:p>
                    </w:tc>
                  </w:tr>
                  <w:tr>
                    <w:trPr>
                      <w:trHeight w:val="348" w:hRule="exact"/>
                    </w:trPr>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资产组的账面价值⑥</w:t>
                        </w: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42" w:right="0"/>
                          <w:jc w:val="left"/>
                          <w:rPr>
                            <w:rFonts w:ascii="Times New Roman" w:hAnsi="Times New Roman" w:cs="Times New Roman" w:eastAsia="Times New Roman" w:hint="default"/>
                            <w:sz w:val="18"/>
                            <w:szCs w:val="18"/>
                          </w:rPr>
                        </w:pPr>
                        <w:r>
                          <w:rPr>
                            <w:rFonts w:ascii="Times New Roman"/>
                            <w:sz w:val="18"/>
                          </w:rPr>
                          <w:t>39,007,959.37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2,849,133.41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538,005.40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74,220.02</w:t>
                        </w:r>
                      </w:p>
                    </w:tc>
                  </w:tr>
                  <w:tr>
                    <w:trPr>
                      <w:trHeight w:val="660" w:hRule="exact"/>
                    </w:trPr>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包含整体商誉资产组的账面减值</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⑦</w:t>
                        </w:r>
                        <w:r>
                          <w:rPr>
                            <w:rFonts w:ascii="Times New Roman" w:hAnsi="Times New Roman" w:cs="Times New Roman" w:eastAsia="Times New Roman" w:hint="default"/>
                            <w:sz w:val="18"/>
                            <w:szCs w:val="18"/>
                          </w:rPr>
                          <w:t>=</w:t>
                        </w:r>
                        <w:r>
                          <w:rPr>
                            <w:rFonts w:ascii="宋体" w:hAnsi="宋体" w:cs="宋体" w:eastAsia="宋体" w:hint="default"/>
                            <w:sz w:val="18"/>
                            <w:szCs w:val="18"/>
                          </w:rPr>
                          <w:t>⑥</w:t>
                        </w:r>
                        <w:r>
                          <w:rPr>
                            <w:rFonts w:ascii="Times New Roman" w:hAnsi="Times New Roman" w:cs="Times New Roman" w:eastAsia="Times New Roman" w:hint="default"/>
                            <w:sz w:val="18"/>
                            <w:szCs w:val="18"/>
                          </w:rPr>
                          <w:t>+</w:t>
                        </w:r>
                        <w:r>
                          <w:rPr>
                            <w:rFonts w:ascii="宋体" w:hAnsi="宋体" w:cs="宋体" w:eastAsia="宋体" w:hint="default"/>
                            <w:sz w:val="18"/>
                            <w:szCs w:val="18"/>
                          </w:rPr>
                          <w:t>⑤</w:t>
                        </w: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42" w:right="0"/>
                          <w:jc w:val="left"/>
                          <w:rPr>
                            <w:rFonts w:ascii="Times New Roman" w:hAnsi="Times New Roman" w:cs="Times New Roman" w:eastAsia="Times New Roman" w:hint="default"/>
                            <w:sz w:val="18"/>
                            <w:szCs w:val="18"/>
                          </w:rPr>
                        </w:pPr>
                        <w:r>
                          <w:rPr>
                            <w:rFonts w:ascii="Times New Roman"/>
                            <w:sz w:val="18"/>
                          </w:rPr>
                          <w:t>81,992,188.25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22,839,299.95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48,280,192.70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13,235,595.85</w:t>
                        </w:r>
                      </w:p>
                    </w:tc>
                  </w:tr>
                  <w:tr>
                    <w:trPr>
                      <w:trHeight w:val="658" w:hRule="exact"/>
                    </w:trPr>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（可收回金额）⑧</w:t>
                        </w: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48" w:right="0"/>
                          <w:jc w:val="left"/>
                          <w:rPr>
                            <w:rFonts w:ascii="Times New Roman" w:hAnsi="Times New Roman" w:cs="Times New Roman" w:eastAsia="Times New Roman" w:hint="default"/>
                            <w:sz w:val="18"/>
                            <w:szCs w:val="18"/>
                          </w:rPr>
                        </w:pPr>
                        <w:r>
                          <w:rPr>
                            <w:rFonts w:ascii="Times New Roman"/>
                            <w:sz w:val="18"/>
                          </w:rPr>
                          <w:t>156,480,427.21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241,876,235.47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168,245,582.14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216,373,003.56</w:t>
                        </w:r>
                      </w:p>
                    </w:tc>
                  </w:tr>
                  <w:tr>
                    <w:trPr>
                      <w:trHeight w:val="660" w:hRule="exact"/>
                    </w:trPr>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商誉减值损失（大于</w:t>
                        </w:r>
                        <w:r>
                          <w:rPr>
                            <w:rFonts w:ascii="Times New Roman" w:hAnsi="Times New Roman" w:cs="Times New Roman" w:eastAsia="Times New Roman" w:hint="default"/>
                            <w:spacing w:val="-3"/>
                            <w:sz w:val="18"/>
                            <w:szCs w:val="18"/>
                          </w:rPr>
                          <w:t>0</w:t>
                        </w:r>
                        <w:r>
                          <w:rPr>
                            <w:rFonts w:ascii="宋体" w:hAnsi="宋体" w:cs="宋体" w:eastAsia="宋体" w:hint="default"/>
                            <w:spacing w:val="-3"/>
                            <w:sz w:val="18"/>
                            <w:szCs w:val="18"/>
                          </w:rPr>
                          <w:t>时）⑨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⑦</w:t>
                        </w:r>
                        <w:r>
                          <w:rPr>
                            <w:rFonts w:ascii="Times New Roman" w:hAnsi="Times New Roman" w:cs="Times New Roman" w:eastAsia="Times New Roman" w:hint="default"/>
                            <w:spacing w:val="-3"/>
                            <w:sz w:val="18"/>
                            <w:szCs w:val="18"/>
                          </w:rPr>
                          <w:t>-</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⑧</w:t>
                        </w: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bl>
                <w:p>
                  <w:pPr/>
                </w:p>
              </w:txbxContent>
            </v:textbox>
            <w10:wrap type="none"/>
          </v:shape>
        </w:pict>
      </w:r>
      <w:r>
        <w:rPr>
          <w:spacing w:val="-1"/>
        </w:rPr>
        <w:t>以确定各资产组（包括商誉）是否发生了减值。</w:t>
      </w:r>
      <w:r>
        <w:rPr>
          <w:spacing w:val="-91"/>
        </w:rPr>
        <w:t> </w:t>
      </w:r>
      <w:r>
        <w:rPr>
          <w:spacing w:val="-91"/>
        </w:rPr>
      </w:r>
      <w:r>
        <w:rPr/>
        <w:t>商誉减值测试情况如下：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6"/>
        <w:spacing w:line="240" w:lineRule="auto" w:before="32"/>
        <w:ind w:left="592" w:right="1133" w:firstLine="0"/>
        <w:jc w:val="left"/>
      </w:pPr>
      <w:r>
        <w:rPr/>
        <w:t>（续表）</w:t>
      </w:r>
    </w:p>
    <w:p>
      <w:pPr>
        <w:spacing w:line="240" w:lineRule="auto" w:before="9"/>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268"/>
        <w:gridCol w:w="1436"/>
        <w:gridCol w:w="1277"/>
        <w:gridCol w:w="1275"/>
        <w:gridCol w:w="1418"/>
        <w:gridCol w:w="1683"/>
      </w:tblGrid>
      <w:tr>
        <w:trPr>
          <w:trHeight w:val="971" w:hRule="exact"/>
        </w:trPr>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319" w:lineRule="auto"/>
              <w:ind w:left="172" w:right="77" w:hanging="92"/>
              <w:jc w:val="left"/>
              <w:rPr>
                <w:rFonts w:ascii="宋体" w:hAnsi="宋体" w:cs="宋体" w:eastAsia="宋体" w:hint="default"/>
                <w:sz w:val="18"/>
                <w:szCs w:val="18"/>
              </w:rPr>
            </w:pPr>
            <w:r>
              <w:rPr>
                <w:rFonts w:ascii="宋体" w:hAnsi="宋体" w:cs="宋体" w:eastAsia="宋体" w:hint="default"/>
                <w:sz w:val="18"/>
                <w:szCs w:val="18"/>
              </w:rPr>
              <w:t>深圳市思迅软件 股份有限公司</w:t>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319" w:lineRule="auto"/>
              <w:ind w:left="182" w:right="89" w:hanging="92"/>
              <w:jc w:val="left"/>
              <w:rPr>
                <w:rFonts w:ascii="宋体" w:hAnsi="宋体" w:cs="宋体" w:eastAsia="宋体" w:hint="default"/>
                <w:sz w:val="18"/>
                <w:szCs w:val="18"/>
              </w:rPr>
            </w:pPr>
            <w:r>
              <w:rPr>
                <w:rFonts w:ascii="宋体" w:hAnsi="宋体" w:cs="宋体" w:eastAsia="宋体" w:hint="default"/>
                <w:sz w:val="18"/>
                <w:szCs w:val="18"/>
              </w:rPr>
              <w:t>深圳市奥凯软 件有限公司</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319" w:lineRule="auto"/>
              <w:ind w:left="271" w:right="87" w:hanging="180"/>
              <w:jc w:val="left"/>
              <w:rPr>
                <w:rFonts w:ascii="宋体" w:hAnsi="宋体" w:cs="宋体" w:eastAsia="宋体" w:hint="default"/>
                <w:sz w:val="18"/>
                <w:szCs w:val="18"/>
              </w:rPr>
            </w:pPr>
            <w:r>
              <w:rPr>
                <w:rFonts w:ascii="宋体" w:hAnsi="宋体" w:cs="宋体" w:eastAsia="宋体" w:hint="default"/>
                <w:sz w:val="18"/>
                <w:szCs w:val="18"/>
              </w:rPr>
              <w:t>南京客至软件 有限公司</w:t>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319"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广州万迅电脑软 件有限公司</w:t>
            </w:r>
          </w:p>
        </w:tc>
        <w:tc>
          <w:tcPr>
            <w:tcW w:w="16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62" w:lineRule="auto" w:before="60"/>
              <w:ind w:left="72" w:right="68" w:firstLine="2"/>
              <w:jc w:val="center"/>
              <w:rPr>
                <w:rFonts w:ascii="Times New Roman" w:hAnsi="Times New Roman" w:cs="Times New Roman" w:eastAsia="Times New Roman" w:hint="default"/>
                <w:sz w:val="18"/>
                <w:szCs w:val="18"/>
              </w:rPr>
            </w:pPr>
            <w:r>
              <w:rPr>
                <w:rFonts w:ascii="Times New Roman"/>
                <w:sz w:val="18"/>
              </w:rPr>
              <w:t>Horwath</w:t>
            </w:r>
            <w:r>
              <w:rPr>
                <w:rFonts w:ascii="Times New Roman"/>
                <w:spacing w:val="-2"/>
                <w:sz w:val="18"/>
              </w:rPr>
              <w:t> </w:t>
            </w:r>
            <w:r>
              <w:rPr>
                <w:rFonts w:ascii="Times New Roman"/>
                <w:sz w:val="18"/>
              </w:rPr>
              <w:t>Consulting</w:t>
            </w:r>
            <w:r>
              <w:rPr>
                <w:rFonts w:ascii="Times New Roman"/>
                <w:sz w:val="18"/>
              </w:rPr>
              <w:t> Services Asia</w:t>
            </w:r>
            <w:r>
              <w:rPr>
                <w:rFonts w:ascii="Times New Roman"/>
                <w:spacing w:val="-8"/>
                <w:sz w:val="18"/>
              </w:rPr>
              <w:t> </w:t>
            </w:r>
            <w:r>
              <w:rPr>
                <w:rFonts w:ascii="Times New Roman"/>
                <w:sz w:val="18"/>
              </w:rPr>
              <w:t>Pacific</w:t>
            </w:r>
            <w:r>
              <w:rPr>
                <w:rFonts w:ascii="Times New Roman"/>
                <w:sz w:val="18"/>
              </w:rPr>
              <w:t> Limited</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155,906,824.65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520,173.45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5,045,531.13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84,544,751.55</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59,543,900.96</w:t>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14,000,000.00</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20,811,000.00</w:t>
            </w: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商誉的账面价值③</w:t>
            </w:r>
            <w:r>
              <w:rPr>
                <w:rFonts w:ascii="Times New Roman" w:hAnsi="Times New Roman" w:cs="Times New Roman" w:eastAsia="Times New Roman" w:hint="default"/>
                <w:sz w:val="18"/>
                <w:szCs w:val="18"/>
              </w:rPr>
              <w:t>=</w:t>
            </w:r>
            <w:r>
              <w:rPr>
                <w:rFonts w:ascii="宋体" w:hAnsi="宋体" w:cs="宋体" w:eastAsia="宋体" w:hint="default"/>
                <w:sz w:val="18"/>
                <w:szCs w:val="18"/>
              </w:rPr>
              <w:t>①</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155,906,824.65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520,173.45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5,045,531.13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70,544,751.55</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38,732,900.96</w:t>
            </w:r>
          </w:p>
        </w:tc>
      </w:tr>
      <w:tr>
        <w:trPr>
          <w:trHeight w:val="660"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7"/>
              <w:jc w:val="left"/>
              <w:rPr>
                <w:rFonts w:ascii="宋体" w:hAnsi="宋体" w:cs="宋体" w:eastAsia="宋体" w:hint="default"/>
                <w:sz w:val="18"/>
                <w:szCs w:val="18"/>
              </w:rPr>
            </w:pPr>
            <w:r>
              <w:rPr>
                <w:rFonts w:ascii="宋体" w:hAnsi="宋体" w:cs="宋体" w:eastAsia="宋体" w:hint="default"/>
                <w:sz w:val="18"/>
                <w:szCs w:val="18"/>
              </w:rPr>
              <w:t>未确认归属于少数股东权益 的商誉价值④</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51,968,941.55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4,128,161.83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60"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6"/>
              <w:jc w:val="left"/>
              <w:rPr>
                <w:rFonts w:ascii="宋体" w:hAnsi="宋体" w:cs="宋体" w:eastAsia="宋体" w:hint="default"/>
                <w:sz w:val="18"/>
                <w:szCs w:val="18"/>
              </w:rPr>
            </w:pPr>
            <w:r>
              <w:rPr>
                <w:rFonts w:ascii="宋体" w:hAnsi="宋体" w:cs="宋体" w:eastAsia="宋体" w:hint="default"/>
                <w:sz w:val="18"/>
                <w:szCs w:val="18"/>
              </w:rPr>
              <w:t>包含未确认归属于少数股东 权益的商誉价值⑤</w:t>
            </w:r>
            <w:r>
              <w:rPr>
                <w:rFonts w:ascii="Times New Roman" w:hAnsi="Times New Roman" w:cs="Times New Roman" w:eastAsia="Times New Roman" w:hint="default"/>
                <w:sz w:val="18"/>
                <w:szCs w:val="18"/>
              </w:rPr>
              <w:t>=</w:t>
            </w:r>
            <w:r>
              <w:rPr>
                <w:rFonts w:ascii="宋体" w:hAnsi="宋体" w:cs="宋体" w:eastAsia="宋体" w:hint="default"/>
                <w:sz w:val="18"/>
                <w:szCs w:val="18"/>
              </w:rPr>
              <w:t>④</w:t>
            </w:r>
            <w:r>
              <w:rPr>
                <w:rFonts w:ascii="Times New Roman" w:hAnsi="Times New Roman" w:cs="Times New Roman" w:eastAsia="Times New Roman" w:hint="default"/>
                <w:sz w:val="18"/>
                <w:szCs w:val="18"/>
              </w:rPr>
              <w:t>+</w:t>
            </w:r>
            <w:r>
              <w:rPr>
                <w:rFonts w:ascii="宋体" w:hAnsi="宋体" w:cs="宋体" w:eastAsia="宋体" w:hint="default"/>
                <w:sz w:val="18"/>
                <w:szCs w:val="18"/>
              </w:rPr>
              <w:t>③</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207,875,766.20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520,173.45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9,173,692.96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70,544,751.55</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38,732,900.96</w:t>
            </w: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资产组的账面价值⑥</w:t>
            </w:r>
          </w:p>
        </w:tc>
        <w:tc>
          <w:tcPr>
            <w:tcW w:w="39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55,127,196.05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5,065,292.51</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12,910,966.99</w:t>
            </w:r>
          </w:p>
        </w:tc>
      </w:tr>
      <w:tr>
        <w:trPr>
          <w:trHeight w:val="660"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7"/>
              <w:jc w:val="left"/>
              <w:rPr>
                <w:rFonts w:ascii="宋体" w:hAnsi="宋体" w:cs="宋体" w:eastAsia="宋体" w:hint="default"/>
                <w:sz w:val="18"/>
                <w:szCs w:val="18"/>
              </w:rPr>
            </w:pPr>
            <w:r>
              <w:rPr>
                <w:rFonts w:ascii="宋体" w:hAnsi="宋体" w:cs="宋体" w:eastAsia="宋体" w:hint="default"/>
                <w:sz w:val="18"/>
                <w:szCs w:val="18"/>
              </w:rPr>
              <w:t>包含整体商誉资产组的账面 减值⑦</w:t>
            </w:r>
            <w:r>
              <w:rPr>
                <w:rFonts w:ascii="Times New Roman" w:hAnsi="Times New Roman" w:cs="Times New Roman" w:eastAsia="Times New Roman" w:hint="default"/>
                <w:sz w:val="18"/>
                <w:szCs w:val="18"/>
              </w:rPr>
              <w:t>=</w:t>
            </w:r>
            <w:r>
              <w:rPr>
                <w:rFonts w:ascii="宋体" w:hAnsi="宋体" w:cs="宋体" w:eastAsia="宋体" w:hint="default"/>
                <w:sz w:val="18"/>
                <w:szCs w:val="18"/>
              </w:rPr>
              <w:t>⑥</w:t>
            </w:r>
            <w:r>
              <w:rPr>
                <w:rFonts w:ascii="Times New Roman" w:hAnsi="Times New Roman" w:cs="Times New Roman" w:eastAsia="Times New Roman" w:hint="default"/>
                <w:sz w:val="18"/>
                <w:szCs w:val="18"/>
              </w:rPr>
              <w:t>+</w:t>
            </w:r>
            <w:r>
              <w:rPr>
                <w:rFonts w:ascii="宋体" w:hAnsi="宋体" w:cs="宋体" w:eastAsia="宋体" w:hint="default"/>
                <w:sz w:val="18"/>
                <w:szCs w:val="18"/>
              </w:rPr>
              <w:t>⑤</w:t>
            </w:r>
          </w:p>
        </w:tc>
        <w:tc>
          <w:tcPr>
            <w:tcW w:w="39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272,696,828.66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75,610,044.06</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51,643,867.95</w:t>
            </w:r>
          </w:p>
        </w:tc>
      </w:tr>
      <w:tr>
        <w:trPr>
          <w:trHeight w:val="65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 w:right="87"/>
              <w:jc w:val="left"/>
              <w:rPr>
                <w:rFonts w:ascii="宋体" w:hAnsi="宋体" w:cs="宋体" w:eastAsia="宋体" w:hint="default"/>
                <w:sz w:val="18"/>
                <w:szCs w:val="18"/>
              </w:rPr>
            </w:pPr>
            <w:r>
              <w:rPr>
                <w:rFonts w:ascii="宋体" w:hAnsi="宋体" w:cs="宋体" w:eastAsia="宋体" w:hint="default"/>
                <w:sz w:val="18"/>
                <w:szCs w:val="18"/>
              </w:rPr>
              <w:t>资产组预计未来现金流量的 现值（可收回金额）⑧</w:t>
            </w:r>
          </w:p>
        </w:tc>
        <w:tc>
          <w:tcPr>
            <w:tcW w:w="39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475,974,766.74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79,552,187.87</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91,747,165.35</w:t>
            </w:r>
          </w:p>
        </w:tc>
      </w:tr>
      <w:tr>
        <w:trPr>
          <w:trHeight w:val="660"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商誉减值损失（大于</w:t>
            </w:r>
            <w:r>
              <w:rPr>
                <w:rFonts w:ascii="Times New Roman" w:hAnsi="Times New Roman" w:cs="Times New Roman" w:eastAsia="Times New Roman" w:hint="default"/>
                <w:sz w:val="18"/>
                <w:szCs w:val="18"/>
              </w:rPr>
              <w:t>0</w:t>
            </w:r>
            <w:r>
              <w:rPr>
                <w:rFonts w:ascii="宋体" w:hAnsi="宋体" w:cs="宋体" w:eastAsia="宋体" w:hint="default"/>
                <w:sz w:val="18"/>
                <w:szCs w:val="18"/>
              </w:rPr>
              <w:t>时）⑨</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⑦</w:t>
            </w:r>
            <w:r>
              <w:rPr>
                <w:rFonts w:ascii="Times New Roman" w:hAnsi="Times New Roman" w:cs="Times New Roman" w:eastAsia="Times New Roman" w:hint="default"/>
                <w:sz w:val="18"/>
                <w:szCs w:val="18"/>
              </w:rPr>
              <w:t>-</w:t>
            </w:r>
            <w:r>
              <w:rPr>
                <w:rFonts w:ascii="宋体" w:hAnsi="宋体" w:cs="宋体" w:eastAsia="宋体" w:hint="default"/>
                <w:sz w:val="18"/>
                <w:szCs w:val="18"/>
              </w:rPr>
              <w:t>⑧</w:t>
            </w:r>
          </w:p>
        </w:tc>
        <w:tc>
          <w:tcPr>
            <w:tcW w:w="39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2"/>
        <w:rPr>
          <w:rFonts w:ascii="宋体" w:hAnsi="宋体" w:cs="宋体" w:eastAsia="宋体" w:hint="default"/>
          <w:sz w:val="14"/>
          <w:szCs w:val="14"/>
        </w:rPr>
      </w:pPr>
    </w:p>
    <w:p>
      <w:pPr>
        <w:pStyle w:val="Heading6"/>
        <w:spacing w:line="240" w:lineRule="auto" w:before="32"/>
        <w:ind w:left="592" w:right="1133" w:firstLine="0"/>
        <w:jc w:val="left"/>
      </w:pPr>
      <w:r>
        <w:rPr/>
        <w:t>（续表）</w:t>
      </w:r>
    </w:p>
    <w:p>
      <w:pPr>
        <w:spacing w:after="0" w:line="240" w:lineRule="auto"/>
        <w:jc w:val="lef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2268"/>
        <w:gridCol w:w="1419"/>
        <w:gridCol w:w="1558"/>
        <w:gridCol w:w="1419"/>
        <w:gridCol w:w="1282"/>
        <w:gridCol w:w="1412"/>
      </w:tblGrid>
      <w:tr>
        <w:trPr>
          <w:trHeight w:val="1283" w:hRule="exact"/>
        </w:trPr>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251" w:right="70" w:hanging="180"/>
              <w:jc w:val="left"/>
              <w:rPr>
                <w:rFonts w:ascii="宋体" w:hAnsi="宋体" w:cs="宋体" w:eastAsia="宋体" w:hint="default"/>
                <w:sz w:val="18"/>
                <w:szCs w:val="18"/>
              </w:rPr>
            </w:pPr>
            <w:r>
              <w:rPr>
                <w:rFonts w:ascii="宋体" w:hAnsi="宋体" w:cs="宋体" w:eastAsia="宋体" w:hint="default"/>
                <w:sz w:val="18"/>
                <w:szCs w:val="18"/>
              </w:rPr>
              <w:t>上海时运信息技 术有限公司</w:t>
            </w:r>
          </w:p>
        </w:tc>
        <w:tc>
          <w:tcPr>
            <w:tcW w:w="15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232" w:right="48" w:hanging="180"/>
              <w:jc w:val="left"/>
              <w:rPr>
                <w:rFonts w:ascii="宋体" w:hAnsi="宋体" w:cs="宋体" w:eastAsia="宋体" w:hint="default"/>
                <w:sz w:val="18"/>
                <w:szCs w:val="18"/>
              </w:rPr>
            </w:pPr>
            <w:r>
              <w:rPr>
                <w:rFonts w:ascii="宋体" w:hAnsi="宋体" w:cs="宋体" w:eastAsia="宋体" w:hint="default"/>
                <w:sz w:val="18"/>
                <w:szCs w:val="18"/>
              </w:rPr>
              <w:t>北京长京益康信息 科技有限公司</w:t>
            </w: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62" w:lineRule="auto" w:before="60"/>
              <w:ind w:left="122" w:right="122" w:firstLine="3"/>
              <w:jc w:val="center"/>
              <w:rPr>
                <w:rFonts w:ascii="Times New Roman" w:hAnsi="Times New Roman" w:cs="Times New Roman" w:eastAsia="Times New Roman" w:hint="default"/>
                <w:sz w:val="18"/>
                <w:szCs w:val="18"/>
              </w:rPr>
            </w:pPr>
            <w:r>
              <w:rPr>
                <w:rFonts w:ascii="Times New Roman"/>
                <w:sz w:val="18"/>
              </w:rPr>
              <w:t>Shiji</w:t>
            </w:r>
            <w:r>
              <w:rPr>
                <w:rFonts w:ascii="Times New Roman"/>
                <w:spacing w:val="-2"/>
                <w:sz w:val="18"/>
              </w:rPr>
              <w:t> </w:t>
            </w:r>
            <w:r>
              <w:rPr>
                <w:rFonts w:ascii="Times New Roman"/>
                <w:sz w:val="18"/>
              </w:rPr>
              <w:t>Retail</w:t>
            </w:r>
            <w:r>
              <w:rPr>
                <w:rFonts w:ascii="Times New Roman"/>
                <w:sz w:val="18"/>
              </w:rPr>
              <w:t> Information Technology</w:t>
            </w:r>
            <w:r>
              <w:rPr>
                <w:rFonts w:ascii="Times New Roman"/>
                <w:spacing w:val="-6"/>
                <w:sz w:val="18"/>
              </w:rPr>
              <w:t> </w:t>
            </w:r>
            <w:r>
              <w:rPr>
                <w:rFonts w:ascii="Times New Roman"/>
                <w:sz w:val="18"/>
              </w:rPr>
              <w:t>Co.</w:t>
            </w:r>
          </w:p>
          <w:p>
            <w:pPr>
              <w:pStyle w:val="TableParagraph"/>
              <w:spacing w:line="240" w:lineRule="auto" w:before="3"/>
              <w:ind w:left="1" w:right="0"/>
              <w:jc w:val="center"/>
              <w:rPr>
                <w:rFonts w:ascii="Times New Roman" w:hAnsi="Times New Roman" w:cs="Times New Roman" w:eastAsia="Times New Roman" w:hint="default"/>
                <w:sz w:val="18"/>
                <w:szCs w:val="18"/>
              </w:rPr>
            </w:pPr>
            <w:r>
              <w:rPr>
                <w:rFonts w:ascii="Times New Roman"/>
                <w:sz w:val="18"/>
              </w:rPr>
              <w:t>Ltd</w:t>
            </w:r>
          </w:p>
        </w:tc>
        <w:tc>
          <w:tcPr>
            <w:tcW w:w="12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184" w:right="0" w:hanging="180"/>
              <w:jc w:val="left"/>
              <w:rPr>
                <w:rFonts w:ascii="宋体" w:hAnsi="宋体" w:cs="宋体" w:eastAsia="宋体" w:hint="default"/>
                <w:sz w:val="18"/>
                <w:szCs w:val="18"/>
              </w:rPr>
            </w:pPr>
            <w:r>
              <w:rPr>
                <w:rFonts w:ascii="宋体" w:hAnsi="宋体" w:cs="宋体" w:eastAsia="宋体" w:hint="default"/>
                <w:sz w:val="18"/>
                <w:szCs w:val="18"/>
              </w:rPr>
              <w:t>广州合光信息技 术有限公司</w:t>
            </w:r>
          </w:p>
        </w:tc>
        <w:tc>
          <w:tcPr>
            <w:tcW w:w="14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67" w:right="68"/>
              <w:jc w:val="left"/>
              <w:rPr>
                <w:rFonts w:ascii="宋体" w:hAnsi="宋体" w:cs="宋体" w:eastAsia="宋体" w:hint="default"/>
                <w:sz w:val="18"/>
                <w:szCs w:val="18"/>
              </w:rPr>
            </w:pPr>
            <w:r>
              <w:rPr>
                <w:rFonts w:ascii="宋体" w:hAnsi="宋体" w:cs="宋体" w:eastAsia="宋体" w:hint="default"/>
                <w:sz w:val="18"/>
                <w:szCs w:val="18"/>
              </w:rPr>
              <w:t>北京宝库在线网 络技术有限公司</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9,251,741.81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518,792,424.49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129,125,859.90</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12,649,039.24</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45,492,725.87</w:t>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商誉的账面价值③</w:t>
            </w:r>
            <w:r>
              <w:rPr>
                <w:rFonts w:ascii="Times New Roman" w:hAnsi="Times New Roman" w:cs="Times New Roman" w:eastAsia="Times New Roman" w:hint="default"/>
                <w:sz w:val="18"/>
                <w:szCs w:val="18"/>
              </w:rPr>
              <w:t>=</w:t>
            </w:r>
            <w:r>
              <w:rPr>
                <w:rFonts w:ascii="宋体" w:hAnsi="宋体" w:cs="宋体" w:eastAsia="宋体" w:hint="default"/>
                <w:sz w:val="18"/>
                <w:szCs w:val="18"/>
              </w:rPr>
              <w:t>①</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9,251,741.81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518,792,424.49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129,125,859.90</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12,649,039.24</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45,492,725.87</w:t>
            </w:r>
          </w:p>
        </w:tc>
      </w:tr>
      <w:tr>
        <w:trPr>
          <w:trHeight w:val="660"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7"/>
              <w:jc w:val="left"/>
              <w:rPr>
                <w:rFonts w:ascii="宋体" w:hAnsi="宋体" w:cs="宋体" w:eastAsia="宋体" w:hint="default"/>
                <w:sz w:val="18"/>
                <w:szCs w:val="18"/>
              </w:rPr>
            </w:pPr>
            <w:r>
              <w:rPr>
                <w:rFonts w:ascii="宋体" w:hAnsi="宋体" w:cs="宋体" w:eastAsia="宋体" w:hint="default"/>
                <w:sz w:val="18"/>
                <w:szCs w:val="18"/>
              </w:rPr>
              <w:t>未确认归属于少数股东权益 的商誉价值④</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3,083,913.94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8,028,128.09</w:t>
            </w:r>
          </w:p>
        </w:tc>
      </w:tr>
      <w:tr>
        <w:trPr>
          <w:trHeight w:val="65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7"/>
              <w:jc w:val="left"/>
              <w:rPr>
                <w:rFonts w:ascii="宋体" w:hAnsi="宋体" w:cs="宋体" w:eastAsia="宋体" w:hint="default"/>
                <w:sz w:val="18"/>
                <w:szCs w:val="18"/>
              </w:rPr>
            </w:pPr>
            <w:r>
              <w:rPr>
                <w:rFonts w:ascii="宋体" w:hAnsi="宋体" w:cs="宋体" w:eastAsia="宋体" w:hint="default"/>
                <w:sz w:val="18"/>
                <w:szCs w:val="18"/>
              </w:rPr>
              <w:t>包含未确认归属于少数股东 权益的商誉价值⑤</w:t>
            </w:r>
            <w:r>
              <w:rPr>
                <w:rFonts w:ascii="Times New Roman" w:hAnsi="Times New Roman" w:cs="Times New Roman" w:eastAsia="Times New Roman" w:hint="default"/>
                <w:sz w:val="18"/>
                <w:szCs w:val="18"/>
              </w:rPr>
              <w:t>=</w:t>
            </w:r>
            <w:r>
              <w:rPr>
                <w:rFonts w:ascii="宋体" w:hAnsi="宋体" w:cs="宋体" w:eastAsia="宋体" w:hint="default"/>
                <w:sz w:val="18"/>
                <w:szCs w:val="18"/>
              </w:rPr>
              <w:t>④</w:t>
            </w:r>
            <w:r>
              <w:rPr>
                <w:rFonts w:ascii="Times New Roman" w:hAnsi="Times New Roman" w:cs="Times New Roman" w:eastAsia="Times New Roman" w:hint="default"/>
                <w:sz w:val="18"/>
                <w:szCs w:val="18"/>
              </w:rPr>
              <w:t>+</w:t>
            </w:r>
            <w:r>
              <w:rPr>
                <w:rFonts w:ascii="宋体" w:hAnsi="宋体" w:cs="宋体" w:eastAsia="宋体" w:hint="default"/>
                <w:sz w:val="18"/>
                <w:szCs w:val="18"/>
              </w:rPr>
              <w:t>③</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12,335,655.75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518,792,424.49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129,125,859.90</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12,649,039.24</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53,520,853.96</w:t>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资产组的账面价值⑥</w:t>
            </w:r>
          </w:p>
        </w:tc>
        <w:tc>
          <w:tcPr>
            <w:tcW w:w="5677"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100,571,770.99</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6,861,066.47</w:t>
            </w:r>
          </w:p>
        </w:tc>
      </w:tr>
      <w:tr>
        <w:trPr>
          <w:trHeight w:val="661"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 w:right="87"/>
              <w:jc w:val="left"/>
              <w:rPr>
                <w:rFonts w:ascii="宋体" w:hAnsi="宋体" w:cs="宋体" w:eastAsia="宋体" w:hint="default"/>
                <w:sz w:val="18"/>
                <w:szCs w:val="18"/>
              </w:rPr>
            </w:pPr>
            <w:r>
              <w:rPr>
                <w:rFonts w:ascii="宋体" w:hAnsi="宋体" w:cs="宋体" w:eastAsia="宋体" w:hint="default"/>
                <w:sz w:val="18"/>
                <w:szCs w:val="18"/>
              </w:rPr>
              <w:t>包含整体商誉资产组的账面 减值⑦</w:t>
            </w:r>
            <w:r>
              <w:rPr>
                <w:rFonts w:ascii="Times New Roman" w:hAnsi="Times New Roman" w:cs="Times New Roman" w:eastAsia="Times New Roman" w:hint="default"/>
                <w:sz w:val="18"/>
                <w:szCs w:val="18"/>
              </w:rPr>
              <w:t>=</w:t>
            </w:r>
            <w:r>
              <w:rPr>
                <w:rFonts w:ascii="宋体" w:hAnsi="宋体" w:cs="宋体" w:eastAsia="宋体" w:hint="default"/>
                <w:sz w:val="18"/>
                <w:szCs w:val="18"/>
              </w:rPr>
              <w:t>⑥</w:t>
            </w:r>
            <w:r>
              <w:rPr>
                <w:rFonts w:ascii="Times New Roman" w:hAnsi="Times New Roman" w:cs="Times New Roman" w:eastAsia="Times New Roman" w:hint="default"/>
                <w:sz w:val="18"/>
                <w:szCs w:val="18"/>
              </w:rPr>
              <w:t>+</w:t>
            </w:r>
            <w:r>
              <w:rPr>
                <w:rFonts w:ascii="宋体" w:hAnsi="宋体" w:cs="宋体" w:eastAsia="宋体" w:hint="default"/>
                <w:sz w:val="18"/>
                <w:szCs w:val="18"/>
              </w:rPr>
              <w:t>⑤</w:t>
            </w:r>
          </w:p>
        </w:tc>
        <w:tc>
          <w:tcPr>
            <w:tcW w:w="5677"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773,474,750.37</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60,381,920.43</w:t>
            </w:r>
          </w:p>
        </w:tc>
      </w:tr>
      <w:tr>
        <w:trPr>
          <w:trHeight w:val="65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7"/>
              <w:jc w:val="left"/>
              <w:rPr>
                <w:rFonts w:ascii="宋体" w:hAnsi="宋体" w:cs="宋体" w:eastAsia="宋体" w:hint="default"/>
                <w:sz w:val="18"/>
                <w:szCs w:val="18"/>
              </w:rPr>
            </w:pPr>
            <w:r>
              <w:rPr>
                <w:rFonts w:ascii="宋体" w:hAnsi="宋体" w:cs="宋体" w:eastAsia="宋体" w:hint="default"/>
                <w:sz w:val="18"/>
                <w:szCs w:val="18"/>
              </w:rPr>
              <w:t>资产组预计未来现金流量的 现值（可收回金额）⑧</w:t>
            </w:r>
          </w:p>
        </w:tc>
        <w:tc>
          <w:tcPr>
            <w:tcW w:w="5677"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2,145,544,089.96</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92,098,237.96</w:t>
            </w:r>
          </w:p>
        </w:tc>
      </w:tr>
      <w:tr>
        <w:trPr>
          <w:trHeight w:val="660"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商誉减值损失（大于</w:t>
            </w:r>
            <w:r>
              <w:rPr>
                <w:rFonts w:ascii="Times New Roman" w:hAnsi="Times New Roman" w:cs="Times New Roman" w:eastAsia="Times New Roman" w:hint="default"/>
                <w:sz w:val="18"/>
                <w:szCs w:val="18"/>
              </w:rPr>
              <w:t>0</w:t>
            </w:r>
            <w:r>
              <w:rPr>
                <w:rFonts w:ascii="宋体" w:hAnsi="宋体" w:cs="宋体" w:eastAsia="宋体" w:hint="default"/>
                <w:sz w:val="18"/>
                <w:szCs w:val="18"/>
              </w:rPr>
              <w:t>时）⑨</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⑦</w:t>
            </w:r>
            <w:r>
              <w:rPr>
                <w:rFonts w:ascii="Times New Roman" w:hAnsi="Times New Roman" w:cs="Times New Roman" w:eastAsia="Times New Roman" w:hint="default"/>
                <w:sz w:val="18"/>
                <w:szCs w:val="18"/>
              </w:rPr>
              <w:t>-</w:t>
            </w:r>
            <w:r>
              <w:rPr>
                <w:rFonts w:ascii="宋体" w:hAnsi="宋体" w:cs="宋体" w:eastAsia="宋体" w:hint="default"/>
                <w:sz w:val="18"/>
                <w:szCs w:val="18"/>
              </w:rPr>
              <w:t>⑧</w:t>
            </w:r>
          </w:p>
        </w:tc>
        <w:tc>
          <w:tcPr>
            <w:tcW w:w="5677"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2"/>
        <w:rPr>
          <w:rFonts w:ascii="宋体" w:hAnsi="宋体" w:cs="宋体" w:eastAsia="宋体" w:hint="default"/>
          <w:sz w:val="14"/>
          <w:szCs w:val="14"/>
        </w:rPr>
      </w:pPr>
    </w:p>
    <w:p>
      <w:pPr>
        <w:pStyle w:val="Heading6"/>
        <w:spacing w:line="240" w:lineRule="auto" w:before="32"/>
        <w:ind w:left="592" w:right="1133" w:firstLine="0"/>
        <w:jc w:val="left"/>
      </w:pPr>
      <w:r>
        <w:rPr/>
        <w:t>（续表）</w:t>
      </w:r>
    </w:p>
    <w:p>
      <w:pPr>
        <w:spacing w:line="240" w:lineRule="auto" w:before="9"/>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268"/>
        <w:gridCol w:w="1419"/>
        <w:gridCol w:w="1558"/>
        <w:gridCol w:w="1419"/>
        <w:gridCol w:w="1277"/>
        <w:gridCol w:w="1700"/>
      </w:tblGrid>
      <w:tr>
        <w:trPr>
          <w:trHeight w:val="971" w:hRule="exact"/>
        </w:trPr>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88" w:right="0"/>
              <w:jc w:val="left"/>
              <w:rPr>
                <w:rFonts w:ascii="Times New Roman" w:hAnsi="Times New Roman" w:cs="Times New Roman" w:eastAsia="Times New Roman" w:hint="default"/>
                <w:sz w:val="18"/>
                <w:szCs w:val="18"/>
              </w:rPr>
            </w:pPr>
            <w:r>
              <w:rPr>
                <w:rFonts w:ascii="Times New Roman"/>
                <w:sz w:val="18"/>
              </w:rPr>
              <w:t>SnapShot</w:t>
            </w:r>
            <w:r>
              <w:rPr>
                <w:rFonts w:ascii="Times New Roman"/>
                <w:spacing w:val="-5"/>
                <w:sz w:val="18"/>
              </w:rPr>
              <w:t> </w:t>
            </w:r>
            <w:r>
              <w:rPr>
                <w:rFonts w:ascii="Times New Roman"/>
                <w:sz w:val="18"/>
              </w:rPr>
              <w:t>GmbH</w:t>
            </w:r>
          </w:p>
        </w:tc>
        <w:tc>
          <w:tcPr>
            <w:tcW w:w="15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03" w:right="0"/>
              <w:jc w:val="left"/>
              <w:rPr>
                <w:rFonts w:ascii="Times New Roman" w:hAnsi="Times New Roman" w:cs="Times New Roman" w:eastAsia="Times New Roman" w:hint="default"/>
                <w:sz w:val="18"/>
                <w:szCs w:val="18"/>
              </w:rPr>
            </w:pPr>
            <w:r>
              <w:rPr>
                <w:rFonts w:ascii="Times New Roman"/>
                <w:sz w:val="18"/>
              </w:rPr>
              <w:t>Review Rank</w:t>
            </w:r>
            <w:r>
              <w:rPr>
                <w:rFonts w:ascii="Times New Roman"/>
                <w:spacing w:val="-8"/>
                <w:sz w:val="18"/>
              </w:rPr>
              <w:t> </w:t>
            </w:r>
            <w:r>
              <w:rPr>
                <w:rFonts w:ascii="Times New Roman"/>
                <w:sz w:val="18"/>
              </w:rPr>
              <w:t>S.A.</w:t>
            </w: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30" w:right="0"/>
              <w:jc w:val="left"/>
              <w:rPr>
                <w:rFonts w:ascii="Times New Roman" w:hAnsi="Times New Roman" w:cs="Times New Roman" w:eastAsia="Times New Roman" w:hint="default"/>
                <w:sz w:val="18"/>
                <w:szCs w:val="18"/>
              </w:rPr>
            </w:pPr>
            <w:r>
              <w:rPr>
                <w:rFonts w:ascii="Times New Roman"/>
                <w:sz w:val="18"/>
              </w:rPr>
              <w:t>Galasys</w:t>
            </w:r>
            <w:r>
              <w:rPr>
                <w:rFonts w:ascii="Times New Roman"/>
                <w:spacing w:val="-6"/>
                <w:sz w:val="18"/>
              </w:rPr>
              <w:t> </w:t>
            </w:r>
            <w:r>
              <w:rPr>
                <w:rFonts w:ascii="Times New Roman"/>
                <w:sz w:val="18"/>
              </w:rPr>
              <w:t>PLC</w:t>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36"/>
              <w:jc w:val="right"/>
              <w:rPr>
                <w:rFonts w:ascii="Times New Roman" w:hAnsi="Times New Roman" w:cs="Times New Roman" w:eastAsia="Times New Roman" w:hint="default"/>
                <w:sz w:val="18"/>
                <w:szCs w:val="18"/>
              </w:rPr>
            </w:pPr>
            <w:r>
              <w:rPr>
                <w:rFonts w:ascii="Times New Roman"/>
                <w:sz w:val="18"/>
              </w:rPr>
              <w:t>StayNTouch</w:t>
            </w:r>
            <w:r>
              <w:rPr>
                <w:rFonts w:ascii="Times New Roman"/>
                <w:spacing w:val="-3"/>
                <w:sz w:val="18"/>
              </w:rPr>
              <w:t> </w:t>
            </w:r>
            <w:r>
              <w:rPr>
                <w:rFonts w:ascii="Times New Roman"/>
                <w:sz w:val="18"/>
              </w:rPr>
              <w:t>Inc</w:t>
            </w:r>
          </w:p>
        </w:tc>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62" w:lineRule="auto" w:before="60"/>
              <w:ind w:left="55" w:right="54" w:hanging="1"/>
              <w:jc w:val="center"/>
              <w:rPr>
                <w:rFonts w:ascii="Times New Roman" w:hAnsi="Times New Roman" w:cs="Times New Roman" w:eastAsia="Times New Roman" w:hint="default"/>
                <w:sz w:val="18"/>
                <w:szCs w:val="18"/>
              </w:rPr>
            </w:pPr>
            <w:r>
              <w:rPr>
                <w:rFonts w:ascii="Times New Roman" w:hAnsi="Times New Roman"/>
                <w:sz w:val="18"/>
              </w:rPr>
              <w:t>CONCEPTEK-</w:t>
            </w:r>
            <w:r>
              <w:rPr>
                <w:rFonts w:ascii="Times New Roman" w:hAnsi="Times New Roman"/>
                <w:w w:val="99"/>
                <w:sz w:val="18"/>
              </w:rPr>
              <w:t> </w:t>
            </w:r>
            <w:r>
              <w:rPr>
                <w:rFonts w:ascii="Times New Roman" w:hAnsi="Times New Roman"/>
                <w:sz w:val="18"/>
              </w:rPr>
              <w:t>SISTEMAS</w:t>
            </w:r>
            <w:r>
              <w:rPr>
                <w:rFonts w:ascii="Times New Roman" w:hAnsi="Times New Roman"/>
                <w:spacing w:val="-1"/>
                <w:sz w:val="18"/>
              </w:rPr>
              <w:t> </w:t>
            </w:r>
            <w:r>
              <w:rPr>
                <w:rFonts w:ascii="Times New Roman" w:hAnsi="Times New Roman"/>
                <w:sz w:val="18"/>
              </w:rPr>
              <w:t>DE</w:t>
            </w:r>
            <w:r>
              <w:rPr>
                <w:rFonts w:ascii="Times New Roman" w:hAnsi="Times New Roman"/>
                <w:w w:val="99"/>
                <w:sz w:val="18"/>
              </w:rPr>
              <w:t> </w:t>
            </w:r>
            <w:r>
              <w:rPr>
                <w:rFonts w:ascii="Times New Roman" w:hAnsi="Times New Roman"/>
                <w:sz w:val="18"/>
              </w:rPr>
              <w:t>INFORMAÇÃO</w:t>
            </w:r>
            <w:r>
              <w:rPr>
                <w:rFonts w:ascii="Times New Roman" w:hAnsi="Times New Roman"/>
                <w:spacing w:val="-7"/>
                <w:sz w:val="18"/>
              </w:rPr>
              <w:t> </w:t>
            </w:r>
            <w:r>
              <w:rPr>
                <w:rFonts w:ascii="Times New Roman" w:hAnsi="Times New Roman"/>
                <w:sz w:val="18"/>
              </w:rPr>
              <w:t>S.A.</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55,141,591.28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57,727,779.19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168,602,764.84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206,778,072.47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30,990,767.56</w:t>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商誉的账面价值③</w:t>
            </w:r>
            <w:r>
              <w:rPr>
                <w:rFonts w:ascii="Times New Roman" w:hAnsi="Times New Roman" w:cs="Times New Roman" w:eastAsia="Times New Roman" w:hint="default"/>
                <w:sz w:val="18"/>
                <w:szCs w:val="18"/>
              </w:rPr>
              <w:t>=</w:t>
            </w:r>
            <w:r>
              <w:rPr>
                <w:rFonts w:ascii="宋体" w:hAnsi="宋体" w:cs="宋体" w:eastAsia="宋体" w:hint="default"/>
                <w:sz w:val="18"/>
                <w:szCs w:val="18"/>
              </w:rPr>
              <w:t>①</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55,141,591.28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57,727,779.19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168,602,764.84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206,778,072.47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30,990,767.56</w:t>
            </w:r>
          </w:p>
        </w:tc>
      </w:tr>
      <w:tr>
        <w:trPr>
          <w:trHeight w:val="660"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7"/>
              <w:jc w:val="left"/>
              <w:rPr>
                <w:rFonts w:ascii="宋体" w:hAnsi="宋体" w:cs="宋体" w:eastAsia="宋体" w:hint="default"/>
                <w:sz w:val="18"/>
                <w:szCs w:val="18"/>
              </w:rPr>
            </w:pPr>
            <w:r>
              <w:rPr>
                <w:rFonts w:ascii="宋体" w:hAnsi="宋体" w:cs="宋体" w:eastAsia="宋体" w:hint="default"/>
                <w:sz w:val="18"/>
                <w:szCs w:val="18"/>
              </w:rPr>
              <w:t>未确认归属于少数股东权益 的商誉价值④</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30,150,936.49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60"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7"/>
              <w:jc w:val="left"/>
              <w:rPr>
                <w:rFonts w:ascii="宋体" w:hAnsi="宋体" w:cs="宋体" w:eastAsia="宋体" w:hint="default"/>
                <w:sz w:val="18"/>
                <w:szCs w:val="18"/>
              </w:rPr>
            </w:pPr>
            <w:r>
              <w:rPr>
                <w:rFonts w:ascii="宋体" w:hAnsi="宋体" w:cs="宋体" w:eastAsia="宋体" w:hint="default"/>
                <w:sz w:val="18"/>
                <w:szCs w:val="18"/>
              </w:rPr>
              <w:t>包含未确认归属于少数股东 权益的商誉价值⑤</w:t>
            </w:r>
            <w:r>
              <w:rPr>
                <w:rFonts w:ascii="Times New Roman" w:hAnsi="Times New Roman" w:cs="Times New Roman" w:eastAsia="Times New Roman" w:hint="default"/>
                <w:sz w:val="18"/>
                <w:szCs w:val="18"/>
              </w:rPr>
              <w:t>=</w:t>
            </w:r>
            <w:r>
              <w:rPr>
                <w:rFonts w:ascii="宋体" w:hAnsi="宋体" w:cs="宋体" w:eastAsia="宋体" w:hint="default"/>
                <w:sz w:val="18"/>
                <w:szCs w:val="18"/>
              </w:rPr>
              <w:t>④</w:t>
            </w:r>
            <w:r>
              <w:rPr>
                <w:rFonts w:ascii="Times New Roman" w:hAnsi="Times New Roman" w:cs="Times New Roman" w:eastAsia="Times New Roman" w:hint="default"/>
                <w:sz w:val="18"/>
                <w:szCs w:val="18"/>
              </w:rPr>
              <w:t>+</w:t>
            </w:r>
            <w:r>
              <w:rPr>
                <w:rFonts w:ascii="宋体" w:hAnsi="宋体" w:cs="宋体" w:eastAsia="宋体" w:hint="default"/>
                <w:sz w:val="18"/>
                <w:szCs w:val="18"/>
              </w:rPr>
              <w:t>③</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55,141,591.28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57,727,779.19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198,753,701.33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206,778,072.47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30,990,767.56</w:t>
            </w: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资产组的账面价值⑥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180,443,500.84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102,050,338.45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3,504,741.72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43,168,967.70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6,525,500.79</w:t>
            </w:r>
          </w:p>
        </w:tc>
      </w:tr>
      <w:tr>
        <w:trPr>
          <w:trHeight w:val="660"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6"/>
              <w:jc w:val="left"/>
              <w:rPr>
                <w:rFonts w:ascii="宋体" w:hAnsi="宋体" w:cs="宋体" w:eastAsia="宋体" w:hint="default"/>
                <w:sz w:val="18"/>
                <w:szCs w:val="18"/>
              </w:rPr>
            </w:pPr>
            <w:r>
              <w:rPr>
                <w:rFonts w:ascii="宋体" w:hAnsi="宋体" w:cs="宋体" w:eastAsia="宋体" w:hint="default"/>
                <w:sz w:val="18"/>
                <w:szCs w:val="18"/>
              </w:rPr>
              <w:t>包含整体商誉资产组的账面 减值⑦</w:t>
            </w:r>
            <w:r>
              <w:rPr>
                <w:rFonts w:ascii="Times New Roman" w:hAnsi="Times New Roman" w:cs="Times New Roman" w:eastAsia="Times New Roman" w:hint="default"/>
                <w:sz w:val="18"/>
                <w:szCs w:val="18"/>
              </w:rPr>
              <w:t>=</w:t>
            </w:r>
            <w:r>
              <w:rPr>
                <w:rFonts w:ascii="宋体" w:hAnsi="宋体" w:cs="宋体" w:eastAsia="宋体" w:hint="default"/>
                <w:sz w:val="18"/>
                <w:szCs w:val="18"/>
              </w:rPr>
              <w:t>⑥</w:t>
            </w:r>
            <w:r>
              <w:rPr>
                <w:rFonts w:ascii="Times New Roman" w:hAnsi="Times New Roman" w:cs="Times New Roman" w:eastAsia="Times New Roman" w:hint="default"/>
                <w:sz w:val="18"/>
                <w:szCs w:val="18"/>
              </w:rPr>
              <w:t>+</w:t>
            </w:r>
            <w:r>
              <w:rPr>
                <w:rFonts w:ascii="宋体" w:hAnsi="宋体" w:cs="宋体" w:eastAsia="宋体" w:hint="default"/>
                <w:sz w:val="18"/>
                <w:szCs w:val="18"/>
              </w:rPr>
              <w:t>⑤</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235,585,092.12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159,778,117.64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202,258,443.05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249,947,040.17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37,516,268.35</w:t>
            </w:r>
          </w:p>
        </w:tc>
      </w:tr>
      <w:tr>
        <w:trPr>
          <w:trHeight w:val="65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7"/>
              <w:jc w:val="left"/>
              <w:rPr>
                <w:rFonts w:ascii="宋体" w:hAnsi="宋体" w:cs="宋体" w:eastAsia="宋体" w:hint="default"/>
                <w:sz w:val="18"/>
                <w:szCs w:val="18"/>
              </w:rPr>
            </w:pPr>
            <w:r>
              <w:rPr>
                <w:rFonts w:ascii="宋体" w:hAnsi="宋体" w:cs="宋体" w:eastAsia="宋体" w:hint="default"/>
                <w:sz w:val="18"/>
                <w:szCs w:val="18"/>
              </w:rPr>
              <w:t>资产组预计未来现金流量的 现值（可收回金额）⑧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327,506,108.13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1,107,381,794.81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221,404,653.80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667,182,443.91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411,151,436.20</w:t>
            </w:r>
          </w:p>
        </w:tc>
      </w:tr>
      <w:tr>
        <w:trPr>
          <w:trHeight w:val="661"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商誉减值损失（大于</w:t>
            </w:r>
            <w:r>
              <w:rPr>
                <w:rFonts w:ascii="Times New Roman" w:hAnsi="Times New Roman" w:cs="Times New Roman" w:eastAsia="Times New Roman" w:hint="default"/>
                <w:sz w:val="18"/>
                <w:szCs w:val="18"/>
              </w:rPr>
              <w:t>0</w:t>
            </w:r>
            <w:r>
              <w:rPr>
                <w:rFonts w:ascii="宋体" w:hAnsi="宋体" w:cs="宋体" w:eastAsia="宋体" w:hint="default"/>
                <w:sz w:val="18"/>
                <w:szCs w:val="18"/>
              </w:rPr>
              <w:t>时）⑨</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⑦</w:t>
            </w:r>
            <w:r>
              <w:rPr>
                <w:rFonts w:ascii="Times New Roman" w:hAnsi="Times New Roman" w:cs="Times New Roman" w:eastAsia="Times New Roman" w:hint="default"/>
                <w:sz w:val="18"/>
                <w:szCs w:val="18"/>
              </w:rPr>
              <w:t>-</w:t>
            </w:r>
            <w:r>
              <w:rPr>
                <w:rFonts w:ascii="宋体" w:hAnsi="宋体" w:cs="宋体" w:eastAsia="宋体" w:hint="default"/>
                <w:sz w:val="18"/>
                <w:szCs w:val="18"/>
              </w:rPr>
              <w:t>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2"/>
        <w:rPr>
          <w:rFonts w:ascii="宋体" w:hAnsi="宋体" w:cs="宋体" w:eastAsia="宋体" w:hint="default"/>
          <w:sz w:val="14"/>
          <w:szCs w:val="14"/>
        </w:rPr>
      </w:pPr>
    </w:p>
    <w:p>
      <w:pPr>
        <w:pStyle w:val="Heading6"/>
        <w:spacing w:line="460" w:lineRule="auto" w:before="32"/>
        <w:ind w:left="952" w:right="1133" w:hanging="800"/>
        <w:jc w:val="left"/>
      </w:pPr>
      <w:r>
        <w:rPr>
          <w:rFonts w:ascii="宋体" w:hAnsi="宋体" w:cs="宋体" w:eastAsia="宋体" w:hint="default"/>
        </w:rPr>
        <w:t>1.</w:t>
      </w:r>
      <w:r>
        <w:rPr>
          <w:rFonts w:ascii="宋体" w:hAnsi="宋体" w:cs="宋体" w:eastAsia="宋体" w:hint="default"/>
          <w:spacing w:val="29"/>
        </w:rPr>
        <w:t> </w:t>
      </w:r>
      <w:r>
        <w:rPr/>
        <w:t>商誉所在资产组或资产组组合的相关信息</w:t>
      </w:r>
      <w:r>
        <w:rPr>
          <w:w w:val="100"/>
        </w:rPr>
        <w:t> </w:t>
      </w:r>
      <w:r>
        <w:rPr>
          <w:spacing w:val="-1"/>
        </w:rPr>
        <w:t>上述公司商誉减值测试的资产组或资产组组合的构成情况如下：</w:t>
      </w:r>
    </w:p>
    <w:p>
      <w:pPr>
        <w:spacing w:after="0" w:line="460" w:lineRule="auto"/>
        <w:jc w:val="left"/>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47" w:lineRule="auto" w:before="32"/>
        <w:ind w:left="513" w:right="1132"/>
        <w:jc w:val="both"/>
      </w:pPr>
      <w:r>
        <w:rPr>
          <w:spacing w:val="-3"/>
        </w:rPr>
        <w:t>注</w:t>
      </w:r>
      <w:r>
        <w:rPr>
          <w:rFonts w:ascii="Times New Roman" w:hAnsi="Times New Roman" w:cs="Times New Roman" w:eastAsia="Times New Roman" w:hint="default"/>
          <w:spacing w:val="-3"/>
        </w:rPr>
        <w:t>1</w:t>
      </w:r>
      <w:r>
        <w:rPr>
          <w:spacing w:val="-3"/>
        </w:rPr>
        <w:t>：杭州西软、杭州连边：本公司以杭州西软合并的长期资产（固定资产、无形资产）作为</w:t>
      </w:r>
      <w:r>
        <w:rPr>
          <w:w w:val="100"/>
        </w:rPr>
        <w:t> </w:t>
      </w:r>
      <w:r>
        <w:rPr/>
        <w:t>相关资产组组合，该资产组组合与购买日及以前年度商誉减值测试时所确定的资产组一致。</w:t>
      </w:r>
    </w:p>
    <w:p>
      <w:pPr>
        <w:spacing w:line="240" w:lineRule="auto" w:before="9"/>
        <w:rPr>
          <w:rFonts w:ascii="宋体" w:hAnsi="宋体" w:cs="宋体" w:eastAsia="宋体" w:hint="default"/>
          <w:sz w:val="19"/>
          <w:szCs w:val="19"/>
        </w:rPr>
      </w:pPr>
    </w:p>
    <w:p>
      <w:pPr>
        <w:pStyle w:val="Heading6"/>
        <w:spacing w:line="252" w:lineRule="auto"/>
        <w:ind w:left="513" w:right="1130"/>
        <w:jc w:val="both"/>
      </w:pPr>
      <w:r>
        <w:rPr>
          <w:spacing w:val="-11"/>
        </w:rPr>
        <w:t>注</w:t>
      </w:r>
      <w:r>
        <w:rPr>
          <w:rFonts w:ascii="Times New Roman" w:hAnsi="Times New Roman" w:cs="Times New Roman" w:eastAsia="Times New Roman" w:hint="default"/>
          <w:spacing w:val="-11"/>
        </w:rPr>
        <w:t>2</w:t>
      </w:r>
      <w:r>
        <w:rPr>
          <w:spacing w:val="-11"/>
        </w:rPr>
        <w:t>：</w:t>
      </w:r>
      <w:r>
        <w:rPr>
          <w:rFonts w:ascii="Times New Roman" w:hAnsi="Times New Roman" w:cs="Times New Roman" w:eastAsia="Times New Roman" w:hint="default"/>
          <w:spacing w:val="-11"/>
        </w:rPr>
        <w:t>Shiji </w:t>
      </w:r>
      <w:r>
        <w:rPr>
          <w:rFonts w:ascii="Times New Roman" w:hAnsi="Times New Roman" w:cs="Times New Roman" w:eastAsia="Times New Roman" w:hint="default"/>
        </w:rPr>
        <w:t>Information:Shiji</w:t>
      </w:r>
      <w:r>
        <w:rPr>
          <w:rFonts w:ascii="Times New Roman" w:hAnsi="Times New Roman" w:cs="Times New Roman" w:eastAsia="Times New Roman" w:hint="default"/>
          <w:spacing w:val="-13"/>
        </w:rPr>
        <w:t> </w:t>
      </w:r>
      <w:r>
        <w:rPr>
          <w:rFonts w:ascii="Times New Roman" w:hAnsi="Times New Roman" w:cs="Times New Roman" w:eastAsia="Times New Roman" w:hint="default"/>
        </w:rPr>
        <w:t>Information</w:t>
      </w:r>
      <w:r>
        <w:rPr/>
        <w:t>业务从</w:t>
      </w:r>
      <w:r>
        <w:rPr>
          <w:rFonts w:ascii="Times New Roman" w:hAnsi="Times New Roman" w:cs="Times New Roman" w:eastAsia="Times New Roman" w:hint="default"/>
        </w:rPr>
        <w:t>2018</w:t>
      </w:r>
      <w:r>
        <w:rPr/>
        <w:t>年开始将其全部业务转移至本公司作为其中</w:t>
      </w:r>
      <w:r>
        <w:rPr>
          <w:w w:val="100"/>
        </w:rPr>
        <w:t> </w:t>
      </w:r>
      <w:r>
        <w:rPr/>
        <w:t>一个业务部，以该业务部的长期资产（固定资产、无形资产）作为资产组，该资产组与购买日及</w:t>
      </w:r>
      <w:r>
        <w:rPr>
          <w:spacing w:val="-71"/>
        </w:rPr>
        <w:t> </w:t>
      </w:r>
      <w:r>
        <w:rPr>
          <w:spacing w:val="-71"/>
        </w:rPr>
      </w:r>
      <w:r>
        <w:rPr/>
        <w:t>以前年度商誉减值测试时所确定的资产组一致。</w:t>
      </w:r>
    </w:p>
    <w:p>
      <w:pPr>
        <w:spacing w:line="240" w:lineRule="auto" w:before="4"/>
        <w:rPr>
          <w:rFonts w:ascii="宋体" w:hAnsi="宋体" w:cs="宋体" w:eastAsia="宋体" w:hint="default"/>
          <w:sz w:val="19"/>
          <w:szCs w:val="19"/>
        </w:rPr>
      </w:pPr>
    </w:p>
    <w:p>
      <w:pPr>
        <w:pStyle w:val="Heading6"/>
        <w:spacing w:line="244" w:lineRule="auto"/>
        <w:ind w:left="513" w:right="0"/>
        <w:jc w:val="left"/>
      </w:pPr>
      <w:r>
        <w:rPr>
          <w:spacing w:val="-6"/>
        </w:rPr>
        <w:t>注</w:t>
      </w:r>
      <w:r>
        <w:rPr>
          <w:rFonts w:ascii="Times New Roman" w:hAnsi="Times New Roman" w:cs="Times New Roman" w:eastAsia="Times New Roman" w:hint="default"/>
          <w:spacing w:val="-6"/>
        </w:rPr>
        <w:t>3</w:t>
      </w:r>
      <w:r>
        <w:rPr>
          <w:spacing w:val="-6"/>
        </w:rPr>
        <w:t>：南京银石：本公司以南京银石的长期资产（固定资产、无形资产）作为相关资产组组合，</w:t>
      </w:r>
      <w:r>
        <w:rPr>
          <w:w w:val="100"/>
        </w:rPr>
        <w:t> </w:t>
      </w:r>
      <w:r>
        <w:rPr/>
        <w:t>该资产组组合与购买日及以前年度商誉减值测试所确定的资产组一致。</w:t>
      </w:r>
    </w:p>
    <w:p>
      <w:pPr>
        <w:spacing w:line="240" w:lineRule="auto" w:before="11"/>
        <w:rPr>
          <w:rFonts w:ascii="宋体" w:hAnsi="宋体" w:cs="宋体" w:eastAsia="宋体" w:hint="default"/>
          <w:sz w:val="19"/>
          <w:szCs w:val="19"/>
        </w:rPr>
      </w:pPr>
    </w:p>
    <w:p>
      <w:pPr>
        <w:pStyle w:val="Heading6"/>
        <w:spacing w:line="244" w:lineRule="auto"/>
        <w:ind w:left="513" w:right="1132"/>
        <w:jc w:val="both"/>
      </w:pPr>
      <w:r>
        <w:rPr>
          <w:spacing w:val="-3"/>
        </w:rPr>
        <w:t>注</w:t>
      </w:r>
      <w:r>
        <w:rPr>
          <w:rFonts w:ascii="Times New Roman" w:hAnsi="Times New Roman" w:cs="Times New Roman" w:eastAsia="Times New Roman" w:hint="default"/>
          <w:spacing w:val="-3"/>
        </w:rPr>
        <w:t>4</w:t>
      </w:r>
      <w:r>
        <w:rPr>
          <w:spacing w:val="-3"/>
        </w:rPr>
        <w:t>：上海正品：本公司以上海正品的长期资产（固定资产、无形资产）作为相关资产组，该</w:t>
      </w:r>
      <w:r>
        <w:rPr>
          <w:w w:val="100"/>
        </w:rPr>
        <w:t> </w:t>
      </w:r>
      <w:r>
        <w:rPr/>
        <w:t>资产组与购买日及以前年度商誉减值测试所确定的资产组一致。</w:t>
      </w:r>
    </w:p>
    <w:p>
      <w:pPr>
        <w:spacing w:line="240" w:lineRule="auto" w:before="11"/>
        <w:rPr>
          <w:rFonts w:ascii="宋体" w:hAnsi="宋体" w:cs="宋体" w:eastAsia="宋体" w:hint="default"/>
          <w:sz w:val="19"/>
          <w:szCs w:val="19"/>
        </w:rPr>
      </w:pPr>
    </w:p>
    <w:p>
      <w:pPr>
        <w:pStyle w:val="Heading6"/>
        <w:spacing w:line="254" w:lineRule="auto"/>
        <w:ind w:left="513" w:right="1130"/>
        <w:jc w:val="both"/>
      </w:pPr>
      <w:r>
        <w:rPr>
          <w:spacing w:val="-3"/>
        </w:rPr>
        <w:t>注</w:t>
      </w:r>
      <w:r>
        <w:rPr>
          <w:rFonts w:ascii="Times New Roman" w:hAnsi="Times New Roman" w:cs="Times New Roman" w:eastAsia="Times New Roman" w:hint="default"/>
          <w:spacing w:val="-3"/>
        </w:rPr>
        <w:t>5</w:t>
      </w:r>
      <w:r>
        <w:rPr>
          <w:spacing w:val="-3"/>
        </w:rPr>
        <w:t>：深圳思迅、深圳奥凯、南京客至：本公司以深圳思迅合并的长期资产（固定资产、无形</w:t>
      </w:r>
      <w:r>
        <w:rPr>
          <w:w w:val="100"/>
        </w:rPr>
        <w:t> </w:t>
      </w:r>
      <w:r>
        <w:rPr/>
        <w:t>资产）作为相关资产组组合，该资产组组合与购买日及以前年度商誉减值测试时所确定的资产组</w:t>
      </w:r>
      <w:r>
        <w:rPr>
          <w:spacing w:val="-71"/>
        </w:rPr>
        <w:t> </w:t>
      </w:r>
      <w:r>
        <w:rPr>
          <w:spacing w:val="-71"/>
        </w:rPr>
      </w:r>
      <w:r>
        <w:rPr/>
        <w:t>一致。</w:t>
      </w:r>
    </w:p>
    <w:p>
      <w:pPr>
        <w:spacing w:line="240" w:lineRule="auto" w:before="2"/>
        <w:rPr>
          <w:rFonts w:ascii="宋体" w:hAnsi="宋体" w:cs="宋体" w:eastAsia="宋体" w:hint="default"/>
          <w:sz w:val="19"/>
          <w:szCs w:val="19"/>
        </w:rPr>
      </w:pPr>
    </w:p>
    <w:p>
      <w:pPr>
        <w:pStyle w:val="Heading6"/>
        <w:spacing w:line="244" w:lineRule="auto"/>
        <w:ind w:left="513" w:right="1132"/>
        <w:jc w:val="both"/>
      </w:pPr>
      <w:r>
        <w:rPr>
          <w:spacing w:val="-3"/>
        </w:rPr>
        <w:t>注</w:t>
      </w:r>
      <w:r>
        <w:rPr>
          <w:rFonts w:ascii="Times New Roman" w:hAnsi="Times New Roman" w:cs="Times New Roman" w:eastAsia="Times New Roman" w:hint="default"/>
          <w:spacing w:val="-3"/>
        </w:rPr>
        <w:t>6</w:t>
      </w:r>
      <w:r>
        <w:rPr>
          <w:spacing w:val="-3"/>
        </w:rPr>
        <w:t>：广州万讯：本公司以广州万讯的长期资产（固定资产、无形资产、开发支出）作为相关</w:t>
      </w:r>
      <w:r>
        <w:rPr>
          <w:w w:val="100"/>
        </w:rPr>
        <w:t> </w:t>
      </w:r>
      <w:r>
        <w:rPr/>
        <w:t>资产组，该资产组与购买日及以前年度商誉减值测试所确定的资产组一致。</w:t>
      </w:r>
    </w:p>
    <w:p>
      <w:pPr>
        <w:spacing w:line="240" w:lineRule="auto" w:before="11"/>
        <w:rPr>
          <w:rFonts w:ascii="宋体" w:hAnsi="宋体" w:cs="宋体" w:eastAsia="宋体" w:hint="default"/>
          <w:sz w:val="19"/>
          <w:szCs w:val="19"/>
        </w:rPr>
      </w:pPr>
    </w:p>
    <w:p>
      <w:pPr>
        <w:pStyle w:val="Heading6"/>
        <w:spacing w:line="244" w:lineRule="auto"/>
        <w:ind w:left="513" w:right="1129"/>
        <w:jc w:val="both"/>
      </w:pPr>
      <w:r>
        <w:rPr>
          <w:spacing w:val="-3"/>
        </w:rPr>
        <w:t>注</w:t>
      </w:r>
      <w:r>
        <w:rPr>
          <w:rFonts w:ascii="Times New Roman" w:hAnsi="Times New Roman" w:cs="Times New Roman" w:eastAsia="Times New Roman" w:hint="default"/>
          <w:spacing w:val="-3"/>
        </w:rPr>
        <w:t>7</w:t>
      </w:r>
      <w:r>
        <w:rPr>
          <w:spacing w:val="-3"/>
        </w:rPr>
        <w:t>：</w:t>
      </w:r>
      <w:r>
        <w:rPr>
          <w:rFonts w:ascii="Times New Roman" w:hAnsi="Times New Roman" w:cs="Times New Roman" w:eastAsia="Times New Roman" w:hint="default"/>
          <w:spacing w:val="-3"/>
        </w:rPr>
        <w:t>Horwath </w:t>
      </w:r>
      <w:r>
        <w:rPr>
          <w:rFonts w:ascii="Times New Roman" w:hAnsi="Times New Roman" w:cs="Times New Roman" w:eastAsia="Times New Roman" w:hint="default"/>
        </w:rPr>
        <w:t>Asia</w:t>
      </w:r>
      <w:r>
        <w:rPr/>
        <w:t>：本公司以</w:t>
      </w:r>
      <w:r>
        <w:rPr>
          <w:rFonts w:ascii="Times New Roman" w:hAnsi="Times New Roman" w:cs="Times New Roman" w:eastAsia="Times New Roman" w:hint="default"/>
        </w:rPr>
        <w:t>Horwath</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3"/>
        </w:rPr>
        <w:t>Asia</w:t>
      </w:r>
      <w:r>
        <w:rPr>
          <w:spacing w:val="-3"/>
        </w:rPr>
        <w:t>合并的长期资产（固定资产、无形资产）作为相关</w:t>
      </w:r>
      <w:r>
        <w:rPr>
          <w:w w:val="100"/>
        </w:rPr>
        <w:t> </w:t>
      </w:r>
      <w:r>
        <w:rPr/>
        <w:t>资产组组合，该资产组组合与购买日及以前年度商誉减值测试所确定的资产组一致。</w:t>
      </w:r>
    </w:p>
    <w:p>
      <w:pPr>
        <w:spacing w:line="240" w:lineRule="auto" w:before="11"/>
        <w:rPr>
          <w:rFonts w:ascii="宋体" w:hAnsi="宋体" w:cs="宋体" w:eastAsia="宋体" w:hint="default"/>
          <w:sz w:val="19"/>
          <w:szCs w:val="19"/>
        </w:rPr>
      </w:pPr>
    </w:p>
    <w:p>
      <w:pPr>
        <w:pStyle w:val="Heading6"/>
        <w:spacing w:line="252" w:lineRule="auto"/>
        <w:ind w:left="513" w:right="1130"/>
        <w:jc w:val="both"/>
      </w:pPr>
      <w:r>
        <w:rPr>
          <w:spacing w:val="-3"/>
        </w:rPr>
        <w:t>注</w:t>
      </w:r>
      <w:r>
        <w:rPr>
          <w:rFonts w:ascii="Times New Roman" w:hAnsi="Times New Roman" w:cs="Times New Roman" w:eastAsia="Times New Roman" w:hint="default"/>
          <w:spacing w:val="-3"/>
        </w:rPr>
        <w:t>8</w:t>
      </w:r>
      <w:r>
        <w:rPr>
          <w:spacing w:val="-3"/>
        </w:rPr>
        <w:t>：石基零售、上海时运、长益科技、广州合光：本公司以石基零售合并的长期资产（固定</w:t>
      </w:r>
      <w:r>
        <w:rPr>
          <w:w w:val="100"/>
        </w:rPr>
        <w:t> </w:t>
      </w:r>
      <w:r>
        <w:rPr/>
        <w:t>资产、无形资产、开发支出）作为相关资产组组合，该资产组组合与购买日及以前年度商誉减值</w:t>
      </w:r>
      <w:r>
        <w:rPr>
          <w:spacing w:val="-71"/>
        </w:rPr>
        <w:t> </w:t>
      </w:r>
      <w:r>
        <w:rPr>
          <w:spacing w:val="-71"/>
        </w:rPr>
      </w:r>
      <w:r>
        <w:rPr/>
        <w:t>测试时所确定的资产组一致。</w:t>
      </w:r>
    </w:p>
    <w:p>
      <w:pPr>
        <w:spacing w:line="240" w:lineRule="auto" w:before="5"/>
        <w:rPr>
          <w:rFonts w:ascii="宋体" w:hAnsi="宋体" w:cs="宋体" w:eastAsia="宋体" w:hint="default"/>
          <w:sz w:val="19"/>
          <w:szCs w:val="19"/>
        </w:rPr>
      </w:pPr>
    </w:p>
    <w:p>
      <w:pPr>
        <w:pStyle w:val="Heading6"/>
        <w:spacing w:line="240" w:lineRule="auto"/>
        <w:ind w:left="952" w:right="1133" w:firstLine="0"/>
        <w:jc w:val="left"/>
      </w:pPr>
      <w:r>
        <w:rPr/>
        <w:t>注</w:t>
      </w:r>
      <w:r>
        <w:rPr>
          <w:rFonts w:ascii="Times New Roman" w:hAnsi="Times New Roman" w:cs="Times New Roman" w:eastAsia="Times New Roman" w:hint="default"/>
        </w:rPr>
        <w:t>9</w:t>
      </w:r>
      <w:r>
        <w:rPr/>
        <w:t>：宝库在线：本公司于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月完成宝库在线的并购，期末以宝库在线合并的长期资产</w:t>
      </w:r>
    </w:p>
    <w:p>
      <w:pPr>
        <w:pStyle w:val="Heading6"/>
        <w:spacing w:line="240" w:lineRule="auto" w:before="7"/>
        <w:ind w:left="952" w:right="1133" w:hanging="440"/>
        <w:jc w:val="left"/>
      </w:pPr>
      <w:r>
        <w:rPr/>
        <w:t>（固定资产、无形资产）作为相关的资产组组合，该资产组组合与购买日所确定的资产组一致。</w:t>
      </w:r>
    </w:p>
    <w:p>
      <w:pPr>
        <w:spacing w:line="240" w:lineRule="auto" w:before="2"/>
        <w:rPr>
          <w:rFonts w:ascii="宋体" w:hAnsi="宋体" w:cs="宋体" w:eastAsia="宋体" w:hint="default"/>
          <w:sz w:val="20"/>
          <w:szCs w:val="20"/>
        </w:rPr>
      </w:pPr>
    </w:p>
    <w:p>
      <w:pPr>
        <w:pStyle w:val="Heading6"/>
        <w:spacing w:line="244" w:lineRule="auto"/>
        <w:ind w:left="513" w:right="1132"/>
        <w:jc w:val="both"/>
      </w:pPr>
      <w:r>
        <w:rPr/>
        <w:t>注</w:t>
      </w:r>
      <w:r>
        <w:rPr>
          <w:rFonts w:ascii="Times New Roman" w:hAnsi="Times New Roman" w:cs="Times New Roman" w:eastAsia="Times New Roman" w:hint="default"/>
        </w:rPr>
        <w:t>10</w:t>
      </w:r>
      <w:r>
        <w:rPr/>
        <w:t>：</w:t>
      </w:r>
      <w:r>
        <w:rPr>
          <w:rFonts w:ascii="Times New Roman" w:hAnsi="Times New Roman" w:cs="Times New Roman" w:eastAsia="Times New Roman" w:hint="default"/>
        </w:rPr>
        <w:t>Shiji GmbH:</w:t>
      </w:r>
      <w:r>
        <w:rPr/>
        <w:t>本公司以</w:t>
      </w:r>
      <w:r>
        <w:rPr>
          <w:rFonts w:ascii="Times New Roman" w:hAnsi="Times New Roman" w:cs="Times New Roman" w:eastAsia="Times New Roman" w:hint="default"/>
        </w:rPr>
        <w:t>Shiji</w:t>
      </w:r>
      <w:r>
        <w:rPr>
          <w:rFonts w:ascii="Times New Roman" w:hAnsi="Times New Roman" w:cs="Times New Roman" w:eastAsia="Times New Roman" w:hint="default"/>
          <w:spacing w:val="26"/>
        </w:rPr>
        <w:t> </w:t>
      </w:r>
      <w:r>
        <w:rPr>
          <w:rFonts w:ascii="Times New Roman" w:hAnsi="Times New Roman" w:cs="Times New Roman" w:eastAsia="Times New Roman" w:hint="default"/>
        </w:rPr>
        <w:t>GmbH</w:t>
      </w:r>
      <w:r>
        <w:rPr/>
        <w:t>的长期资产（固定资产、无形资产）作为相关资产组</w:t>
      </w:r>
      <w:r>
        <w:rPr>
          <w:w w:val="100"/>
        </w:rPr>
        <w:t> </w:t>
      </w:r>
      <w:r>
        <w:rPr/>
        <w:t>组合，该资产组组合与购买日及以前年度商誉减值测试所确定的资产组一致。</w:t>
      </w:r>
    </w:p>
    <w:p>
      <w:pPr>
        <w:spacing w:line="240" w:lineRule="auto" w:before="11"/>
        <w:rPr>
          <w:rFonts w:ascii="宋体" w:hAnsi="宋体" w:cs="宋体" w:eastAsia="宋体" w:hint="default"/>
          <w:sz w:val="19"/>
          <w:szCs w:val="19"/>
        </w:rPr>
      </w:pPr>
    </w:p>
    <w:p>
      <w:pPr>
        <w:pStyle w:val="Heading6"/>
        <w:spacing w:line="244" w:lineRule="auto"/>
        <w:ind w:left="513" w:right="1132"/>
        <w:jc w:val="both"/>
      </w:pPr>
      <w:r>
        <w:rPr/>
        <w:t>注</w:t>
      </w:r>
      <w:r>
        <w:rPr>
          <w:rFonts w:ascii="Times New Roman" w:hAnsi="Times New Roman" w:cs="Times New Roman" w:eastAsia="Times New Roman" w:hint="default"/>
        </w:rPr>
        <w:t>11</w:t>
      </w:r>
      <w:r>
        <w:rPr/>
        <w:t>：</w:t>
      </w:r>
      <w:r>
        <w:rPr>
          <w:rFonts w:ascii="Times New Roman" w:hAnsi="Times New Roman" w:cs="Times New Roman" w:eastAsia="Times New Roman" w:hint="default"/>
        </w:rPr>
        <w:t>Review Rank S.A.:</w:t>
      </w:r>
      <w:r>
        <w:rPr/>
        <w:t>本公司以</w:t>
      </w:r>
      <w:r>
        <w:rPr>
          <w:rFonts w:ascii="Times New Roman" w:hAnsi="Times New Roman" w:cs="Times New Roman" w:eastAsia="Times New Roman" w:hint="default"/>
        </w:rPr>
        <w:t>Review</w:t>
      </w:r>
      <w:r>
        <w:rPr>
          <w:rFonts w:ascii="Times New Roman" w:hAnsi="Times New Roman" w:cs="Times New Roman" w:eastAsia="Times New Roman" w:hint="default"/>
          <w:spacing w:val="-2"/>
        </w:rPr>
        <w:t> </w:t>
      </w:r>
      <w:r>
        <w:rPr>
          <w:rFonts w:ascii="Times New Roman" w:hAnsi="Times New Roman" w:cs="Times New Roman" w:eastAsia="Times New Roman" w:hint="default"/>
        </w:rPr>
        <w:t>Rank</w:t>
      </w:r>
      <w:r>
        <w:rPr/>
        <w:t>的长期资产（固定资产、无形资产）作为相关</w:t>
      </w:r>
      <w:r>
        <w:rPr>
          <w:w w:val="100"/>
        </w:rPr>
        <w:t> </w:t>
      </w:r>
      <w:r>
        <w:rPr/>
        <w:t>资产组组合，该资产组组合与购买日及以前年度商誉减值测试所确定的资产组一致。</w:t>
      </w:r>
    </w:p>
    <w:p>
      <w:pPr>
        <w:spacing w:line="240" w:lineRule="auto" w:before="11"/>
        <w:rPr>
          <w:rFonts w:ascii="宋体" w:hAnsi="宋体" w:cs="宋体" w:eastAsia="宋体" w:hint="default"/>
          <w:sz w:val="19"/>
          <w:szCs w:val="19"/>
        </w:rPr>
      </w:pPr>
    </w:p>
    <w:p>
      <w:pPr>
        <w:pStyle w:val="Heading6"/>
        <w:spacing w:line="252" w:lineRule="auto"/>
        <w:ind w:left="513" w:right="1130"/>
        <w:jc w:val="both"/>
      </w:pPr>
      <w:r>
        <w:rPr>
          <w:spacing w:val="-7"/>
        </w:rPr>
        <w:t>注</w:t>
      </w:r>
      <w:r>
        <w:rPr>
          <w:rFonts w:ascii="Times New Roman" w:hAnsi="Times New Roman" w:cs="Times New Roman" w:eastAsia="Times New Roman" w:hint="default"/>
          <w:spacing w:val="-7"/>
        </w:rPr>
        <w:t>12</w:t>
      </w:r>
      <w:r>
        <w:rPr>
          <w:spacing w:val="-7"/>
        </w:rPr>
        <w:t>：</w:t>
      </w:r>
      <w:r>
        <w:rPr>
          <w:rFonts w:ascii="Times New Roman" w:hAnsi="Times New Roman" w:cs="Times New Roman" w:eastAsia="Times New Roman" w:hint="default"/>
          <w:spacing w:val="-7"/>
        </w:rPr>
        <w:t>Galasys </w:t>
      </w:r>
      <w:r>
        <w:rPr>
          <w:rFonts w:ascii="Times New Roman" w:hAnsi="Times New Roman" w:cs="Times New Roman" w:eastAsia="Times New Roman" w:hint="default"/>
          <w:spacing w:val="-8"/>
        </w:rPr>
        <w:t>PLC</w:t>
      </w:r>
      <w:r>
        <w:rPr>
          <w:spacing w:val="-8"/>
        </w:rPr>
        <w:t>：</w:t>
      </w:r>
      <w:r>
        <w:rPr>
          <w:rFonts w:ascii="Times New Roman" w:hAnsi="Times New Roman" w:cs="Times New Roman" w:eastAsia="Times New Roman" w:hint="default"/>
          <w:spacing w:val="-8"/>
        </w:rPr>
        <w:t>Galasys</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6"/>
        </w:rPr>
        <w:t>PLC</w:t>
      </w:r>
      <w:r>
        <w:rPr>
          <w:spacing w:val="-6"/>
        </w:rPr>
        <w:t>主要经营单位为苏州环企，本公司以苏州环企的长期资产（固</w:t>
      </w:r>
      <w:r>
        <w:rPr>
          <w:w w:val="100"/>
        </w:rPr>
        <w:t> </w:t>
      </w:r>
      <w:r>
        <w:rPr/>
        <w:t>定资产、无形资产）作为相关资产组组合，该资产组组合与购买日及以前年度商誉减值测试所确</w:t>
      </w:r>
      <w:r>
        <w:rPr>
          <w:spacing w:val="-72"/>
        </w:rPr>
        <w:t> </w:t>
      </w:r>
      <w:r>
        <w:rPr>
          <w:spacing w:val="-72"/>
        </w:rPr>
      </w:r>
      <w:r>
        <w:rPr/>
        <w:t>定的资产组一致。</w:t>
      </w:r>
    </w:p>
    <w:p>
      <w:pPr>
        <w:spacing w:line="240" w:lineRule="auto" w:before="5"/>
        <w:rPr>
          <w:rFonts w:ascii="宋体" w:hAnsi="宋体" w:cs="宋体" w:eastAsia="宋体" w:hint="default"/>
          <w:sz w:val="19"/>
          <w:szCs w:val="19"/>
        </w:rPr>
      </w:pPr>
    </w:p>
    <w:p>
      <w:pPr>
        <w:pStyle w:val="Heading6"/>
        <w:spacing w:line="252" w:lineRule="auto"/>
        <w:ind w:left="513" w:right="1129"/>
        <w:jc w:val="both"/>
      </w:pPr>
      <w:r>
        <w:rPr/>
        <w:t>注</w:t>
      </w:r>
      <w:r>
        <w:rPr>
          <w:rFonts w:ascii="Times New Roman" w:hAnsi="Times New Roman" w:cs="Times New Roman" w:eastAsia="Times New Roman" w:hint="default"/>
        </w:rPr>
        <w:t>13</w:t>
      </w:r>
      <w:r>
        <w:rPr/>
        <w:t>：</w:t>
      </w:r>
      <w:r>
        <w:rPr>
          <w:rFonts w:ascii="Times New Roman" w:hAnsi="Times New Roman" w:cs="Times New Roman" w:eastAsia="Times New Roman" w:hint="default"/>
        </w:rPr>
        <w:t>Stayntouch</w:t>
      </w:r>
      <w:r>
        <w:rPr>
          <w:rFonts w:ascii="Times New Roman" w:hAnsi="Times New Roman" w:cs="Times New Roman" w:eastAsia="Times New Roman" w:hint="default"/>
          <w:spacing w:val="11"/>
        </w:rPr>
        <w:t> </w:t>
      </w:r>
      <w:r>
        <w:rPr>
          <w:rFonts w:ascii="Times New Roman" w:hAnsi="Times New Roman" w:cs="Times New Roman" w:eastAsia="Times New Roman" w:hint="default"/>
        </w:rPr>
        <w:t>Inc:</w:t>
      </w: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月完成</w:t>
      </w:r>
      <w:r>
        <w:rPr>
          <w:rFonts w:ascii="Times New Roman" w:hAnsi="Times New Roman" w:cs="Times New Roman" w:eastAsia="Times New Roman" w:hint="default"/>
        </w:rPr>
        <w:t>Stayntouch</w:t>
      </w:r>
      <w:r>
        <w:rPr/>
        <w:t>的并购，期末以</w:t>
      </w:r>
      <w:r>
        <w:rPr>
          <w:rFonts w:ascii="Times New Roman" w:hAnsi="Times New Roman" w:cs="Times New Roman" w:eastAsia="Times New Roman" w:hint="default"/>
        </w:rPr>
        <w:t>Stayntouch</w:t>
      </w:r>
      <w:r>
        <w:rPr/>
        <w:t>的长期资</w:t>
      </w:r>
      <w:r>
        <w:rPr>
          <w:w w:val="100"/>
        </w:rPr>
        <w:t> </w:t>
      </w:r>
      <w:r>
        <w:rPr/>
        <w:t>产（固定资产、无形资产）作为相关资产组组合，该资产组组合与购买日及以前年度商誉减值测</w:t>
      </w:r>
      <w:r>
        <w:rPr>
          <w:spacing w:val="-71"/>
        </w:rPr>
        <w:t> </w:t>
      </w:r>
      <w:r>
        <w:rPr>
          <w:spacing w:val="-71"/>
        </w:rPr>
      </w:r>
      <w:r>
        <w:rPr/>
        <w:t>试所确定的资产组一致。</w:t>
      </w:r>
    </w:p>
    <w:p>
      <w:pPr>
        <w:spacing w:line="240" w:lineRule="auto" w:before="4"/>
        <w:rPr>
          <w:rFonts w:ascii="宋体" w:hAnsi="宋体" w:cs="宋体" w:eastAsia="宋体" w:hint="default"/>
          <w:sz w:val="19"/>
          <w:szCs w:val="19"/>
        </w:rPr>
      </w:pPr>
    </w:p>
    <w:p>
      <w:pPr>
        <w:pStyle w:val="Heading6"/>
        <w:spacing w:line="244" w:lineRule="auto"/>
        <w:ind w:left="513" w:right="1128"/>
        <w:jc w:val="both"/>
      </w:pPr>
      <w:r>
        <w:rPr>
          <w:spacing w:val="-5"/>
        </w:rPr>
        <w:t>注</w:t>
      </w:r>
      <w:r>
        <w:rPr>
          <w:rFonts w:ascii="Times New Roman" w:hAnsi="Times New Roman" w:cs="Times New Roman" w:eastAsia="Times New Roman" w:hint="default"/>
          <w:spacing w:val="-5"/>
        </w:rPr>
        <w:t>14</w:t>
      </w:r>
      <w:r>
        <w:rPr>
          <w:spacing w:val="-5"/>
        </w:rPr>
        <w:t>：</w:t>
      </w:r>
      <w:r>
        <w:rPr>
          <w:rFonts w:ascii="Times New Roman" w:hAnsi="Times New Roman" w:cs="Times New Roman" w:eastAsia="Times New Roman" w:hint="default"/>
          <w:spacing w:val="-5"/>
        </w:rPr>
        <w:t>Conceptek</w:t>
      </w:r>
      <w:r>
        <w:rPr>
          <w:spacing w:val="-5"/>
        </w:rPr>
        <w:t>：本公司于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9</w:t>
      </w:r>
      <w:r>
        <w:rPr>
          <w:spacing w:val="-5"/>
        </w:rPr>
        <w:t>月完成</w:t>
      </w:r>
      <w:r>
        <w:rPr>
          <w:rFonts w:ascii="Times New Roman" w:hAnsi="Times New Roman" w:cs="Times New Roman" w:eastAsia="Times New Roman" w:hint="default"/>
          <w:spacing w:val="-5"/>
        </w:rPr>
        <w:t>Conceptek</w:t>
      </w:r>
      <w:r>
        <w:rPr>
          <w:spacing w:val="-5"/>
        </w:rPr>
        <w:t>的并购，期末以</w:t>
      </w:r>
      <w:r>
        <w:rPr>
          <w:rFonts w:ascii="Times New Roman" w:hAnsi="Times New Roman" w:cs="Times New Roman" w:eastAsia="Times New Roman" w:hint="default"/>
          <w:spacing w:val="-5"/>
        </w:rPr>
        <w:t>Conceptek</w:t>
      </w:r>
      <w:r>
        <w:rPr>
          <w:spacing w:val="-5"/>
        </w:rPr>
        <w:t>的长期资产（固</w:t>
      </w:r>
      <w:r>
        <w:rPr>
          <w:w w:val="100"/>
        </w:rPr>
        <w:t> </w:t>
      </w:r>
      <w:r>
        <w:rPr/>
        <w:t>定资产、无形资产）作为相关资产组组合，该资产组与购买日所确定的资产组一致。</w:t>
      </w:r>
    </w:p>
    <w:p>
      <w:pPr>
        <w:spacing w:before="90"/>
        <w:ind w:left="152"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说明商誉减值测试过程、关键参数（如预计未来现金流量现值时的预测期增长率、稳定期增长率、利润率、折现率、预测期</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before="44"/>
        <w:ind w:left="592" w:right="1133" w:hanging="440"/>
        <w:jc w:val="left"/>
        <w:rPr>
          <w:rFonts w:ascii="宋体" w:hAnsi="宋体" w:cs="宋体" w:eastAsia="宋体" w:hint="default"/>
          <w:sz w:val="18"/>
          <w:szCs w:val="18"/>
        </w:rPr>
      </w:pPr>
      <w:r>
        <w:rPr>
          <w:rFonts w:ascii="宋体" w:hAnsi="宋体" w:cs="宋体" w:eastAsia="宋体" w:hint="default"/>
          <w:sz w:val="18"/>
          <w:szCs w:val="18"/>
        </w:rPr>
        <w:t>等）及商誉减值损失的确认方法：</w:t>
      </w:r>
    </w:p>
    <w:p>
      <w:pPr>
        <w:spacing w:line="240" w:lineRule="auto" w:before="1"/>
        <w:rPr>
          <w:rFonts w:ascii="宋体" w:hAnsi="宋体" w:cs="宋体" w:eastAsia="宋体" w:hint="default"/>
          <w:sz w:val="22"/>
          <w:szCs w:val="22"/>
        </w:rPr>
      </w:pPr>
    </w:p>
    <w:p>
      <w:pPr>
        <w:pStyle w:val="Heading6"/>
        <w:spacing w:line="432" w:lineRule="auto"/>
        <w:ind w:left="592" w:right="1133" w:firstLine="0"/>
        <w:jc w:val="left"/>
      </w:pPr>
      <w:r>
        <w:rPr>
          <w:rFonts w:ascii="Times New Roman" w:hAnsi="Times New Roman" w:cs="Times New Roman" w:eastAsia="Times New Roman" w:hint="default"/>
        </w:rPr>
        <w:t>1</w:t>
      </w:r>
      <w:r>
        <w:rPr/>
        <w:t>）重要假设及依据</w:t>
      </w:r>
      <w:r>
        <w:rPr>
          <w:w w:val="100"/>
        </w:rPr>
        <w:t> </w:t>
      </w:r>
      <w:r>
        <w:rPr/>
        <w:t>持续经营假设。本次估值假定被估值资产现有用途不变且估值对象持续经营。</w:t>
      </w:r>
    </w:p>
    <w:p>
      <w:pPr>
        <w:pStyle w:val="Heading6"/>
        <w:spacing w:line="259" w:lineRule="auto" w:before="88"/>
        <w:ind w:right="1133"/>
        <w:jc w:val="left"/>
      </w:pPr>
      <w:r>
        <w:rPr>
          <w:spacing w:val="-2"/>
        </w:rPr>
        <w:t>被估值单位的经营活动和提供的服务符合国家的产业政策，各种经营活动合法，并在未来可预见</w:t>
      </w:r>
      <w:r>
        <w:rPr>
          <w:w w:val="100"/>
        </w:rPr>
        <w:t> </w:t>
      </w:r>
      <w:r>
        <w:rPr/>
        <w:t>的时间内不会发生重大变化；</w:t>
      </w:r>
    </w:p>
    <w:p>
      <w:pPr>
        <w:spacing w:line="240" w:lineRule="auto" w:before="11"/>
        <w:rPr>
          <w:rFonts w:ascii="宋体" w:hAnsi="宋体" w:cs="宋体" w:eastAsia="宋体" w:hint="default"/>
          <w:sz w:val="18"/>
          <w:szCs w:val="18"/>
        </w:rPr>
      </w:pPr>
    </w:p>
    <w:p>
      <w:pPr>
        <w:pStyle w:val="Heading6"/>
        <w:spacing w:line="259" w:lineRule="auto"/>
        <w:ind w:right="1133"/>
        <w:jc w:val="left"/>
      </w:pPr>
      <w:r>
        <w:rPr>
          <w:spacing w:val="-2"/>
        </w:rPr>
        <w:t>本次预测是基于现有的国家法律、法规、税收政策以及金融政策，不考虑今后的不可预测的重大</w:t>
      </w:r>
      <w:r>
        <w:rPr>
          <w:w w:val="100"/>
        </w:rPr>
        <w:t> </w:t>
      </w:r>
      <w:r>
        <w:rPr/>
        <w:t>变化；</w:t>
      </w:r>
    </w:p>
    <w:p>
      <w:pPr>
        <w:pStyle w:val="Heading6"/>
        <w:spacing w:line="240" w:lineRule="auto" w:before="47"/>
        <w:ind w:right="1133" w:firstLine="0"/>
        <w:jc w:val="left"/>
      </w:pPr>
      <w:r>
        <w:rPr/>
        <w:t>假设利率、汇率、税赋基准及税率，在国家规定的正常范围内无重大变化等。</w:t>
      </w:r>
    </w:p>
    <w:p>
      <w:pPr>
        <w:spacing w:line="240" w:lineRule="auto" w:before="2"/>
        <w:rPr>
          <w:rFonts w:ascii="宋体" w:hAnsi="宋体" w:cs="宋体" w:eastAsia="宋体" w:hint="default"/>
          <w:sz w:val="20"/>
          <w:szCs w:val="20"/>
        </w:rPr>
      </w:pPr>
    </w:p>
    <w:p>
      <w:pPr>
        <w:pStyle w:val="Heading6"/>
        <w:spacing w:line="240" w:lineRule="auto"/>
        <w:ind w:left="592" w:right="1133" w:firstLine="0"/>
        <w:jc w:val="left"/>
      </w:pPr>
      <w:r>
        <w:rPr>
          <w:rFonts w:ascii="Times New Roman" w:hAnsi="Times New Roman" w:cs="Times New Roman" w:eastAsia="Times New Roman" w:hint="default"/>
        </w:rPr>
        <w:t>2</w:t>
      </w:r>
      <w:r>
        <w:rPr/>
        <w:t>）关键参数</w:t>
      </w:r>
    </w:p>
    <w:p>
      <w:pPr>
        <w:spacing w:line="240" w:lineRule="auto" w:before="5"/>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1560"/>
        <w:gridCol w:w="1561"/>
        <w:gridCol w:w="1351"/>
        <w:gridCol w:w="1263"/>
        <w:gridCol w:w="2347"/>
        <w:gridCol w:w="1700"/>
      </w:tblGrid>
      <w:tr>
        <w:trPr>
          <w:trHeight w:val="346" w:hRule="exact"/>
        </w:trPr>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18"/>
              <w:ind w:left="41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822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关键参数</w:t>
            </w:r>
          </w:p>
        </w:tc>
      </w:tr>
      <w:tr>
        <w:trPr>
          <w:trHeight w:val="660" w:hRule="exact"/>
        </w:trPr>
        <w:tc>
          <w:tcPr>
            <w:tcW w:w="1560" w:type="dxa"/>
            <w:vMerge/>
            <w:tcBorders>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03" w:right="0"/>
              <w:jc w:val="left"/>
              <w:rPr>
                <w:rFonts w:ascii="宋体" w:hAnsi="宋体" w:cs="宋体" w:eastAsia="宋体" w:hint="default"/>
                <w:sz w:val="18"/>
                <w:szCs w:val="18"/>
              </w:rPr>
            </w:pPr>
            <w:r>
              <w:rPr>
                <w:rFonts w:ascii="宋体" w:hAnsi="宋体" w:cs="宋体" w:eastAsia="宋体" w:hint="default"/>
                <w:sz w:val="18"/>
                <w:szCs w:val="18"/>
              </w:rPr>
              <w:t>预测期</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27"/>
              <w:jc w:val="right"/>
              <w:rPr>
                <w:rFonts w:ascii="宋体" w:hAnsi="宋体" w:cs="宋体" w:eastAsia="宋体" w:hint="default"/>
                <w:sz w:val="18"/>
                <w:szCs w:val="18"/>
              </w:rPr>
            </w:pPr>
            <w:r>
              <w:rPr>
                <w:rFonts w:ascii="宋体" w:hAnsi="宋体" w:cs="宋体" w:eastAsia="宋体" w:hint="default"/>
                <w:sz w:val="18"/>
                <w:szCs w:val="18"/>
              </w:rPr>
              <w:t>预测期增长率</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稳定期增长率</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利润率</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11" w:right="32" w:hanging="181"/>
              <w:jc w:val="left"/>
              <w:rPr>
                <w:rFonts w:ascii="宋体" w:hAnsi="宋体" w:cs="宋体" w:eastAsia="宋体" w:hint="default"/>
                <w:sz w:val="18"/>
                <w:szCs w:val="18"/>
              </w:rPr>
            </w:pPr>
            <w:r>
              <w:rPr>
                <w:rFonts w:ascii="宋体" w:hAnsi="宋体" w:cs="宋体" w:eastAsia="宋体" w:hint="default"/>
                <w:sz w:val="18"/>
                <w:szCs w:val="18"/>
              </w:rPr>
              <w:t>折现率（加权平均资 本成本</w:t>
            </w:r>
            <w:r>
              <w:rPr>
                <w:rFonts w:ascii="Times New Roman" w:hAnsi="Times New Roman" w:cs="Times New Roman" w:eastAsia="Times New Roman" w:hint="default"/>
                <w:sz w:val="18"/>
                <w:szCs w:val="18"/>
              </w:rPr>
              <w:t>WACC</w:t>
            </w:r>
            <w:r>
              <w:rPr>
                <w:rFonts w:ascii="宋体" w:hAnsi="宋体" w:cs="宋体" w:eastAsia="宋体" w:hint="default"/>
                <w:sz w:val="18"/>
                <w:szCs w:val="18"/>
              </w:rPr>
              <w:t>）</w:t>
            </w:r>
          </w:p>
        </w:tc>
      </w:tr>
      <w:tr>
        <w:trPr>
          <w:trHeight w:val="65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杭州西软</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年（后 续为稳定期）</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
              <w:jc w:val="left"/>
              <w:rPr>
                <w:rFonts w:ascii="宋体" w:hAnsi="宋体" w:cs="宋体" w:eastAsia="宋体" w:hint="default"/>
                <w:sz w:val="18"/>
                <w:szCs w:val="18"/>
              </w:rPr>
            </w:pPr>
            <w:r>
              <w:rPr>
                <w:rFonts w:ascii="宋体" w:hAnsi="宋体" w:cs="宋体" w:eastAsia="宋体" w:hint="default"/>
                <w:spacing w:val="-2"/>
                <w:sz w:val="18"/>
                <w:szCs w:val="18"/>
              </w:rPr>
              <w:t>根据预测的收入、成本、费用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等计算</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14.19%</w:t>
            </w:r>
          </w:p>
        </w:tc>
      </w:tr>
      <w:tr>
        <w:trPr>
          <w:trHeight w:val="66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Shiji</w:t>
            </w:r>
            <w:r>
              <w:rPr>
                <w:rFonts w:ascii="Times New Roman"/>
                <w:spacing w:val="-6"/>
                <w:sz w:val="18"/>
              </w:rPr>
              <w:t> </w:t>
            </w:r>
            <w:r>
              <w:rPr>
                <w:rFonts w:ascii="Times New Roman"/>
                <w:sz w:val="18"/>
              </w:rPr>
              <w:t>Information</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年（后 续为稳定期）</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4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至</w:t>
            </w:r>
            <w:r>
              <w:rPr>
                <w:rFonts w:ascii="Times New Roman" w:hAnsi="Times New Roman" w:cs="Times New Roman" w:eastAsia="Times New Roman" w:hint="default"/>
                <w:sz w:val="18"/>
                <w:szCs w:val="18"/>
              </w:rPr>
              <w:t>13%</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pacing w:val="-2"/>
                <w:sz w:val="18"/>
                <w:szCs w:val="18"/>
              </w:rPr>
              <w:t>根据预测的收入、成本、费用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等计算</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14.19%</w:t>
            </w:r>
          </w:p>
        </w:tc>
      </w:tr>
      <w:tr>
        <w:trPr>
          <w:trHeight w:val="66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南京银石</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年（后 续为稳定期）</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3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
              <w:jc w:val="left"/>
              <w:rPr>
                <w:rFonts w:ascii="宋体" w:hAnsi="宋体" w:cs="宋体" w:eastAsia="宋体" w:hint="default"/>
                <w:sz w:val="18"/>
                <w:szCs w:val="18"/>
              </w:rPr>
            </w:pPr>
            <w:r>
              <w:rPr>
                <w:rFonts w:ascii="宋体" w:hAnsi="宋体" w:cs="宋体" w:eastAsia="宋体" w:hint="default"/>
                <w:spacing w:val="-2"/>
                <w:sz w:val="18"/>
                <w:szCs w:val="18"/>
              </w:rPr>
              <w:t>根据预测的收入、成本、费用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等计算</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14.19%</w:t>
            </w:r>
          </w:p>
        </w:tc>
      </w:tr>
      <w:tr>
        <w:trPr>
          <w:trHeight w:val="65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上海正品</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年（后 续为稳定期）</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4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至</w:t>
            </w:r>
            <w:r>
              <w:rPr>
                <w:rFonts w:ascii="Times New Roman" w:hAnsi="Times New Roman" w:cs="Times New Roman" w:eastAsia="Times New Roman" w:hint="default"/>
                <w:sz w:val="18"/>
                <w:szCs w:val="18"/>
              </w:rPr>
              <w:t>76%</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
              <w:jc w:val="left"/>
              <w:rPr>
                <w:rFonts w:ascii="宋体" w:hAnsi="宋体" w:cs="宋体" w:eastAsia="宋体" w:hint="default"/>
                <w:sz w:val="18"/>
                <w:szCs w:val="18"/>
              </w:rPr>
            </w:pPr>
            <w:r>
              <w:rPr>
                <w:rFonts w:ascii="宋体" w:hAnsi="宋体" w:cs="宋体" w:eastAsia="宋体" w:hint="default"/>
                <w:spacing w:val="-2"/>
                <w:sz w:val="18"/>
                <w:szCs w:val="18"/>
              </w:rPr>
              <w:t>根据预测的收入、成本、费用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等计算</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13.29%</w:t>
            </w:r>
          </w:p>
        </w:tc>
      </w:tr>
      <w:tr>
        <w:trPr>
          <w:trHeight w:val="66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深圳思迅</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年（后 续为稳定期）</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至</w:t>
            </w:r>
            <w:r>
              <w:rPr>
                <w:rFonts w:ascii="Times New Roman" w:hAnsi="Times New Roman" w:cs="Times New Roman" w:eastAsia="Times New Roman" w:hint="default"/>
                <w:sz w:val="18"/>
                <w:szCs w:val="18"/>
              </w:rPr>
              <w:t>15%</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pacing w:val="-2"/>
                <w:sz w:val="18"/>
                <w:szCs w:val="18"/>
              </w:rPr>
              <w:t>根据预测的收入、成本、费用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等计算</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14.19%</w:t>
            </w:r>
          </w:p>
        </w:tc>
      </w:tr>
      <w:tr>
        <w:trPr>
          <w:trHeight w:val="65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广州万讯</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年（后 续为稳定期）</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至</w:t>
            </w:r>
            <w:r>
              <w:rPr>
                <w:rFonts w:ascii="Times New Roman" w:hAnsi="Times New Roman" w:cs="Times New Roman" w:eastAsia="Times New Roman" w:hint="default"/>
                <w:spacing w:val="-1"/>
                <w:sz w:val="18"/>
                <w:szCs w:val="18"/>
              </w:rPr>
              <w:t>19.38%</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
              <w:jc w:val="left"/>
              <w:rPr>
                <w:rFonts w:ascii="宋体" w:hAnsi="宋体" w:cs="宋体" w:eastAsia="宋体" w:hint="default"/>
                <w:sz w:val="18"/>
                <w:szCs w:val="18"/>
              </w:rPr>
            </w:pPr>
            <w:r>
              <w:rPr>
                <w:rFonts w:ascii="宋体" w:hAnsi="宋体" w:cs="宋体" w:eastAsia="宋体" w:hint="default"/>
                <w:spacing w:val="-2"/>
                <w:sz w:val="18"/>
                <w:szCs w:val="18"/>
              </w:rPr>
              <w:t>根据预测的收入、成本、费用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等计算</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12.81%</w:t>
            </w:r>
          </w:p>
        </w:tc>
      </w:tr>
      <w:tr>
        <w:trPr>
          <w:trHeight w:val="66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浩华管理</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年（后 续为稳定期）</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pacing w:val="-2"/>
                <w:sz w:val="18"/>
                <w:szCs w:val="18"/>
              </w:rPr>
              <w:t>根据预测的收入、成本、费用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等计算</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14.44%</w:t>
            </w:r>
          </w:p>
        </w:tc>
      </w:tr>
      <w:tr>
        <w:trPr>
          <w:trHeight w:val="65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石基零售</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年（后 续为稳定期）</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4.36%</w:t>
            </w:r>
            <w:r>
              <w:rPr>
                <w:rFonts w:ascii="宋体" w:hAnsi="宋体" w:cs="宋体" w:eastAsia="宋体" w:hint="default"/>
                <w:sz w:val="18"/>
                <w:szCs w:val="18"/>
              </w:rPr>
              <w:t>至</w:t>
            </w:r>
            <w:r>
              <w:rPr>
                <w:rFonts w:ascii="Times New Roman" w:hAnsi="Times New Roman" w:cs="Times New Roman" w:eastAsia="Times New Roman" w:hint="default"/>
                <w:sz w:val="18"/>
                <w:szCs w:val="18"/>
              </w:rPr>
              <w:t>31.5%</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
              <w:jc w:val="left"/>
              <w:rPr>
                <w:rFonts w:ascii="宋体" w:hAnsi="宋体" w:cs="宋体" w:eastAsia="宋体" w:hint="default"/>
                <w:sz w:val="18"/>
                <w:szCs w:val="18"/>
              </w:rPr>
            </w:pPr>
            <w:r>
              <w:rPr>
                <w:rFonts w:ascii="宋体" w:hAnsi="宋体" w:cs="宋体" w:eastAsia="宋体" w:hint="default"/>
                <w:spacing w:val="-2"/>
                <w:sz w:val="18"/>
                <w:szCs w:val="18"/>
              </w:rPr>
              <w:t>根据预测的收入、成本、费用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等计算</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14.19%</w:t>
            </w:r>
          </w:p>
        </w:tc>
      </w:tr>
      <w:tr>
        <w:trPr>
          <w:trHeight w:val="66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宝库在线</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-2026</w:t>
            </w:r>
            <w:r>
              <w:rPr>
                <w:rFonts w:ascii="宋体" w:hAnsi="宋体" w:cs="宋体" w:eastAsia="宋体" w:hint="default"/>
                <w:sz w:val="18"/>
                <w:szCs w:val="18"/>
              </w:rPr>
              <w:t>年（后 续为稳定期）</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7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至</w:t>
            </w:r>
            <w:r>
              <w:rPr>
                <w:rFonts w:ascii="Times New Roman" w:hAnsi="Times New Roman" w:cs="Times New Roman" w:eastAsia="Times New Roman" w:hint="default"/>
                <w:sz w:val="18"/>
                <w:szCs w:val="18"/>
              </w:rPr>
              <w:t>60.55%</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pacing w:val="-2"/>
                <w:sz w:val="18"/>
                <w:szCs w:val="18"/>
              </w:rPr>
              <w:t>根据预测的收入、成本、费用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等计算</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16.06%</w:t>
            </w:r>
          </w:p>
        </w:tc>
      </w:tr>
      <w:tr>
        <w:trPr>
          <w:trHeight w:val="661"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Shiji</w:t>
            </w:r>
            <w:r>
              <w:rPr>
                <w:rFonts w:ascii="Times New Roman"/>
                <w:spacing w:val="-5"/>
                <w:sz w:val="18"/>
              </w:rPr>
              <w:t> </w:t>
            </w:r>
            <w:r>
              <w:rPr>
                <w:rFonts w:ascii="Times New Roman"/>
                <w:sz w:val="18"/>
              </w:rPr>
              <w:t>GmbH</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年（后 续为稳定期）</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6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-98%</w:t>
            </w:r>
            <w:r>
              <w:rPr>
                <w:rFonts w:ascii="宋体" w:hAnsi="宋体" w:cs="宋体" w:eastAsia="宋体" w:hint="default"/>
                <w:w w:val="95"/>
                <w:sz w:val="18"/>
                <w:szCs w:val="18"/>
              </w:rPr>
              <w:t>至</w:t>
            </w:r>
            <w:r>
              <w:rPr>
                <w:rFonts w:ascii="Times New Roman" w:hAnsi="Times New Roman" w:cs="Times New Roman" w:eastAsia="Times New Roman" w:hint="default"/>
                <w:w w:val="95"/>
                <w:sz w:val="18"/>
                <w:szCs w:val="18"/>
              </w:rPr>
              <w:t>466%</w:t>
            </w:r>
            <w:r>
              <w:rPr>
                <w:rFonts w:ascii="Times New Roman" w:hAnsi="Times New Roman" w:cs="Times New Roman" w:eastAsia="Times New Roman" w:hint="default"/>
                <w:sz w:val="18"/>
                <w:szCs w:val="18"/>
              </w:rPr>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
              <w:jc w:val="left"/>
              <w:rPr>
                <w:rFonts w:ascii="宋体" w:hAnsi="宋体" w:cs="宋体" w:eastAsia="宋体" w:hint="default"/>
                <w:sz w:val="18"/>
                <w:szCs w:val="18"/>
              </w:rPr>
            </w:pPr>
            <w:r>
              <w:rPr>
                <w:rFonts w:ascii="宋体" w:hAnsi="宋体" w:cs="宋体" w:eastAsia="宋体" w:hint="default"/>
                <w:spacing w:val="-2"/>
                <w:sz w:val="18"/>
                <w:szCs w:val="18"/>
              </w:rPr>
              <w:t>根据预测的收入、成本、费用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等计算</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10.26%</w:t>
            </w:r>
          </w:p>
        </w:tc>
      </w:tr>
      <w:tr>
        <w:trPr>
          <w:trHeight w:val="65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Review Rank</w:t>
            </w:r>
            <w:r>
              <w:rPr>
                <w:rFonts w:ascii="Times New Roman"/>
                <w:spacing w:val="-8"/>
                <w:sz w:val="18"/>
              </w:rPr>
              <w:t> </w:t>
            </w:r>
            <w:r>
              <w:rPr>
                <w:rFonts w:ascii="Times New Roman"/>
                <w:sz w:val="18"/>
              </w:rPr>
              <w:t>S.A.</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年（后 续为稳定期）</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至</w:t>
            </w:r>
            <w:r>
              <w:rPr>
                <w:rFonts w:ascii="Times New Roman" w:hAnsi="Times New Roman" w:cs="Times New Roman" w:eastAsia="Times New Roman" w:hint="default"/>
                <w:spacing w:val="-1"/>
                <w:sz w:val="18"/>
                <w:szCs w:val="18"/>
              </w:rPr>
              <w:t>23.13%</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
              <w:jc w:val="left"/>
              <w:rPr>
                <w:rFonts w:ascii="宋体" w:hAnsi="宋体" w:cs="宋体" w:eastAsia="宋体" w:hint="default"/>
                <w:sz w:val="18"/>
                <w:szCs w:val="18"/>
              </w:rPr>
            </w:pPr>
            <w:r>
              <w:rPr>
                <w:rFonts w:ascii="宋体" w:hAnsi="宋体" w:cs="宋体" w:eastAsia="宋体" w:hint="default"/>
                <w:spacing w:val="-2"/>
                <w:sz w:val="18"/>
                <w:szCs w:val="18"/>
              </w:rPr>
              <w:t>根据预测的收入、成本、费用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等计算</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6.44%</w:t>
            </w:r>
          </w:p>
        </w:tc>
      </w:tr>
      <w:tr>
        <w:trPr>
          <w:trHeight w:val="66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Galasys</w:t>
            </w:r>
            <w:r>
              <w:rPr>
                <w:rFonts w:ascii="Times New Roman"/>
                <w:spacing w:val="-6"/>
                <w:sz w:val="18"/>
              </w:rPr>
              <w:t> </w:t>
            </w:r>
            <w:r>
              <w:rPr>
                <w:rFonts w:ascii="Times New Roman"/>
                <w:sz w:val="18"/>
              </w:rPr>
              <w:t>PLC</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年（后 续为稳定期）</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8"/>
              <w:jc w:val="right"/>
              <w:rPr>
                <w:rFonts w:ascii="Times New Roman" w:hAnsi="Times New Roman" w:cs="Times New Roman" w:eastAsia="Times New Roman" w:hint="default"/>
                <w:sz w:val="18"/>
                <w:szCs w:val="18"/>
              </w:rPr>
            </w:pPr>
            <w:r>
              <w:rPr>
                <w:rFonts w:ascii="Times New Roman"/>
                <w:sz w:val="18"/>
              </w:rPr>
              <w:t>25.98%-38.28%</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pacing w:val="-2"/>
                <w:sz w:val="18"/>
                <w:szCs w:val="18"/>
              </w:rPr>
              <w:t>根据预测的收入、成本、费用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等计算</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13.05%</w:t>
            </w:r>
          </w:p>
        </w:tc>
      </w:tr>
      <w:tr>
        <w:trPr>
          <w:trHeight w:val="66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Stayntouch</w:t>
            </w:r>
            <w:r>
              <w:rPr>
                <w:rFonts w:ascii="Times New Roman"/>
                <w:spacing w:val="-1"/>
                <w:sz w:val="18"/>
              </w:rPr>
              <w:t> </w:t>
            </w:r>
            <w:r>
              <w:rPr>
                <w:rFonts w:ascii="Times New Roman"/>
                <w:sz w:val="18"/>
              </w:rPr>
              <w:t>Inc</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年（后 续为稳定期）</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19.7%</w:t>
            </w:r>
            <w:r>
              <w:rPr>
                <w:rFonts w:ascii="宋体" w:hAnsi="宋体" w:cs="宋体" w:eastAsia="宋体" w:hint="default"/>
                <w:w w:val="95"/>
                <w:sz w:val="18"/>
                <w:szCs w:val="18"/>
              </w:rPr>
              <w:t>至</w:t>
            </w:r>
            <w:r>
              <w:rPr>
                <w:rFonts w:ascii="Times New Roman" w:hAnsi="Times New Roman" w:cs="Times New Roman" w:eastAsia="Times New Roman" w:hint="default"/>
                <w:w w:val="95"/>
                <w:sz w:val="18"/>
                <w:szCs w:val="18"/>
              </w:rPr>
              <w:t>160%</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
              <w:jc w:val="left"/>
              <w:rPr>
                <w:rFonts w:ascii="宋体" w:hAnsi="宋体" w:cs="宋体" w:eastAsia="宋体" w:hint="default"/>
                <w:sz w:val="18"/>
                <w:szCs w:val="18"/>
              </w:rPr>
            </w:pPr>
            <w:r>
              <w:rPr>
                <w:rFonts w:ascii="宋体" w:hAnsi="宋体" w:cs="宋体" w:eastAsia="宋体" w:hint="default"/>
                <w:spacing w:val="-2"/>
                <w:sz w:val="18"/>
                <w:szCs w:val="18"/>
              </w:rPr>
              <w:t>根据预测的收入、成本、费用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等计算</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13.18%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1560"/>
        <w:gridCol w:w="1561"/>
        <w:gridCol w:w="1351"/>
        <w:gridCol w:w="1263"/>
        <w:gridCol w:w="2347"/>
        <w:gridCol w:w="1700"/>
      </w:tblGrid>
      <w:tr>
        <w:trPr>
          <w:trHeight w:val="66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CONCEPTEK</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年（后 续为稳定期）</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至</w:t>
            </w:r>
            <w:r>
              <w:rPr>
                <w:rFonts w:ascii="Times New Roman" w:hAnsi="Times New Roman" w:cs="Times New Roman" w:eastAsia="Times New Roman" w:hint="default"/>
                <w:sz w:val="18"/>
                <w:szCs w:val="18"/>
              </w:rPr>
              <w:t>38.5%</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2"/>
              <w:jc w:val="left"/>
              <w:rPr>
                <w:rFonts w:ascii="宋体" w:hAnsi="宋体" w:cs="宋体" w:eastAsia="宋体" w:hint="default"/>
                <w:sz w:val="18"/>
                <w:szCs w:val="18"/>
              </w:rPr>
            </w:pPr>
            <w:r>
              <w:rPr>
                <w:rFonts w:ascii="宋体" w:hAnsi="宋体" w:cs="宋体" w:eastAsia="宋体" w:hint="default"/>
                <w:spacing w:val="-2"/>
                <w:sz w:val="18"/>
                <w:szCs w:val="18"/>
              </w:rPr>
              <w:t>根据预测的收入、成本、费用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等计算</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10.47%</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商誉减值测试的影响</w:t>
      </w:r>
    </w:p>
    <w:p>
      <w:pPr>
        <w:pStyle w:val="Heading6"/>
        <w:spacing w:line="244" w:lineRule="auto" w:before="85"/>
        <w:ind w:right="1133"/>
        <w:jc w:val="left"/>
      </w:pPr>
      <w:r>
        <w:rPr>
          <w:spacing w:val="-3"/>
        </w:rPr>
        <w:t>经测试，除公司因收购航信华仪形成的商誉本期全部计提减值准备</w:t>
      </w:r>
      <w:r>
        <w:rPr>
          <w:rFonts w:ascii="Times New Roman" w:hAnsi="Times New Roman" w:cs="Times New Roman" w:eastAsia="Times New Roman" w:hint="default"/>
          <w:spacing w:val="-3"/>
        </w:rPr>
        <w:t>5,846,357.23</w:t>
      </w:r>
      <w:r>
        <w:rPr>
          <w:spacing w:val="-3"/>
        </w:rPr>
        <w:t>元，其他单位因收</w:t>
      </w:r>
      <w:r>
        <w:rPr>
          <w:w w:val="100"/>
        </w:rPr>
        <w:t> </w:t>
      </w:r>
      <w:r>
        <w:rPr/>
        <w:t>购形成的商誉本期不存在重大减值。</w:t>
      </w:r>
    </w:p>
    <w:p>
      <w:pPr>
        <w:spacing w:before="90"/>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6"/>
        <w:spacing w:line="240" w:lineRule="auto"/>
        <w:ind w:left="592" w:right="1133" w:firstLine="0"/>
        <w:jc w:val="left"/>
      </w:pPr>
      <w:r>
        <w:rPr/>
        <w:t>注：其他变动为海外子公司商誉汇率变动影响所致。</w:t>
      </w:r>
    </w:p>
    <w:p>
      <w:pPr>
        <w:spacing w:line="240" w:lineRule="auto" w:before="6"/>
        <w:rPr>
          <w:rFonts w:ascii="宋体" w:hAnsi="宋体" w:cs="宋体" w:eastAsia="宋体" w:hint="default"/>
          <w:sz w:val="25"/>
          <w:szCs w:val="25"/>
        </w:rPr>
      </w:pPr>
    </w:p>
    <w:p>
      <w:pPr>
        <w:pStyle w:val="Heading7"/>
        <w:spacing w:line="240" w:lineRule="auto"/>
        <w:ind w:left="255" w:right="1133"/>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2"/>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489"/>
        <w:gridCol w:w="1594"/>
        <w:gridCol w:w="1596"/>
        <w:gridCol w:w="1594"/>
        <w:gridCol w:w="1594"/>
      </w:tblGrid>
      <w:tr>
        <w:trPr>
          <w:trHeight w:val="40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3,558,700.55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591,381.21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2,002,376.70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2,147,705.06</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办公楼改造项目费用</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295,454.55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65,398.72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230,055.83</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宽带服务费</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121,698.12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104,009.64</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3,558,700.55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1,008,533.88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2,085,463.90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2,481,770.53</w:t>
            </w:r>
          </w:p>
        </w:tc>
      </w:tr>
    </w:tbl>
    <w:p>
      <w:pPr>
        <w:spacing w:line="357" w:lineRule="auto" w:before="49"/>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110,952,624.20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18,422,996.68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93,726,607.81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15,540,009.93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6,905,908.11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1,035,886.22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9,064,301.13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1,359,645.17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168,958,479.13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36,602,231.80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126,687,765.84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31,153,161.25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2,427,387.79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606,846.94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3,665,692.09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776,752.89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289,244,399.23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56,667,961.64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233,144,366.87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48,829,569.24</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04"/>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非同一控制企业合并资</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46" w:right="0"/>
              <w:jc w:val="left"/>
              <w:rPr>
                <w:rFonts w:ascii="Times New Roman" w:hAnsi="Times New Roman" w:cs="Times New Roman" w:eastAsia="Times New Roman" w:hint="default"/>
                <w:sz w:val="18"/>
                <w:szCs w:val="18"/>
              </w:rPr>
            </w:pPr>
            <w:r>
              <w:rPr>
                <w:rFonts w:ascii="Times New Roman"/>
                <w:sz w:val="18"/>
              </w:rPr>
              <w:t>158,785,451.72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38,998,207.74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162,950,676.64</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40,888,366.88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产评估增值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158,785,451.72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38,998,207.74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162,950,676.64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40,888,366.88</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56,667,961.64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48,829,569.24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38,998,207.74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40,888,366.88</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3"/>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44,728,989.80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44,440,751.21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103,837,560.58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67,368,175.76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148,566,550.38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111,808,926.97</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453,890.37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1,533,652.62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8,647,190.51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1,582,125.48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16,447,782.83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3,224,703.93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28,060,128.28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25,018,582.24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23,878,838.86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36,009,111.49</w:t>
            </w:r>
            <w:r>
              <w:rPr>
                <w:rFonts w:ascii="Times New Roman"/>
                <w:w w:val="95"/>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26,349,729.73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103,837,560.58</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67,368,175.76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6"/>
        <w:spacing w:line="244" w:lineRule="auto"/>
        <w:ind w:right="1133"/>
        <w:jc w:val="left"/>
      </w:pPr>
      <w:r>
        <w:rPr>
          <w:spacing w:val="-2"/>
        </w:rPr>
        <w:t>注：本集团本年因非同一控制下企业合并北京宝库使</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2021</w:t>
      </w:r>
      <w:r>
        <w:rPr>
          <w:spacing w:val="-2"/>
        </w:rPr>
        <w:t>年的未确认递延所得</w:t>
      </w:r>
      <w:r>
        <w:rPr>
          <w:w w:val="100"/>
        </w:rPr>
        <w:t> </w:t>
      </w:r>
      <w:r>
        <w:rPr/>
        <w:t>税资产的可抵扣亏损金额增加。</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6"/>
          <w:szCs w:val="26"/>
        </w:rPr>
      </w:pPr>
    </w:p>
    <w:p>
      <w:pPr>
        <w:pStyle w:val="Heading7"/>
        <w:spacing w:line="240" w:lineRule="auto"/>
        <w:ind w:right="1133"/>
        <w:jc w:val="left"/>
        <w:rPr>
          <w:b w:val="0"/>
          <w:bCs w:val="0"/>
        </w:rPr>
      </w:pPr>
      <w:r>
        <w:rPr>
          <w:rFonts w:ascii="Times New Roman" w:hAnsi="Times New Roman" w:cs="Times New Roman" w:eastAsia="Times New Roman" w:hint="default"/>
        </w:rPr>
        <w:t>17</w:t>
      </w:r>
      <w:r>
        <w:rPr/>
        <w:t>、其他非流动资产</w:t>
      </w:r>
      <w:r>
        <w:rPr>
          <w:b w:val="0"/>
          <w:bCs w:val="0"/>
        </w:rPr>
      </w:r>
    </w:p>
    <w:p>
      <w:pPr>
        <w:spacing w:line="240" w:lineRule="auto" w:before="2"/>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17,500,000.00</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16,384,830.73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16,384,830.73</w:t>
            </w:r>
          </w:p>
        </w:tc>
      </w:tr>
    </w:tbl>
    <w:p>
      <w:pPr>
        <w:spacing w:line="360" w:lineRule="auto" w:before="49"/>
        <w:ind w:left="152" w:right="8954" w:firstLine="0"/>
        <w:jc w:val="left"/>
        <w:rPr>
          <w:rFonts w:ascii="宋体" w:hAnsi="宋体" w:cs="宋体" w:eastAsia="宋体" w:hint="default"/>
          <w:sz w:val="18"/>
          <w:szCs w:val="18"/>
        </w:rPr>
      </w:pPr>
      <w:r>
        <w:rPr>
          <w:rFonts w:ascii="宋体" w:hAnsi="宋体" w:cs="宋体" w:eastAsia="宋体" w:hint="default"/>
          <w:sz w:val="18"/>
          <w:szCs w:val="18"/>
        </w:rPr>
        <w:t>短期借款分类的说明： 无</w:t>
      </w:r>
    </w:p>
    <w:p>
      <w:pPr>
        <w:spacing w:line="240" w:lineRule="auto" w:before="4"/>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19</w:t>
      </w:r>
      <w:r>
        <w:rPr/>
        <w:t>、应付票据及应付账款</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14,624,355.66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84,077,205.31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135,483,875.06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175,038,841.02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150,108,230.72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259,116,046.33</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14,624,355.66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84,077,205.31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14,624,355.66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84,077,205.31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6"/>
          <w:szCs w:val="26"/>
        </w:rPr>
      </w:pPr>
    </w:p>
    <w:p>
      <w:pPr>
        <w:pStyle w:val="Heading7"/>
        <w:spacing w:line="240" w:lineRule="auto"/>
        <w:ind w:right="1133"/>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应付供应商货款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123,298,372.46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170,166,470.21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应付供应商服务款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12,185,502.60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4,872,370.81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135,483,875.06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175,038,841.02</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3</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中智建设技术工程有限责任公司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897,163.44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武汉道远商业管理咨询工作室</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北京天宇海兴科技有限公司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万载县淡湾设计咨询服务部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对方未催款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北京今朝恒业电子技术有限公司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276,110.00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杭州贰拾叁度建筑装饰工程有限公司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259,429.88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对方未催款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杭州恒通云信息科技股份有限公司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249,678.00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新加坡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MICROS-FIDELO</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238,062.08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北京育盟天下科技有限公司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对方未催收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合肥富佳信息科技有限公司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3,377,243.40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20</w:t>
      </w:r>
      <w:r>
        <w:rPr/>
        <w:t>、预收款项</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预收销售款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538,374,625.33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502,620,831.46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预收服务款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4,924,657.51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21,806,904.16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543,299,282.84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524,427,735.62</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3"/>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中国银行股份有限公司四川省分行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4,062,512.50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中国农业银行股份有限公司靖江市支行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2,485,400.00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中国建设银行股份有限公司青岛市分行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2,393,335.00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海南葛洲坝实业有限公司唯逸度假酒店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1,763,006.40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中山市大信通智能科技有限公司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1,562,782.06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中国银行股份有限公司无锡分行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1,558,040.01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中国银行股份有限公司常州分行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1,304,364.18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重庆康邦科技有限公司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MILLENNIUMCOPTHORNEINTLLTD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1,211,031.85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香港半岛酒店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1,175,436.90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中国农业银行股份有限公司瑞安市支行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1,042,655.50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中国银行股份有限公司四川省分行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986,531.59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中国银行股份有限公司上海市分行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947,672.07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中国银行股份有限公司乐山分行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921,690.00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中国银行股份有限公司辽宁省分行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884,497.02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深圳市皇庭唯尚会科技服务有限公司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824,040.00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中国银行股份有限公司安徽省分行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812,205.23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中国银行股份有限公司浙江省分行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801,525.59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中国农业银行股份有限公司桐乡市支行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797,445.50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大连中创装饰工程有限公司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重庆宾馆有限公司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重庆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JW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万豪酒店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727,839.95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浙江去啊网络技术有限公司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23"/>
              <w:jc w:val="left"/>
              <w:rPr>
                <w:rFonts w:ascii="Times New Roman" w:hAnsi="Times New Roman" w:cs="Times New Roman" w:eastAsia="Times New Roman" w:hint="default"/>
                <w:sz w:val="18"/>
                <w:szCs w:val="18"/>
              </w:rPr>
            </w:pPr>
            <w:r>
              <w:rPr>
                <w:rFonts w:ascii="Times New Roman"/>
                <w:spacing w:val="-1"/>
                <w:sz w:val="18"/>
              </w:rPr>
              <w:t>SHANGRI-LAINTERNATIONALHOTEL</w:t>
            </w:r>
            <w:r>
              <w:rPr>
                <w:rFonts w:ascii="Times New Roman"/>
                <w:sz w:val="18"/>
              </w:rPr>
              <w:t> S</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678,712.11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中国银行股份有限公司浙江省分行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616,263.85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北京华氏未来信息技术有限公司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中国工商银行股份有限公司上海市分行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尊茂酒店控股有限公司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536,283.00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32,023,370.31</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3"/>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5"/>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96,404,254.10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915,286,966.44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849,777,652.14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161,913,568.40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1,326,321.15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48,233,745.76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47,632,148.11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1,927,918.80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727,280.63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408,138.77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319,141.86</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97,730,575.25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964,247,992.83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897,817,939.02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164,160,629.06</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76,570,605.63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851,111,121.59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786,228,834.24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141,452,892.98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207,835.00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7,637,948.03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7,637,948.03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207,835.00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1,008,473.14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26,770,645.67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26,410,166.30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1,368,952.51</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950,308.03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24,066,042.63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23,760,278.48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1,256,072.18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16,809.68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737,407.20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724,588.88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29,628.00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41,355.43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1,967,195.84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1,925,298.94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83,252.33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598,626.91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28,100,333.91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27,855,072.60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843,888.22</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18,018,713.42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1,666,917.24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1,645,630.97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18,039,999.69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96,404,254.10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915,286,966.44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849,777,652.14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161,913,568.40</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1,264,802.99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46,607,700.38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46,018,905.14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1,853,598.23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61,518.16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1,626,045.38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1,613,242.97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74,320.57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1,326,321.15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48,233,745.76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47,632,148.11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1,927,918.80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6"/>
        <w:spacing w:line="259" w:lineRule="auto"/>
        <w:ind w:right="1133"/>
        <w:jc w:val="left"/>
      </w:pPr>
      <w:r>
        <w:rPr>
          <w:spacing w:val="-2"/>
        </w:rPr>
        <w:t>注：本年职工福利费增加是因为本集团海外子公司依据所在地相关政策计提的职工补助津贴、节</w:t>
      </w:r>
      <w:r>
        <w:rPr>
          <w:w w:val="100"/>
        </w:rPr>
        <w:t> </w:t>
      </w:r>
      <w:r>
        <w:rPr/>
        <w:t>日费、假期费等福利性支出。</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7"/>
        <w:spacing w:line="240" w:lineRule="auto"/>
        <w:ind w:right="1133"/>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2"/>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20,717,545.78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23,983,413.48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154,457,197.96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55,043,538.69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2,053,969.89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5,359,369.49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1,151,823.72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1,542,357.48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873,511.84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1,099,819.58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774,582.52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119,248.93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416,583.22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69,625.87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250,525.69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4,975.17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113,635.83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48,840.30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296,880.21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8,483.64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河道工程修建维护管理费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2,974.50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残疾人就业保障金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35,125.97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180,858,297.95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87,565,813.01</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23</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2,962,485.74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252,095,801.60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114,200,855.20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255,058,287.34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114,200,855.20</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2,962,485.74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2,962,485.74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8"/>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逾期原因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6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4994"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 无</w:t>
      </w:r>
    </w:p>
    <w:p>
      <w:pPr>
        <w:spacing w:line="240" w:lineRule="auto" w:before="7"/>
        <w:rPr>
          <w:rFonts w:ascii="宋体" w:hAnsi="宋体" w:cs="宋体" w:eastAsia="宋体" w:hint="default"/>
          <w:sz w:val="21"/>
          <w:szCs w:val="21"/>
        </w:rPr>
      </w:pPr>
    </w:p>
    <w:p>
      <w:pPr>
        <w:pStyle w:val="Heading7"/>
        <w:spacing w:line="240" w:lineRule="auto"/>
        <w:ind w:right="1133"/>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1"/>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26,961,518.20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10,923,589.36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74,878,504.60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66,653,686.26</w:t>
            </w:r>
            <w:r>
              <w:rPr>
                <w:rFonts w:ascii="Times New Roman"/>
                <w:sz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8,253,877.96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13,678,137.66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北京广夏世纪房地产开发有限责任公司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4,792,800.00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4,792,800.00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国家机关维修基金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2,646,191.10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2,646,191.10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2,257,006.31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1,506,782.85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代离退休人员费用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1,078,232.39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606,292.26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处置股权意向金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7,477,671.04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8,693,375.71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252,095,801.60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114,200,855.20</w:t>
            </w:r>
          </w:p>
        </w:tc>
      </w:tr>
    </w:tbl>
    <w:p>
      <w:pPr>
        <w:spacing w:before="49"/>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年的重要其他应付款</w:t>
      </w:r>
    </w:p>
    <w:p>
      <w:pPr>
        <w:spacing w:before="101"/>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152" w:right="1141" w:firstLine="0"/>
        <w:jc w:val="right"/>
        <w:rPr>
          <w:rFonts w:ascii="宋体" w:hAnsi="宋体" w:cs="宋体" w:eastAsia="宋体" w:hint="default"/>
          <w:sz w:val="18"/>
          <w:szCs w:val="18"/>
        </w:rPr>
      </w:pPr>
      <w:r>
        <w:rPr/>
        <w:pict>
          <v:shape style="position:absolute;margin-left:56.400002pt;margin-top:-36.368271pt;width:479.3pt;height:76.350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1133"/>
                    <w:gridCol w:w="6736"/>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北京广夏世纪房地产 开发有限责任公司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4,792,800.00</w:t>
                        </w:r>
                      </w:p>
                    </w:tc>
                    <w:tc>
                      <w:tcPr>
                        <w:tcW w:w="67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应付北京广厦世纪房地产开发有限责任公司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4,792,800.00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元，系本集团之子公司中电 </w:t>
                        </w:r>
                        <w:r>
                          <w:rPr>
                            <w:rFonts w:ascii="宋体" w:hAnsi="宋体" w:cs="宋体" w:eastAsia="宋体" w:hint="default"/>
                            <w:spacing w:val="-2"/>
                            <w:sz w:val="18"/>
                            <w:szCs w:val="18"/>
                          </w:rPr>
                          <w:t>器件中央级基本建设经营性基金，由于双方对债务金额存在争议，故一直未进行偿还</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center"/>
                          <w:rPr>
                            <w:rFonts w:ascii="Times New Roman" w:hAnsi="Times New Roman" w:cs="Times New Roman" w:eastAsia="Times New Roman" w:hint="default"/>
                            <w:sz w:val="18"/>
                            <w:szCs w:val="18"/>
                          </w:rPr>
                        </w:pPr>
                        <w:r>
                          <w:rPr>
                            <w:rFonts w:ascii="Times New Roman"/>
                            <w:sz w:val="18"/>
                          </w:rPr>
                          <w:t>4,792,800.00</w:t>
                        </w:r>
                      </w:p>
                    </w:tc>
                    <w:tc>
                      <w:tcPr>
                        <w:tcW w:w="6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4" w:lineRule="auto"/>
        <w:ind w:right="1133"/>
        <w:jc w:val="both"/>
      </w:pPr>
      <w:r>
        <w:rPr/>
        <w:t>注</w:t>
      </w:r>
      <w:r>
        <w:rPr>
          <w:rFonts w:ascii="Times New Roman" w:hAnsi="Times New Roman" w:cs="Times New Roman" w:eastAsia="Times New Roman" w:hint="default"/>
        </w:rPr>
        <w:t>1</w:t>
      </w:r>
      <w:r>
        <w:rPr/>
        <w:t>：预提费用为本集团之子公司石基（香港）有限公司计提的应付审计费用、行政费用、保险</w:t>
      </w:r>
      <w:r>
        <w:rPr>
          <w:w w:val="100"/>
        </w:rPr>
        <w:t> </w:t>
      </w:r>
      <w:r>
        <w:rPr/>
        <w:t>费用等。</w:t>
      </w:r>
    </w:p>
    <w:p>
      <w:pPr>
        <w:spacing w:line="240" w:lineRule="auto" w:before="11"/>
        <w:rPr>
          <w:rFonts w:ascii="宋体" w:hAnsi="宋体" w:cs="宋体" w:eastAsia="宋体" w:hint="default"/>
          <w:sz w:val="19"/>
          <w:szCs w:val="19"/>
        </w:rPr>
      </w:pPr>
    </w:p>
    <w:p>
      <w:pPr>
        <w:pStyle w:val="Heading6"/>
        <w:spacing w:line="254" w:lineRule="auto"/>
        <w:ind w:right="1130"/>
        <w:jc w:val="both"/>
      </w:pPr>
      <w:r>
        <w:rPr/>
        <w:t>注</w:t>
      </w:r>
      <w:r>
        <w:rPr>
          <w:rFonts w:ascii="Times New Roman" w:hAnsi="Times New Roman" w:cs="Times New Roman" w:eastAsia="Times New Roman" w:hint="default"/>
        </w:rPr>
        <w:t>2</w:t>
      </w:r>
      <w:r>
        <w:rPr/>
        <w:t>：代付离退休人员费用系本集团之子公司中电器件</w:t>
      </w:r>
      <w:r>
        <w:rPr>
          <w:rFonts w:ascii="Times New Roman" w:hAnsi="Times New Roman" w:cs="Times New Roman" w:eastAsia="Times New Roman" w:hint="default"/>
        </w:rPr>
        <w:t>2006</w:t>
      </w:r>
      <w:r>
        <w:rPr/>
        <w:t>年度改制时根据国家、政府部门的相</w:t>
      </w:r>
      <w:r>
        <w:rPr>
          <w:w w:val="100"/>
        </w:rPr>
        <w:t> </w:t>
      </w:r>
      <w:r>
        <w:rPr>
          <w:spacing w:val="-2"/>
        </w:rPr>
        <w:t>关文件规定及改制方案，可从彩虹集团公司在该子公司前身中国电子器件工业总公司的国有净资产中</w:t>
      </w:r>
      <w:r>
        <w:rPr>
          <w:spacing w:val="-72"/>
        </w:rPr>
        <w:t> </w:t>
      </w:r>
      <w:r>
        <w:rPr>
          <w:spacing w:val="-72"/>
        </w:rPr>
      </w:r>
      <w:r>
        <w:rPr>
          <w:spacing w:val="-2"/>
        </w:rPr>
        <w:t>支付、预留的费用，该款项包括在岗职工经济补偿金、内退人员预留费用、退休人员预留费用及公司</w:t>
      </w:r>
      <w:r>
        <w:rPr>
          <w:spacing w:val="-70"/>
        </w:rPr>
        <w:t> </w:t>
      </w:r>
      <w:r>
        <w:rPr>
          <w:spacing w:val="-70"/>
        </w:rPr>
      </w:r>
      <w:r>
        <w:rPr/>
        <w:t>改制后离休人员费用，根据改制方案，中电器件代为管理并支付。</w:t>
      </w:r>
    </w:p>
    <w:p>
      <w:pPr>
        <w:spacing w:line="240" w:lineRule="auto" w:before="2"/>
        <w:rPr>
          <w:rFonts w:ascii="宋体" w:hAnsi="宋体" w:cs="宋体" w:eastAsia="宋体" w:hint="default"/>
          <w:sz w:val="19"/>
          <w:szCs w:val="19"/>
        </w:rPr>
      </w:pPr>
    </w:p>
    <w:p>
      <w:pPr>
        <w:pStyle w:val="Heading6"/>
        <w:spacing w:line="244" w:lineRule="auto"/>
        <w:ind w:right="1131"/>
        <w:jc w:val="both"/>
      </w:pPr>
      <w:r>
        <w:rPr/>
        <w:t>注</w:t>
      </w:r>
      <w:r>
        <w:rPr>
          <w:rFonts w:ascii="Times New Roman" w:hAnsi="Times New Roman" w:cs="Times New Roman" w:eastAsia="Times New Roman" w:hint="default"/>
        </w:rPr>
        <w:t>3</w:t>
      </w:r>
      <w:r>
        <w:rPr/>
        <w:t>：处置股权意向金系为本期收到深圳盒子信息科技有限公司支付的购买迅付信息科技有限公</w:t>
      </w:r>
      <w:r>
        <w:rPr>
          <w:w w:val="100"/>
        </w:rPr>
        <w:t> </w:t>
      </w:r>
      <w:r>
        <w:rPr>
          <w:spacing w:val="-3"/>
        </w:rPr>
        <w:t>司股权的意向金</w:t>
      </w:r>
      <w:r>
        <w:rPr>
          <w:rFonts w:ascii="Times New Roman" w:hAnsi="Times New Roman" w:cs="Times New Roman" w:eastAsia="Times New Roman" w:hint="default"/>
          <w:spacing w:val="-3"/>
        </w:rPr>
        <w:t>123,750,000.00</w:t>
      </w:r>
      <w:r>
        <w:rPr>
          <w:spacing w:val="-3"/>
        </w:rPr>
        <w:t>元。本次股权转让交易尚需经中国人民银行或其分支机构审批通过，因</w:t>
      </w:r>
      <w:r>
        <w:rPr>
          <w:spacing w:val="-59"/>
        </w:rPr>
        <w:t> </w:t>
      </w:r>
      <w:r>
        <w:rPr>
          <w:spacing w:val="-59"/>
        </w:rPr>
      </w:r>
      <w:r>
        <w:rPr/>
        <w:t>此具有审批时间不确定造成交割时点无法确定。</w:t>
      </w:r>
    </w:p>
    <w:p>
      <w:pPr>
        <w:spacing w:after="0" w:line="244"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1133"/>
        <w:jc w:val="left"/>
        <w:rPr>
          <w:b w:val="0"/>
          <w:bCs w:val="0"/>
        </w:rPr>
      </w:pPr>
      <w:r>
        <w:rPr>
          <w:rFonts w:ascii="Times New Roman" w:hAnsi="Times New Roman" w:cs="Times New Roman" w:eastAsia="Times New Roman" w:hint="default"/>
        </w:rPr>
        <w:t>24</w:t>
      </w:r>
      <w:r>
        <w:rPr/>
        <w:t>、一年内到期的非流动负债</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192,051.65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2,373,958.82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192,051.65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2,373,958.82</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25</w:t>
      </w:r>
      <w:r>
        <w:rPr/>
        <w:t>、其他流动负债</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预估的股权转让款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2,081,250.00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2,081,250.00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31,500,000.00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6"/>
        <w:spacing w:line="240" w:lineRule="auto"/>
        <w:ind w:left="592" w:right="1133" w:firstLine="0"/>
        <w:jc w:val="left"/>
      </w:pPr>
      <w:r>
        <w:rPr/>
        <w:t>注：预估股权收购款系公司预估的期后一年以内根据股权转让协议约定预计需要支付的对价。</w:t>
      </w:r>
    </w:p>
    <w:p>
      <w:pPr>
        <w:spacing w:line="240" w:lineRule="auto" w:before="6"/>
        <w:rPr>
          <w:rFonts w:ascii="宋体" w:hAnsi="宋体" w:cs="宋体" w:eastAsia="宋体" w:hint="default"/>
          <w:sz w:val="25"/>
          <w:szCs w:val="25"/>
        </w:rPr>
      </w:pPr>
    </w:p>
    <w:p>
      <w:pPr>
        <w:pStyle w:val="Heading7"/>
        <w:spacing w:line="240" w:lineRule="auto"/>
        <w:ind w:right="1133"/>
        <w:jc w:val="left"/>
        <w:rPr>
          <w:b w:val="0"/>
          <w:bCs w:val="0"/>
        </w:rPr>
      </w:pPr>
      <w:r>
        <w:rPr>
          <w:rFonts w:ascii="Times New Roman" w:hAnsi="Times New Roman" w:cs="Times New Roman" w:eastAsia="Times New Roman" w:hint="default"/>
        </w:rPr>
        <w:t>26</w:t>
      </w:r>
      <w:r>
        <w:rPr/>
        <w:t>、长期借款</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5"/>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207,894,742.44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572,872.19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208,467,614.63</w:t>
            </w:r>
          </w:p>
        </w:tc>
      </w:tr>
    </w:tbl>
    <w:p>
      <w:pPr>
        <w:spacing w:line="357" w:lineRule="auto" w:before="49"/>
        <w:ind w:left="152" w:right="859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27</w:t>
      </w:r>
      <w:r>
        <w:rPr/>
        <w:t>、长期应付款</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2,081,250.00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196,160.00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2,277,410.00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预估的股权转让款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2,081,250.00</w:t>
            </w:r>
          </w:p>
        </w:tc>
      </w:tr>
    </w:tbl>
    <w:p>
      <w:pPr>
        <w:spacing w:line="360"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7"/>
        <w:spacing w:line="240" w:lineRule="auto"/>
        <w:ind w:right="1133"/>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1133"/>
        <w:gridCol w:w="1277"/>
        <w:gridCol w:w="1416"/>
        <w:gridCol w:w="1419"/>
        <w:gridCol w:w="3046"/>
      </w:tblGrid>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34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61"/>
              <w:jc w:val="left"/>
              <w:rPr>
                <w:rFonts w:ascii="宋体" w:hAnsi="宋体" w:cs="宋体" w:eastAsia="宋体" w:hint="default"/>
                <w:sz w:val="18"/>
                <w:szCs w:val="18"/>
              </w:rPr>
            </w:pPr>
            <w:r>
              <w:rPr>
                <w:rFonts w:ascii="宋体" w:hAnsi="宋体" w:cs="宋体" w:eastAsia="宋体" w:hint="default"/>
                <w:sz w:val="18"/>
                <w:szCs w:val="18"/>
              </w:rPr>
              <w:t>北海组织部人 才发展基金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196,160.00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74,620.00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121,540.00</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3" w:right="21"/>
              <w:jc w:val="both"/>
              <w:rPr>
                <w:rFonts w:ascii="宋体" w:hAnsi="宋体" w:cs="宋体" w:eastAsia="宋体" w:hint="default"/>
                <w:sz w:val="18"/>
                <w:szCs w:val="18"/>
              </w:rPr>
            </w:pPr>
            <w:r>
              <w:rPr>
                <w:rFonts w:ascii="宋体" w:hAnsi="宋体" w:cs="宋体" w:eastAsia="宋体" w:hint="default"/>
                <w:spacing w:val="-5"/>
                <w:sz w:val="18"/>
                <w:szCs w:val="18"/>
              </w:rPr>
              <w:t>根据《关于实施北海领航人才计划、大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力服务产业发展的意见》（北发</w:t>
            </w:r>
            <w:r>
              <w:rPr>
                <w:rFonts w:ascii="Times New Roman" w:hAnsi="Times New Roman" w:cs="Times New Roman" w:eastAsia="Times New Roman" w:hint="default"/>
                <w:spacing w:val="-5"/>
                <w:sz w:val="18"/>
                <w:szCs w:val="18"/>
              </w:rPr>
              <w:t>[2015]8</w:t>
            </w:r>
            <w:r>
              <w:rPr>
                <w:rFonts w:ascii="Times New Roman" w:hAnsi="Times New Roman" w:cs="Times New Roman" w:eastAsia="Times New Roman" w:hint="default"/>
                <w:sz w:val="18"/>
                <w:szCs w:val="18"/>
              </w:rPr>
              <w:t> </w:t>
            </w:r>
            <w:r>
              <w:rPr>
                <w:rFonts w:ascii="宋体" w:hAnsi="宋体" w:cs="宋体" w:eastAsia="宋体" w:hint="default"/>
                <w:spacing w:val="-24"/>
                <w:sz w:val="18"/>
                <w:szCs w:val="18"/>
              </w:rPr>
              <w:t>号），拨付经费</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万元作为人才培训所</w:t>
            </w:r>
            <w:r>
              <w:rPr>
                <w:rFonts w:ascii="宋体" w:hAnsi="宋体" w:cs="宋体" w:eastAsia="宋体" w:hint="default"/>
                <w:sz w:val="18"/>
                <w:szCs w:val="18"/>
              </w:rPr>
              <w:t> 需经费开支。</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196,160.00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74,620.00</w:t>
            </w:r>
          </w:p>
        </w:tc>
        <w:tc>
          <w:tcPr>
            <w:tcW w:w="141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121,540.00</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28</w:t>
      </w:r>
      <w:r>
        <w:rPr/>
        <w:t>、预计负债</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93"/>
      </w:tblGrid>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1,396,700.29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1,396,700.29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6074"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29</w:t>
      </w:r>
      <w:r>
        <w:rPr/>
        <w:t>、递延收益</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456,666.67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1,066,666.67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456,666.67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290,000.00</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1,066,666.67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4"/>
        <w:gridCol w:w="1063"/>
        <w:gridCol w:w="1064"/>
        <w:gridCol w:w="1052"/>
      </w:tblGrid>
      <w:tr>
        <w:trPr>
          <w:trHeight w:val="714"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76" w:right="74"/>
              <w:jc w:val="left"/>
              <w:rPr>
                <w:rFonts w:ascii="宋体" w:hAnsi="宋体" w:cs="宋体" w:eastAsia="宋体" w:hint="default"/>
                <w:sz w:val="18"/>
                <w:szCs w:val="18"/>
              </w:rPr>
            </w:pPr>
            <w:r>
              <w:rPr>
                <w:rFonts w:ascii="宋体" w:hAnsi="宋体" w:cs="宋体" w:eastAsia="宋体" w:hint="default"/>
                <w:sz w:val="18"/>
                <w:szCs w:val="18"/>
              </w:rPr>
              <w:t>本期计入营 业外收入金</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39"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after="0" w:line="30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4"/>
        <w:gridCol w:w="1063"/>
        <w:gridCol w:w="1064"/>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石基信用卡 收单系统</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sinfonia </w:t>
            </w:r>
            <w:r>
              <w:rPr>
                <w:rFonts w:ascii="宋体" w:hAnsi="宋体" w:cs="宋体" w:eastAsia="宋体" w:hint="default"/>
                <w:sz w:val="18"/>
                <w:szCs w:val="18"/>
              </w:rPr>
              <w:t>酒店</w:t>
            </w:r>
            <w:r>
              <w:rPr>
                <w:rFonts w:ascii="宋体" w:hAnsi="宋体" w:cs="宋体" w:eastAsia="宋体" w:hint="default"/>
                <w:w w:val="99"/>
                <w:sz w:val="18"/>
                <w:szCs w:val="18"/>
              </w:rPr>
              <w:t> </w:t>
            </w:r>
            <w:r>
              <w:rPr>
                <w:rFonts w:ascii="宋体" w:hAnsi="宋体" w:cs="宋体" w:eastAsia="宋体" w:hint="default"/>
                <w:sz w:val="18"/>
                <w:szCs w:val="18"/>
              </w:rPr>
              <w:t>前台管理系</w:t>
            </w:r>
            <w:r>
              <w:rPr>
                <w:rFonts w:ascii="宋体" w:hAnsi="宋体" w:cs="宋体" w:eastAsia="宋体" w:hint="default"/>
                <w:w w:val="99"/>
                <w:sz w:val="18"/>
                <w:szCs w:val="18"/>
              </w:rPr>
              <w:t> </w:t>
            </w:r>
            <w:r>
              <w:rPr>
                <w:rFonts w:ascii="宋体" w:hAnsi="宋体" w:cs="宋体" w:eastAsia="宋体" w:hint="default"/>
                <w:sz w:val="18"/>
                <w:szCs w:val="18"/>
              </w:rPr>
              <w:t>统</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康桥云酒店 管理系统</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百货商业信 息管理系统</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206,666.67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166,666.67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456,666.67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1,066,666.67</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6"/>
        <w:spacing w:line="244" w:lineRule="auto"/>
        <w:ind w:right="1133"/>
        <w:jc w:val="left"/>
      </w:pPr>
      <w:r>
        <w:rPr>
          <w:spacing w:val="-1"/>
        </w:rPr>
        <w:t>注</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月，根据</w:t>
      </w:r>
      <w:r>
        <w:rPr>
          <w:rFonts w:ascii="Times New Roman" w:hAnsi="Times New Roman" w:cs="Times New Roman" w:eastAsia="Times New Roman" w:hint="default"/>
          <w:spacing w:val="-1"/>
        </w:rPr>
        <w:t>“</w:t>
      </w:r>
      <w:r>
        <w:rPr>
          <w:spacing w:val="-1"/>
        </w:rPr>
        <w:t>北财工交【</w:t>
      </w:r>
      <w:r>
        <w:rPr>
          <w:rFonts w:ascii="Times New Roman" w:hAnsi="Times New Roman" w:cs="Times New Roman" w:eastAsia="Times New Roman" w:hint="default"/>
          <w:spacing w:val="-1"/>
        </w:rPr>
        <w:t>2018</w:t>
      </w:r>
      <w:r>
        <w:rPr>
          <w:spacing w:val="-1"/>
        </w:rPr>
        <w:t>】</w:t>
      </w:r>
      <w:r>
        <w:rPr>
          <w:rFonts w:ascii="Times New Roman" w:hAnsi="Times New Roman" w:cs="Times New Roman" w:eastAsia="Times New Roman" w:hint="default"/>
          <w:spacing w:val="-1"/>
        </w:rPr>
        <w:t>4</w:t>
      </w:r>
      <w:r>
        <w:rPr>
          <w:spacing w:val="-1"/>
        </w:rPr>
        <w:t>号</w:t>
      </w:r>
      <w:r>
        <w:rPr>
          <w:rFonts w:ascii="Times New Roman" w:hAnsi="Times New Roman" w:cs="Times New Roman" w:eastAsia="Times New Roman" w:hint="default"/>
          <w:spacing w:val="-1"/>
        </w:rPr>
        <w:t>”</w:t>
      </w:r>
      <w:r>
        <w:rPr>
          <w:spacing w:val="-1"/>
        </w:rPr>
        <w:t>文，北海石基收到</w:t>
      </w:r>
      <w:r>
        <w:rPr>
          <w:rFonts w:ascii="Times New Roman" w:hAnsi="Times New Roman" w:cs="Times New Roman" w:eastAsia="Times New Roman" w:hint="default"/>
          <w:spacing w:val="-1"/>
        </w:rPr>
        <w:t>“</w:t>
      </w:r>
      <w:r>
        <w:rPr>
          <w:spacing w:val="-1"/>
        </w:rPr>
        <w:t>康桥云酒店管理系统</w:t>
      </w:r>
      <w:r>
        <w:rPr>
          <w:rFonts w:ascii="Times New Roman" w:hAnsi="Times New Roman" w:cs="Times New Roman" w:eastAsia="Times New Roman" w:hint="default"/>
          <w:spacing w:val="-1"/>
        </w:rPr>
        <w:t>”</w:t>
      </w:r>
      <w:r>
        <w:rPr>
          <w:spacing w:val="-1"/>
        </w:rPr>
        <w:t>项目的</w:t>
      </w:r>
      <w:r>
        <w:rPr>
          <w:w w:val="100"/>
        </w:rPr>
        <w:t> </w:t>
      </w:r>
      <w:r>
        <w:rPr/>
        <w:t>补助资金</w:t>
      </w:r>
      <w:r>
        <w:rPr>
          <w:rFonts w:ascii="Times New Roman" w:hAnsi="Times New Roman" w:cs="Times New Roman" w:eastAsia="Times New Roman" w:hint="default"/>
        </w:rPr>
        <w:t>90.00</w:t>
      </w:r>
      <w:r>
        <w:rPr/>
        <w:t>万元，用于酒店管理集团以及星级单位单体酒店的前台管理需求。</w:t>
      </w:r>
    </w:p>
    <w:p>
      <w:pPr>
        <w:spacing w:line="240" w:lineRule="auto" w:before="7"/>
        <w:rPr>
          <w:rFonts w:ascii="宋体" w:hAnsi="宋体" w:cs="宋体" w:eastAsia="宋体" w:hint="default"/>
          <w:sz w:val="18"/>
          <w:szCs w:val="18"/>
        </w:rPr>
      </w:pPr>
    </w:p>
    <w:p>
      <w:pPr>
        <w:pStyle w:val="Heading6"/>
        <w:spacing w:line="240" w:lineRule="auto"/>
        <w:ind w:left="592" w:right="1133" w:firstLine="0"/>
        <w:jc w:val="left"/>
      </w:pPr>
      <w:r>
        <w:rPr/>
        <w:t>注</w:t>
      </w:r>
      <w:r>
        <w:rPr>
          <w:rFonts w:ascii="Times New Roman" w:hAnsi="Times New Roman" w:cs="Times New Roman" w:eastAsia="Times New Roman" w:hint="default"/>
        </w:rPr>
        <w:t>2</w:t>
      </w:r>
      <w:r>
        <w:rPr/>
        <w:t>：其他变动系冲减</w:t>
      </w:r>
      <w:r>
        <w:rPr>
          <w:rFonts w:ascii="Times New Roman" w:hAnsi="Times New Roman" w:cs="Times New Roman" w:eastAsia="Times New Roman" w:hint="default"/>
        </w:rPr>
        <w:t>Sinfonia</w:t>
      </w:r>
      <w:r>
        <w:rPr/>
        <w:t>酒店前台管理系统</w:t>
      </w:r>
      <w:r>
        <w:rPr>
          <w:rFonts w:ascii="Times New Roman" w:hAnsi="Times New Roman" w:cs="Times New Roman" w:eastAsia="Times New Roman" w:hint="default"/>
        </w:rPr>
        <w:t>V3.0</w:t>
      </w:r>
      <w:r>
        <w:rPr/>
        <w:t>发生的期间费用。</w:t>
      </w:r>
    </w:p>
    <w:p>
      <w:pPr>
        <w:spacing w:line="240" w:lineRule="auto" w:before="3"/>
        <w:rPr>
          <w:rFonts w:ascii="宋体" w:hAnsi="宋体" w:cs="宋体" w:eastAsia="宋体" w:hint="default"/>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30</w:t>
      </w:r>
      <w:r>
        <w:rPr/>
        <w:t>、股本</w:t>
      </w:r>
      <w:r>
        <w:rPr>
          <w:b w:val="0"/>
          <w:bCs w:val="0"/>
        </w:rPr>
      </w:r>
    </w:p>
    <w:p>
      <w:pPr>
        <w:spacing w:line="240" w:lineRule="auto" w:before="4"/>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1,066,788,753.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114,600.00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114,600.00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1,066,903,353.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6"/>
        <w:spacing w:line="244" w:lineRule="auto"/>
        <w:ind w:right="1129"/>
        <w:jc w:val="both"/>
      </w:pPr>
      <w:r>
        <w:rPr>
          <w:spacing w:val="-2"/>
        </w:rPr>
        <w:t>注：根据公司第六届董事会</w:t>
      </w:r>
      <w:r>
        <w:rPr>
          <w:rFonts w:ascii="Times New Roman" w:hAnsi="Times New Roman" w:cs="Times New Roman" w:eastAsia="Times New Roman" w:hint="default"/>
          <w:spacing w:val="-2"/>
        </w:rPr>
        <w:t>2018</w:t>
      </w:r>
      <w:r>
        <w:rPr>
          <w:spacing w:val="-2"/>
        </w:rPr>
        <w:t>年第六次临时会议审议通过《关于公司</w:t>
      </w:r>
      <w:r>
        <w:rPr>
          <w:rFonts w:ascii="Times New Roman" w:hAnsi="Times New Roman" w:cs="Times New Roman" w:eastAsia="Times New Roman" w:hint="default"/>
          <w:spacing w:val="-2"/>
        </w:rPr>
        <w:t>2016</w:t>
      </w:r>
      <w:r>
        <w:rPr>
          <w:spacing w:val="-2"/>
        </w:rPr>
        <w:t>年股票期权激励计划</w:t>
      </w:r>
      <w:r>
        <w:rPr>
          <w:w w:val="100"/>
        </w:rPr>
        <w:t> </w:t>
      </w:r>
      <w:r>
        <w:rPr>
          <w:spacing w:val="-2"/>
        </w:rPr>
        <w:t>首次授予股票期权第一个行权期可行权的议案》以及《关于公司</w:t>
      </w:r>
      <w:r>
        <w:rPr>
          <w:rFonts w:ascii="Times New Roman" w:hAnsi="Times New Roman" w:cs="Times New Roman" w:eastAsia="Times New Roman" w:hint="default"/>
          <w:spacing w:val="-2"/>
        </w:rPr>
        <w:t>2016</w:t>
      </w:r>
      <w:r>
        <w:rPr>
          <w:spacing w:val="-2"/>
        </w:rPr>
        <w:t>年股票期权激励计划首次授予股</w:t>
      </w:r>
      <w:r>
        <w:rPr>
          <w:spacing w:val="-65"/>
        </w:rPr>
        <w:t> </w:t>
      </w:r>
      <w:r>
        <w:rPr>
          <w:spacing w:val="-65"/>
        </w:rPr>
      </w:r>
      <w:r>
        <w:rPr/>
        <w:t>票期权采用自主行权模式的议案》，截至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日，员工共计行权</w:t>
      </w:r>
      <w:r>
        <w:rPr>
          <w:rFonts w:ascii="Times New Roman" w:hAnsi="Times New Roman" w:cs="Times New Roman" w:eastAsia="Times New Roman" w:hint="default"/>
        </w:rPr>
        <w:t>114,600</w:t>
      </w:r>
      <w:r>
        <w:rPr/>
        <w:t>股引起股本增加。</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7"/>
        <w:spacing w:line="240" w:lineRule="auto"/>
        <w:ind w:right="1133"/>
        <w:jc w:val="left"/>
        <w:rPr>
          <w:b w:val="0"/>
          <w:bCs w:val="0"/>
        </w:rPr>
      </w:pPr>
      <w:r>
        <w:rPr>
          <w:rFonts w:ascii="Times New Roman" w:hAnsi="Times New Roman" w:cs="Times New Roman" w:eastAsia="Times New Roman" w:hint="default"/>
        </w:rPr>
        <w:t>31</w:t>
      </w:r>
      <w:r>
        <w:rPr/>
        <w:t>、资本公积</w:t>
      </w:r>
      <w:r>
        <w:rPr>
          <w:b w:val="0"/>
          <w:bCs w:val="0"/>
        </w:rPr>
      </w:r>
    </w:p>
    <w:p>
      <w:pPr>
        <w:spacing w:line="240" w:lineRule="auto" w:before="2"/>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1,622,109,453.64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2,393,661,147.68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1,101,791.42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4,014,668,809.90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35,931,092.60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27,981,404.65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4,499,235.07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59,413,262.18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1,658,040,546.24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2,421,642,552.33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5,601,026.49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4,074,082,072.08</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0"/>
          <w:szCs w:val="20"/>
        </w:rPr>
      </w:pPr>
    </w:p>
    <w:p>
      <w:pPr>
        <w:pStyle w:val="Heading6"/>
        <w:spacing w:line="252" w:lineRule="auto" w:before="32"/>
        <w:ind w:right="1133"/>
        <w:jc w:val="both"/>
      </w:pPr>
      <w:r>
        <w:rPr/>
        <w:t>注</w:t>
      </w:r>
      <w:r>
        <w:rPr>
          <w:rFonts w:ascii="Times New Roman" w:hAnsi="Times New Roman" w:cs="Times New Roman" w:eastAsia="Times New Roman" w:hint="default"/>
        </w:rPr>
        <w:t>1</w:t>
      </w:r>
      <w:r>
        <w:rPr/>
        <w:t>：公司不丧失控制权的情况下部分处置对子公司石基零售的长期股权投资，处置价款与处置</w:t>
      </w:r>
      <w:r>
        <w:rPr>
          <w:w w:val="100"/>
        </w:rPr>
        <w:t> </w:t>
      </w:r>
      <w:r>
        <w:rPr>
          <w:spacing w:val="-2"/>
        </w:rPr>
        <w:t>长期股权投资相对应享有子公司自购买日或合并日开始持续计算的净资产份额之间的差额，调整股本</w:t>
      </w:r>
      <w:r>
        <w:rPr>
          <w:spacing w:val="-73"/>
        </w:rPr>
        <w:t> </w:t>
      </w:r>
      <w:r>
        <w:rPr>
          <w:spacing w:val="-73"/>
        </w:rPr>
      </w:r>
      <w:r>
        <w:rPr/>
        <w:t>溢价，由此确认股本溢价</w:t>
      </w:r>
      <w:r>
        <w:rPr>
          <w:rFonts w:ascii="Times New Roman" w:hAnsi="Times New Roman" w:cs="Times New Roman" w:eastAsia="Times New Roman" w:hint="default"/>
        </w:rPr>
        <w:t>2,389,567,340.21</w:t>
      </w:r>
      <w:r>
        <w:rPr/>
        <w:t>元。</w:t>
      </w:r>
    </w:p>
    <w:p>
      <w:pPr>
        <w:spacing w:line="240" w:lineRule="auto" w:before="13"/>
        <w:rPr>
          <w:rFonts w:ascii="宋体" w:hAnsi="宋体" w:cs="宋体" w:eastAsia="宋体" w:hint="default"/>
          <w:sz w:val="17"/>
          <w:szCs w:val="17"/>
        </w:rPr>
      </w:pPr>
    </w:p>
    <w:p>
      <w:pPr>
        <w:pStyle w:val="Heading6"/>
        <w:spacing w:line="244" w:lineRule="auto"/>
        <w:ind w:right="1124"/>
        <w:jc w:val="both"/>
      </w:pP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日，公司购买子公司上海正品少数股东持有的</w:t>
      </w:r>
      <w:r>
        <w:rPr>
          <w:rFonts w:ascii="Times New Roman" w:hAnsi="Times New Roman" w:cs="Times New Roman" w:eastAsia="Times New Roman" w:hint="default"/>
        </w:rPr>
        <w:t>4.5%</w:t>
      </w:r>
      <w:r>
        <w:rPr/>
        <w:t>的少数股东权益，购买成</w:t>
      </w:r>
      <w:r>
        <w:rPr>
          <w:w w:val="100"/>
        </w:rPr>
        <w:t> </w:t>
      </w:r>
      <w:r>
        <w:rPr/>
        <w:t>本与按持股比例自购买日开始持续计算的净资产份额的差额冲减资本公积，使资本公积</w:t>
      </w:r>
      <w:r>
        <w:rPr>
          <w:rFonts w:ascii="Times New Roman" w:hAnsi="Times New Roman" w:cs="Times New Roman" w:eastAsia="Times New Roman" w:hint="default"/>
        </w:rPr>
        <w:t>-</w:t>
      </w:r>
      <w:r>
        <w:rPr/>
        <w:t>股本溢价减</w:t>
      </w:r>
      <w:r>
        <w:rPr>
          <w:spacing w:val="-5"/>
        </w:rPr>
        <w:t> </w:t>
      </w:r>
      <w:r>
        <w:rPr/>
        <w:t>少</w:t>
      </w:r>
      <w:r>
        <w:rPr>
          <w:rFonts w:ascii="Times New Roman" w:hAnsi="Times New Roman" w:cs="Times New Roman" w:eastAsia="Times New Roman" w:hint="default"/>
        </w:rPr>
        <w:t>1,101,791.42</w:t>
      </w:r>
      <w:r>
        <w:rPr/>
        <w:t>元。</w:t>
      </w:r>
    </w:p>
    <w:p>
      <w:pPr>
        <w:spacing w:line="240" w:lineRule="auto" w:before="7"/>
        <w:rPr>
          <w:rFonts w:ascii="宋体" w:hAnsi="宋体" w:cs="宋体" w:eastAsia="宋体" w:hint="default"/>
          <w:sz w:val="18"/>
          <w:szCs w:val="18"/>
        </w:rPr>
      </w:pPr>
    </w:p>
    <w:p>
      <w:pPr>
        <w:pStyle w:val="Heading6"/>
        <w:spacing w:line="244" w:lineRule="auto"/>
        <w:ind w:right="1129"/>
        <w:jc w:val="both"/>
      </w:pPr>
      <w:r>
        <w:rPr>
          <w:spacing w:val="-2"/>
        </w:rPr>
        <w:t>注</w:t>
      </w:r>
      <w:r>
        <w:rPr>
          <w:rFonts w:ascii="Times New Roman" w:hAnsi="Times New Roman" w:cs="Times New Roman" w:eastAsia="Times New Roman" w:hint="default"/>
          <w:spacing w:val="-2"/>
        </w:rPr>
        <w:t>:3</w:t>
      </w:r>
      <w:r>
        <w:rPr>
          <w:spacing w:val="-2"/>
        </w:rPr>
        <w:t>：根据本附注</w:t>
      </w:r>
      <w:r>
        <w:rPr>
          <w:rFonts w:ascii="Times New Roman" w:hAnsi="Times New Roman" w:cs="Times New Roman" w:eastAsia="Times New Roman" w:hint="default"/>
          <w:spacing w:val="-2"/>
        </w:rPr>
        <w:t>“</w:t>
      </w:r>
      <w:r>
        <w:rPr>
          <w:spacing w:val="-2"/>
        </w:rPr>
        <w:t>六、</w:t>
      </w:r>
      <w:r>
        <w:rPr>
          <w:rFonts w:ascii="Times New Roman" w:hAnsi="Times New Roman" w:cs="Times New Roman" w:eastAsia="Times New Roman" w:hint="default"/>
          <w:spacing w:val="-2"/>
        </w:rPr>
        <w:t>30”</w:t>
      </w:r>
      <w:r>
        <w:rPr>
          <w:spacing w:val="-2"/>
        </w:rPr>
        <w:t>，员工截至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日，自主行权</w:t>
      </w:r>
      <w:r>
        <w:rPr>
          <w:rFonts w:ascii="Times New Roman" w:hAnsi="Times New Roman" w:cs="Times New Roman" w:eastAsia="Times New Roman" w:hint="default"/>
          <w:spacing w:val="-2"/>
        </w:rPr>
        <w:t>114,600</w:t>
      </w:r>
      <w:r>
        <w:rPr>
          <w:spacing w:val="-2"/>
        </w:rPr>
        <w:t>股，按照行权资金加上</w:t>
      </w:r>
      <w:r>
        <w:rPr>
          <w:w w:val="100"/>
        </w:rPr>
        <w:t> </w:t>
      </w:r>
      <w:r>
        <w:rPr/>
        <w:t>已行权股数在授予日的公允价值扣减股本的差额确认资本公积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4,093,807.47</w:t>
      </w:r>
      <w:r>
        <w:rPr/>
        <w:t>元，冲减原确认</w:t>
      </w:r>
      <w:r>
        <w:rPr>
          <w:spacing w:val="-65"/>
        </w:rPr>
        <w:t> </w:t>
      </w:r>
      <w:r>
        <w:rPr>
          <w:spacing w:val="-65"/>
        </w:rPr>
      </w:r>
      <w:r>
        <w:rPr/>
        <w:t>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1,315,903.47</w:t>
      </w:r>
      <w:r>
        <w:rPr/>
        <w:t>元。</w:t>
      </w:r>
    </w:p>
    <w:p>
      <w:pPr>
        <w:spacing w:line="240" w:lineRule="auto" w:before="7"/>
        <w:rPr>
          <w:rFonts w:ascii="宋体" w:hAnsi="宋体" w:cs="宋体" w:eastAsia="宋体" w:hint="default"/>
          <w:sz w:val="18"/>
          <w:szCs w:val="18"/>
        </w:rPr>
      </w:pPr>
    </w:p>
    <w:p>
      <w:pPr>
        <w:pStyle w:val="Heading6"/>
        <w:spacing w:line="244" w:lineRule="auto"/>
        <w:ind w:right="1128"/>
        <w:jc w:val="both"/>
      </w:pPr>
      <w:r>
        <w:rPr/>
        <w:t>注</w:t>
      </w:r>
      <w:r>
        <w:rPr>
          <w:rFonts w:ascii="Times New Roman" w:hAnsi="Times New Roman" w:cs="Times New Roman" w:eastAsia="Times New Roman" w:hint="default"/>
        </w:rPr>
        <w:t>4</w:t>
      </w:r>
      <w:r>
        <w:rPr/>
        <w:t>：其他资本公积本年增加系根据第五届董事会</w:t>
      </w:r>
      <w:r>
        <w:rPr>
          <w:rFonts w:ascii="Times New Roman" w:hAnsi="Times New Roman" w:cs="Times New Roman" w:eastAsia="Times New Roman" w:hint="default"/>
        </w:rPr>
        <w:t>2016</w:t>
      </w:r>
      <w:r>
        <w:rPr/>
        <w:t>年第十四次临时会议审议通过《关于公司</w:t>
      </w:r>
      <w:r>
        <w:rPr>
          <w:w w:val="100"/>
        </w:rPr>
        <w:t> </w:t>
      </w:r>
      <w:r>
        <w:rPr>
          <w:rFonts w:ascii="Times New Roman" w:hAnsi="Times New Roman" w:cs="Times New Roman" w:eastAsia="Times New Roman" w:hint="default"/>
          <w:spacing w:val="-3"/>
        </w:rPr>
        <w:t>2016</w:t>
      </w:r>
      <w:r>
        <w:rPr>
          <w:spacing w:val="-3"/>
        </w:rPr>
        <w:t>年股票期权激励计划首次授予事项的议案》，本公司向</w:t>
      </w:r>
      <w:r>
        <w:rPr>
          <w:rFonts w:ascii="Times New Roman" w:hAnsi="Times New Roman" w:cs="Times New Roman" w:eastAsia="Times New Roman" w:hint="default"/>
          <w:spacing w:val="-3"/>
        </w:rPr>
        <w:t>506</w:t>
      </w:r>
      <w:r>
        <w:rPr>
          <w:spacing w:val="-3"/>
        </w:rPr>
        <w:t>名激励对象首次授予</w:t>
      </w:r>
      <w:r>
        <w:rPr>
          <w:rFonts w:ascii="Times New Roman" w:hAnsi="Times New Roman" w:cs="Times New Roman" w:eastAsia="Times New Roman" w:hint="default"/>
          <w:spacing w:val="-3"/>
        </w:rPr>
        <w:t>735.78</w:t>
      </w:r>
      <w:r>
        <w:rPr>
          <w:spacing w:val="-3"/>
        </w:rPr>
        <w:t>万股股票期</w:t>
      </w:r>
      <w:r>
        <w:rPr>
          <w:spacing w:val="-62"/>
        </w:rPr>
        <w:t> </w:t>
      </w:r>
      <w:r>
        <w:rPr>
          <w:spacing w:val="-62"/>
        </w:rPr>
      </w:r>
      <w:r>
        <w:rPr>
          <w:spacing w:val="-2"/>
        </w:rPr>
        <w:t>权的条件已经成就，本公司董事会确定</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日为本公司</w:t>
      </w:r>
      <w:r>
        <w:rPr>
          <w:rFonts w:ascii="Times New Roman" w:hAnsi="Times New Roman" w:cs="Times New Roman" w:eastAsia="Times New Roman" w:hint="default"/>
          <w:spacing w:val="-2"/>
        </w:rPr>
        <w:t>2016</w:t>
      </w:r>
      <w:r>
        <w:rPr>
          <w:spacing w:val="-2"/>
        </w:rPr>
        <w:t>年股票期权激励计划首次授予期</w:t>
      </w:r>
      <w:r>
        <w:rPr>
          <w:spacing w:val="-60"/>
        </w:rPr>
        <w:t> </w:t>
      </w:r>
      <w:r>
        <w:rPr>
          <w:spacing w:val="-60"/>
        </w:rPr>
      </w:r>
      <w:r>
        <w:rPr>
          <w:spacing w:val="-2"/>
        </w:rPr>
        <w:t>权的授予日。本公司选用国际通行的</w:t>
      </w:r>
      <w:r>
        <w:rPr>
          <w:rFonts w:ascii="Times New Roman" w:hAnsi="Times New Roman" w:cs="Times New Roman" w:eastAsia="Times New Roman" w:hint="default"/>
          <w:spacing w:val="-2"/>
        </w:rPr>
        <w:t>B-S</w:t>
      </w:r>
      <w:r>
        <w:rPr>
          <w:spacing w:val="-2"/>
        </w:rPr>
        <w:t>（布莱克</w:t>
      </w:r>
      <w:r>
        <w:rPr>
          <w:rFonts w:ascii="Times New Roman" w:hAnsi="Times New Roman" w:cs="Times New Roman" w:eastAsia="Times New Roman" w:hint="default"/>
          <w:spacing w:val="-2"/>
        </w:rPr>
        <w:t>-</w:t>
      </w:r>
      <w:r>
        <w:rPr>
          <w:spacing w:val="-2"/>
        </w:rPr>
        <w:t>舒尔斯）期权定价模型对</w:t>
      </w:r>
      <w:r>
        <w:rPr>
          <w:rFonts w:ascii="Times New Roman" w:hAnsi="Times New Roman" w:cs="Times New Roman" w:eastAsia="Times New Roman" w:hint="default"/>
          <w:spacing w:val="-2"/>
        </w:rPr>
        <w:t>2016</w:t>
      </w:r>
      <w:r>
        <w:rPr>
          <w:spacing w:val="-2"/>
        </w:rPr>
        <w:t>年股权激励计划首次</w:t>
      </w:r>
      <w:r>
        <w:rPr>
          <w:spacing w:val="-36"/>
        </w:rPr>
        <w:t> </w:t>
      </w:r>
      <w:r>
        <w:rPr>
          <w:spacing w:val="-36"/>
        </w:rPr>
      </w:r>
      <w:r>
        <w:rPr>
          <w:spacing w:val="-1"/>
        </w:rPr>
        <w:t>授予的</w:t>
      </w:r>
      <w:r>
        <w:rPr>
          <w:rFonts w:ascii="Times New Roman" w:hAnsi="Times New Roman" w:cs="Times New Roman" w:eastAsia="Times New Roman" w:hint="default"/>
          <w:spacing w:val="-1"/>
        </w:rPr>
        <w:t>735.78</w:t>
      </w:r>
      <w:r>
        <w:rPr>
          <w:spacing w:val="-1"/>
        </w:rPr>
        <w:t>万份股票期权的公允价值进行估计。将当期取得的服务计入相关成本费用和资本公积，</w:t>
      </w:r>
      <w:r>
        <w:rPr>
          <w:spacing w:val="-49"/>
        </w:rPr>
        <w:t> </w:t>
      </w:r>
      <w:r>
        <w:rPr>
          <w:spacing w:val="-49"/>
        </w:rPr>
      </w:r>
      <w:r>
        <w:rPr/>
        <w:t>使本年资本公积增加</w:t>
      </w:r>
      <w:r>
        <w:rPr>
          <w:rFonts w:ascii="Times New Roman" w:hAnsi="Times New Roman" w:cs="Times New Roman" w:eastAsia="Times New Roman" w:hint="default"/>
        </w:rPr>
        <w:t>25,842,900.00</w:t>
      </w:r>
      <w:r>
        <w:rPr/>
        <w:t>元。</w:t>
      </w:r>
    </w:p>
    <w:p>
      <w:pPr>
        <w:spacing w:line="240" w:lineRule="auto" w:before="7"/>
        <w:rPr>
          <w:rFonts w:ascii="宋体" w:hAnsi="宋体" w:cs="宋体" w:eastAsia="宋体" w:hint="default"/>
          <w:sz w:val="18"/>
          <w:szCs w:val="18"/>
        </w:rPr>
      </w:pPr>
    </w:p>
    <w:p>
      <w:pPr>
        <w:pStyle w:val="Heading6"/>
        <w:spacing w:line="244" w:lineRule="auto"/>
        <w:ind w:right="1124"/>
        <w:jc w:val="both"/>
      </w:pPr>
      <w:r>
        <w:rPr/>
        <w:t>注</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日，根据公司第六届董事会</w:t>
      </w:r>
      <w:r>
        <w:rPr>
          <w:rFonts w:ascii="Times New Roman" w:hAnsi="Times New Roman" w:cs="Times New Roman" w:eastAsia="Times New Roman" w:hint="default"/>
        </w:rPr>
        <w:t>2017</w:t>
      </w:r>
      <w:r>
        <w:rPr/>
        <w:t>年第七次临时会议审议通过《关于调整</w:t>
      </w:r>
      <w:r>
        <w:rPr>
          <w:rFonts w:ascii="Times New Roman" w:hAnsi="Times New Roman" w:cs="Times New Roman" w:eastAsia="Times New Roman" w:hint="default"/>
        </w:rPr>
        <w:t>2016</w:t>
      </w:r>
      <w:r>
        <w:rPr/>
        <w:t>年</w:t>
      </w:r>
      <w:r>
        <w:rPr>
          <w:w w:val="100"/>
        </w:rPr>
        <w:t> </w:t>
      </w:r>
      <w:r>
        <w:rPr>
          <w:spacing w:val="-2"/>
        </w:rPr>
        <w:t>股票期权激励计划首次授予对象、授予数量及注销部分期权的议案》及《关于公司</w:t>
      </w:r>
      <w:r>
        <w:rPr>
          <w:rFonts w:ascii="Times New Roman" w:hAnsi="Times New Roman" w:cs="Times New Roman" w:eastAsia="Times New Roman" w:hint="default"/>
          <w:spacing w:val="-2"/>
        </w:rPr>
        <w:t>2016</w:t>
      </w:r>
      <w:r>
        <w:rPr>
          <w:spacing w:val="-2"/>
        </w:rPr>
        <w:t>年股票期权激</w:t>
      </w:r>
      <w:r>
        <w:rPr>
          <w:spacing w:val="-65"/>
        </w:rPr>
        <w:t> </w:t>
      </w:r>
      <w:r>
        <w:rPr>
          <w:spacing w:val="-65"/>
        </w:rPr>
      </w:r>
      <w:r>
        <w:rPr/>
        <w:t>励计划预留股票期权授予相关事项的议案》，将本公司激励计划首次授予的激励对象人数由</w:t>
      </w:r>
      <w:r>
        <w:rPr>
          <w:rFonts w:ascii="Times New Roman" w:hAnsi="Times New Roman" w:cs="Times New Roman" w:eastAsia="Times New Roman" w:hint="default"/>
        </w:rPr>
        <w:t>506</w:t>
      </w:r>
      <w:r>
        <w:rPr/>
        <w:t>名调</w:t>
      </w:r>
      <w:r>
        <w:rPr>
          <w:spacing w:val="-37"/>
        </w:rPr>
        <w:t> </w:t>
      </w:r>
      <w:r>
        <w:rPr>
          <w:spacing w:val="-8"/>
          <w:w w:val="100"/>
        </w:rPr>
        <w:t>整为</w:t>
      </w:r>
      <w:r>
        <w:rPr>
          <w:rFonts w:ascii="Times New Roman" w:hAnsi="Times New Roman" w:cs="Times New Roman" w:eastAsia="Times New Roman" w:hint="default"/>
          <w:spacing w:val="-8"/>
          <w:w w:val="100"/>
        </w:rPr>
        <w:t>494</w:t>
      </w:r>
      <w:r>
        <w:rPr>
          <w:spacing w:val="-8"/>
          <w:w w:val="100"/>
        </w:rPr>
        <w:t>名，授予的股票期权数量由</w:t>
      </w:r>
      <w:r>
        <w:rPr>
          <w:rFonts w:ascii="Times New Roman" w:hAnsi="Times New Roman" w:cs="Times New Roman" w:eastAsia="Times New Roman" w:hint="default"/>
          <w:spacing w:val="-8"/>
          <w:w w:val="100"/>
        </w:rPr>
        <w:t>797.28</w:t>
      </w:r>
      <w:r>
        <w:rPr>
          <w:spacing w:val="-8"/>
          <w:w w:val="100"/>
        </w:rPr>
        <w:t>万股（其中首次授予</w:t>
      </w:r>
      <w:r>
        <w:rPr>
          <w:rFonts w:ascii="Times New Roman" w:hAnsi="Times New Roman" w:cs="Times New Roman" w:eastAsia="Times New Roman" w:hint="default"/>
          <w:spacing w:val="-8"/>
          <w:w w:val="100"/>
        </w:rPr>
        <w:t>735.78</w:t>
      </w:r>
      <w:r>
        <w:rPr>
          <w:spacing w:val="-8"/>
          <w:w w:val="100"/>
        </w:rPr>
        <w:t>万股，预留</w:t>
      </w:r>
      <w:r>
        <w:rPr>
          <w:rFonts w:ascii="Times New Roman" w:hAnsi="Times New Roman" w:cs="Times New Roman" w:eastAsia="Times New Roman" w:hint="default"/>
          <w:spacing w:val="-8"/>
          <w:w w:val="100"/>
        </w:rPr>
        <w:t>61.5</w:t>
      </w:r>
      <w:r>
        <w:rPr>
          <w:spacing w:val="-8"/>
          <w:w w:val="100"/>
        </w:rPr>
        <w:t>万股）调整为</w:t>
      </w:r>
      <w:r>
        <w:rPr>
          <w:rFonts w:ascii="Times New Roman" w:hAnsi="Times New Roman" w:cs="Times New Roman" w:eastAsia="Times New Roman" w:hint="default"/>
          <w:spacing w:val="-8"/>
          <w:w w:val="100"/>
        </w:rPr>
        <w:t>786.23</w:t>
      </w:r>
      <w:r>
        <w:rPr>
          <w:rFonts w:ascii="Times New Roman" w:hAnsi="Times New Roman" w:cs="Times New Roman" w:eastAsia="Times New Roman" w:hint="default"/>
          <w:spacing w:val="-1"/>
          <w:w w:val="100"/>
        </w:rPr>
        <w:t> </w:t>
      </w:r>
      <w:r>
        <w:rPr>
          <w:rFonts w:ascii="Times New Roman" w:hAnsi="Times New Roman" w:cs="Times New Roman" w:eastAsia="Times New Roman" w:hint="default"/>
          <w:spacing w:val="-1"/>
          <w:w w:val="100"/>
        </w:rPr>
      </w:r>
      <w:r>
        <w:rPr>
          <w:spacing w:val="-3"/>
        </w:rPr>
        <w:t>万股（其中首次授予</w:t>
      </w:r>
      <w:r>
        <w:rPr>
          <w:rFonts w:ascii="Times New Roman" w:hAnsi="Times New Roman" w:cs="Times New Roman" w:eastAsia="Times New Roman" w:hint="default"/>
          <w:spacing w:val="-3"/>
        </w:rPr>
        <w:t>724.73</w:t>
      </w:r>
      <w:r>
        <w:rPr>
          <w:spacing w:val="-3"/>
        </w:rPr>
        <w:t>万股，预留</w:t>
      </w:r>
      <w:r>
        <w:rPr>
          <w:rFonts w:ascii="Times New Roman" w:hAnsi="Times New Roman" w:cs="Times New Roman" w:eastAsia="Times New Roman" w:hint="default"/>
          <w:spacing w:val="-3"/>
        </w:rPr>
        <w:t>61.5</w:t>
      </w:r>
      <w:r>
        <w:rPr>
          <w:spacing w:val="-3"/>
        </w:rPr>
        <w:t>万股），同时同意向</w:t>
      </w:r>
      <w:r>
        <w:rPr>
          <w:rFonts w:ascii="Times New Roman" w:hAnsi="Times New Roman" w:cs="Times New Roman" w:eastAsia="Times New Roman" w:hint="default"/>
          <w:spacing w:val="-3"/>
        </w:rPr>
        <w:t>32</w:t>
      </w:r>
      <w:r>
        <w:rPr>
          <w:spacing w:val="-3"/>
        </w:rPr>
        <w:t>名股权激励对象授予预留的</w:t>
      </w:r>
      <w:r>
        <w:rPr>
          <w:rFonts w:ascii="Times New Roman" w:hAnsi="Times New Roman" w:cs="Times New Roman" w:eastAsia="Times New Roman" w:hint="default"/>
          <w:spacing w:val="-3"/>
        </w:rPr>
        <w:t>61.5</w:t>
      </w:r>
      <w:r>
        <w:rPr>
          <w:spacing w:val="-3"/>
        </w:rPr>
        <w:t>万股</w:t>
      </w:r>
      <w:r>
        <w:rPr>
          <w:spacing w:val="-62"/>
        </w:rPr>
        <w:t> </w:t>
      </w:r>
      <w:r>
        <w:rPr/>
        <w:t>股票期权，据此确认相应服务成本费用同时确认资本公积，使资本公积增加</w:t>
      </w:r>
      <w:r>
        <w:rPr>
          <w:rFonts w:ascii="Times New Roman" w:hAnsi="Times New Roman" w:cs="Times New Roman" w:eastAsia="Times New Roman" w:hint="default"/>
        </w:rPr>
        <w:t>2,138,504.65</w:t>
      </w:r>
      <w:r>
        <w:rPr/>
        <w:t>元。</w:t>
      </w:r>
    </w:p>
    <w:p>
      <w:pPr>
        <w:spacing w:line="240" w:lineRule="auto" w:before="7"/>
        <w:rPr>
          <w:rFonts w:ascii="宋体" w:hAnsi="宋体" w:cs="宋体" w:eastAsia="宋体" w:hint="default"/>
          <w:sz w:val="18"/>
          <w:szCs w:val="18"/>
        </w:rPr>
      </w:pPr>
    </w:p>
    <w:p>
      <w:pPr>
        <w:pStyle w:val="Heading6"/>
        <w:spacing w:line="249" w:lineRule="auto"/>
        <w:ind w:right="1126"/>
        <w:jc w:val="both"/>
      </w:pPr>
      <w:r>
        <w:rPr/>
        <w:t>注</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日，根据公司第六届董事会</w:t>
      </w:r>
      <w:r>
        <w:rPr>
          <w:rFonts w:ascii="Times New Roman" w:hAnsi="Times New Roman" w:cs="Times New Roman" w:eastAsia="Times New Roman" w:hint="default"/>
        </w:rPr>
        <w:t>2018</w:t>
      </w:r>
      <w:r>
        <w:rPr/>
        <w:t>年第六次临时会议审议通过《关于调整</w:t>
      </w:r>
      <w:r>
        <w:rPr>
          <w:rFonts w:ascii="Times New Roman" w:hAnsi="Times New Roman" w:cs="Times New Roman" w:eastAsia="Times New Roman" w:hint="default"/>
        </w:rPr>
        <w:t>2016</w:t>
      </w:r>
      <w:r>
        <w:rPr>
          <w:rFonts w:ascii="Times New Roman" w:hAnsi="Times New Roman" w:cs="Times New Roman" w:eastAsia="Times New Roman" w:hint="default"/>
          <w:w w:val="100"/>
        </w:rPr>
        <w:t> </w:t>
      </w:r>
      <w:r>
        <w:rPr>
          <w:spacing w:val="-2"/>
        </w:rPr>
        <w:t>年股票期权激励计划首次授予对象、授予数量及注销部分期权的议案》，将本公司激励计划首次授予</w:t>
      </w:r>
      <w:r>
        <w:rPr>
          <w:spacing w:val="-70"/>
        </w:rPr>
        <w:t> </w:t>
      </w:r>
      <w:r>
        <w:rPr>
          <w:spacing w:val="-70"/>
        </w:rPr>
      </w:r>
      <w:r>
        <w:rPr>
          <w:spacing w:val="2"/>
        </w:rPr>
        <w:t>的激励对象人数由</w:t>
      </w:r>
      <w:r>
        <w:rPr>
          <w:rFonts w:ascii="Times New Roman" w:hAnsi="Times New Roman" w:cs="Times New Roman" w:eastAsia="Times New Roman" w:hint="default"/>
          <w:spacing w:val="2"/>
        </w:rPr>
        <w:t>494</w:t>
      </w:r>
      <w:r>
        <w:rPr>
          <w:spacing w:val="2"/>
        </w:rPr>
        <w:t>名调整为</w:t>
      </w:r>
      <w:r>
        <w:rPr>
          <w:rFonts w:ascii="Times New Roman" w:hAnsi="Times New Roman" w:cs="Times New Roman" w:eastAsia="Times New Roman" w:hint="default"/>
          <w:spacing w:val="2"/>
        </w:rPr>
        <w:t>462</w:t>
      </w:r>
      <w:r>
        <w:rPr>
          <w:spacing w:val="2"/>
        </w:rPr>
        <w:t>名，将本公司激励计划预留部分的激励对象人数由</w:t>
      </w:r>
      <w:r>
        <w:rPr>
          <w:rFonts w:ascii="Times New Roman" w:hAnsi="Times New Roman" w:cs="Times New Roman" w:eastAsia="Times New Roman" w:hint="default"/>
          <w:spacing w:val="2"/>
        </w:rPr>
        <w:t>32</w:t>
      </w:r>
      <w:r>
        <w:rPr>
          <w:spacing w:val="2"/>
        </w:rPr>
        <w:t>名调整为</w:t>
      </w:r>
      <w:r>
        <w:rPr>
          <w:rFonts w:ascii="Times New Roman" w:hAnsi="Times New Roman" w:cs="Times New Roman" w:eastAsia="Times New Roman" w:hint="default"/>
          <w:spacing w:val="2"/>
        </w:rPr>
        <w:t>29</w:t>
      </w:r>
      <w:r>
        <w:rPr>
          <w:rFonts w:ascii="Times New Roman" w:hAnsi="Times New Roman" w:cs="Times New Roman" w:eastAsia="Times New Roman" w:hint="default"/>
          <w:spacing w:val="13"/>
        </w:rPr>
        <w:t> </w:t>
      </w:r>
      <w:r>
        <w:rPr>
          <w:spacing w:val="-2"/>
        </w:rPr>
        <w:t>名；授予的股票期权数量由</w:t>
      </w:r>
      <w:r>
        <w:rPr>
          <w:rFonts w:ascii="Times New Roman" w:hAnsi="Times New Roman" w:cs="Times New Roman" w:eastAsia="Times New Roman" w:hint="default"/>
          <w:spacing w:val="-2"/>
        </w:rPr>
        <w:t>786.23</w:t>
      </w:r>
      <w:r>
        <w:rPr>
          <w:spacing w:val="-2"/>
        </w:rPr>
        <w:t>万股（其中首次授予</w:t>
      </w:r>
      <w:r>
        <w:rPr>
          <w:rFonts w:ascii="Times New Roman" w:hAnsi="Times New Roman" w:cs="Times New Roman" w:eastAsia="Times New Roman" w:hint="default"/>
          <w:spacing w:val="-2"/>
        </w:rPr>
        <w:t>724.73</w:t>
      </w:r>
      <w:r>
        <w:rPr>
          <w:spacing w:val="-2"/>
        </w:rPr>
        <w:t>万股，预留</w:t>
      </w:r>
      <w:r>
        <w:rPr>
          <w:rFonts w:ascii="Times New Roman" w:hAnsi="Times New Roman" w:cs="Times New Roman" w:eastAsia="Times New Roman" w:hint="default"/>
          <w:spacing w:val="-2"/>
        </w:rPr>
        <w:t>61.5</w:t>
      </w:r>
      <w:r>
        <w:rPr>
          <w:spacing w:val="-2"/>
        </w:rPr>
        <w:t>万股）调整为</w:t>
      </w:r>
      <w:r>
        <w:rPr>
          <w:rFonts w:ascii="Times New Roman" w:hAnsi="Times New Roman" w:cs="Times New Roman" w:eastAsia="Times New Roman" w:hint="default"/>
          <w:spacing w:val="-2"/>
        </w:rPr>
        <w:t>752.76</w:t>
      </w:r>
      <w:r>
        <w:rPr>
          <w:spacing w:val="-2"/>
        </w:rPr>
        <w:t>万股</w:t>
      </w:r>
      <w:r>
        <w:rPr/>
      </w:r>
    </w:p>
    <w:p>
      <w:pPr>
        <w:pStyle w:val="Heading6"/>
        <w:spacing w:line="244" w:lineRule="auto"/>
        <w:ind w:right="1133" w:firstLine="0"/>
        <w:jc w:val="left"/>
      </w:pPr>
      <w:r>
        <w:rPr>
          <w:spacing w:val="-1"/>
        </w:rPr>
        <w:t>（其中首次授予</w:t>
      </w:r>
      <w:r>
        <w:rPr>
          <w:rFonts w:ascii="Times New Roman" w:hAnsi="Times New Roman" w:cs="Times New Roman" w:eastAsia="Times New Roman" w:hint="default"/>
          <w:spacing w:val="-1"/>
        </w:rPr>
        <w:t>693.76</w:t>
      </w:r>
      <w:r>
        <w:rPr>
          <w:spacing w:val="-1"/>
        </w:rPr>
        <w:t>万股，预留</w:t>
      </w:r>
      <w:r>
        <w:rPr>
          <w:rFonts w:ascii="Times New Roman" w:hAnsi="Times New Roman" w:cs="Times New Roman" w:eastAsia="Times New Roman" w:hint="default"/>
          <w:spacing w:val="-1"/>
        </w:rPr>
        <w:t>59</w:t>
      </w:r>
      <w:r>
        <w:rPr>
          <w:spacing w:val="-1"/>
        </w:rPr>
        <w:t>万股），由于授予股票期权数量的调整，相应调整减少股份支付</w:t>
      </w:r>
      <w:r>
        <w:rPr>
          <w:spacing w:val="-47"/>
        </w:rPr>
        <w:t> </w:t>
      </w:r>
      <w:r>
        <w:rPr>
          <w:spacing w:val="-47"/>
        </w:rPr>
      </w:r>
      <w:r>
        <w:rPr/>
        <w:t>费用</w:t>
      </w:r>
      <w:r>
        <w:rPr>
          <w:rFonts w:ascii="Times New Roman" w:hAnsi="Times New Roman" w:cs="Times New Roman" w:eastAsia="Times New Roman" w:hint="default"/>
        </w:rPr>
        <w:t>3,183,331.60</w:t>
      </w:r>
      <w:r>
        <w:rPr/>
        <w:t>元，同时调减资本公积。</w:t>
      </w:r>
    </w:p>
    <w:p>
      <w:pPr>
        <w:spacing w:line="240" w:lineRule="auto" w:before="11"/>
        <w:rPr>
          <w:rFonts w:ascii="宋体" w:hAnsi="宋体" w:cs="宋体" w:eastAsia="宋体" w:hint="default"/>
          <w:sz w:val="23"/>
          <w:szCs w:val="23"/>
        </w:rPr>
      </w:pPr>
    </w:p>
    <w:p>
      <w:pPr>
        <w:pStyle w:val="Heading7"/>
        <w:spacing w:line="240" w:lineRule="auto"/>
        <w:ind w:right="1133"/>
        <w:jc w:val="left"/>
        <w:rPr>
          <w:b w:val="0"/>
          <w:bCs w:val="0"/>
        </w:rPr>
      </w:pPr>
      <w:r>
        <w:rPr>
          <w:rFonts w:ascii="Times New Roman" w:hAnsi="Times New Roman" w:cs="Times New Roman" w:eastAsia="Times New Roman" w:hint="default"/>
        </w:rPr>
        <w:t>32</w:t>
      </w:r>
      <w:r>
        <w:rPr/>
        <w:t>、其他综合收益</w:t>
      </w:r>
      <w:r>
        <w:rPr>
          <w:b w:val="0"/>
          <w:bCs w:val="0"/>
        </w:rPr>
      </w:r>
    </w:p>
    <w:p>
      <w:pPr>
        <w:spacing w:line="240" w:lineRule="auto" w:before="4"/>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69"/>
        <w:gridCol w:w="936"/>
        <w:gridCol w:w="1152"/>
        <w:gridCol w:w="934"/>
        <w:gridCol w:w="936"/>
        <w:gridCol w:w="937"/>
        <w:gridCol w:w="797"/>
      </w:tblGrid>
      <w:tr>
        <w:trPr>
          <w:trHeight w:val="398"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69"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69"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05" w:right="9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1"/>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1"/>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7"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69"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18,809,655.6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284,863,47</w:t>
            </w:r>
          </w:p>
          <w:p>
            <w:pPr>
              <w:pStyle w:val="TableParagraph"/>
              <w:spacing w:line="240" w:lineRule="auto" w:before="105"/>
              <w:ind w:left="587" w:right="0"/>
              <w:jc w:val="left"/>
              <w:rPr>
                <w:rFonts w:ascii="Times New Roman" w:hAnsi="Times New Roman" w:cs="Times New Roman" w:eastAsia="Times New Roman" w:hint="default"/>
                <w:sz w:val="18"/>
                <w:szCs w:val="18"/>
              </w:rPr>
            </w:pPr>
            <w:r>
              <w:rPr>
                <w:rFonts w:ascii="Times New Roman"/>
                <w:sz w:val="18"/>
              </w:rPr>
              <w:t>9.18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284,863,47</w:t>
            </w:r>
          </w:p>
          <w:p>
            <w:pPr>
              <w:pStyle w:val="TableParagraph"/>
              <w:spacing w:line="240" w:lineRule="auto" w:before="105"/>
              <w:ind w:left="592" w:right="0"/>
              <w:jc w:val="left"/>
              <w:rPr>
                <w:rFonts w:ascii="Times New Roman" w:hAnsi="Times New Roman" w:cs="Times New Roman" w:eastAsia="Times New Roman" w:hint="default"/>
                <w:sz w:val="18"/>
                <w:szCs w:val="18"/>
              </w:rPr>
            </w:pPr>
            <w:r>
              <w:rPr>
                <w:rFonts w:ascii="Times New Roman"/>
                <w:sz w:val="18"/>
              </w:rPr>
              <w:t>9.18</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303,673,1</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34.85</w:t>
            </w:r>
          </w:p>
        </w:tc>
      </w:tr>
      <w:tr>
        <w:trPr>
          <w:trHeight w:val="713"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其中：权益法下可转损益的其他综 合收益</w:t>
            </w:r>
          </w:p>
        </w:tc>
        <w:tc>
          <w:tcPr>
            <w:tcW w:w="1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1,425,260.94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-467,690.14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-467,690.14</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957,570.8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10"/>
        <w:gridCol w:w="1069"/>
        <w:gridCol w:w="936"/>
        <w:gridCol w:w="1152"/>
        <w:gridCol w:w="934"/>
        <w:gridCol w:w="936"/>
        <w:gridCol w:w="937"/>
        <w:gridCol w:w="797"/>
      </w:tblGrid>
      <w:tr>
        <w:trPr>
          <w:trHeight w:val="713"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17,384,394.7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285,331,16</w:t>
            </w:r>
          </w:p>
          <w:p>
            <w:pPr>
              <w:pStyle w:val="TableParagraph"/>
              <w:spacing w:line="240" w:lineRule="auto" w:before="105"/>
              <w:ind w:left="587" w:right="0"/>
              <w:jc w:val="left"/>
              <w:rPr>
                <w:rFonts w:ascii="Times New Roman" w:hAnsi="Times New Roman" w:cs="Times New Roman" w:eastAsia="Times New Roman" w:hint="default"/>
                <w:sz w:val="18"/>
                <w:szCs w:val="18"/>
              </w:rPr>
            </w:pPr>
            <w:r>
              <w:rPr>
                <w:rFonts w:ascii="Times New Roman"/>
                <w:sz w:val="18"/>
              </w:rPr>
              <w:t>9.32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285,331,16</w:t>
            </w:r>
          </w:p>
          <w:p>
            <w:pPr>
              <w:pStyle w:val="TableParagraph"/>
              <w:spacing w:line="240" w:lineRule="auto" w:before="105"/>
              <w:ind w:left="592" w:right="0"/>
              <w:jc w:val="left"/>
              <w:rPr>
                <w:rFonts w:ascii="Times New Roman" w:hAnsi="Times New Roman" w:cs="Times New Roman" w:eastAsia="Times New Roman" w:hint="default"/>
                <w:sz w:val="18"/>
                <w:szCs w:val="18"/>
              </w:rPr>
            </w:pPr>
            <w:r>
              <w:rPr>
                <w:rFonts w:ascii="Times New Roman"/>
                <w:sz w:val="18"/>
              </w:rPr>
              <w:t>9.32</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302,715,5</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64.05</w:t>
            </w:r>
          </w:p>
        </w:tc>
      </w:tr>
      <w:tr>
        <w:trPr>
          <w:trHeight w:val="715"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18,809,655.6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284,863,47</w:t>
            </w:r>
          </w:p>
          <w:p>
            <w:pPr>
              <w:pStyle w:val="TableParagraph"/>
              <w:spacing w:line="240" w:lineRule="auto" w:before="102"/>
              <w:ind w:left="587" w:right="0"/>
              <w:jc w:val="left"/>
              <w:rPr>
                <w:rFonts w:ascii="Times New Roman" w:hAnsi="Times New Roman" w:cs="Times New Roman" w:eastAsia="Times New Roman" w:hint="default"/>
                <w:sz w:val="18"/>
                <w:szCs w:val="18"/>
              </w:rPr>
            </w:pPr>
            <w:r>
              <w:rPr>
                <w:rFonts w:ascii="Times New Roman"/>
                <w:sz w:val="18"/>
              </w:rPr>
              <w:t>9.18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left"/>
              <w:rPr>
                <w:rFonts w:ascii="Times New Roman" w:hAnsi="Times New Roman" w:cs="Times New Roman" w:eastAsia="Times New Roman" w:hint="default"/>
                <w:sz w:val="18"/>
                <w:szCs w:val="18"/>
              </w:rPr>
            </w:pPr>
            <w:r>
              <w:rPr>
                <w:rFonts w:ascii="Times New Roman"/>
                <w:sz w:val="18"/>
              </w:rPr>
              <w:t>284,863,47</w:t>
            </w:r>
          </w:p>
          <w:p>
            <w:pPr>
              <w:pStyle w:val="TableParagraph"/>
              <w:spacing w:line="240" w:lineRule="auto" w:before="102"/>
              <w:ind w:left="592" w:right="0"/>
              <w:jc w:val="left"/>
              <w:rPr>
                <w:rFonts w:ascii="Times New Roman" w:hAnsi="Times New Roman" w:cs="Times New Roman" w:eastAsia="Times New Roman" w:hint="default"/>
                <w:sz w:val="18"/>
                <w:szCs w:val="18"/>
              </w:rPr>
            </w:pPr>
            <w:r>
              <w:rPr>
                <w:rFonts w:ascii="Times New Roman"/>
                <w:sz w:val="18"/>
              </w:rPr>
              <w:t>9.18</w:t>
            </w: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303,673,1</w:t>
            </w:r>
          </w:p>
          <w:p>
            <w:pPr>
              <w:pStyle w:val="TableParagraph"/>
              <w:spacing w:line="240" w:lineRule="auto" w:before="102"/>
              <w:ind w:left="357" w:right="0"/>
              <w:jc w:val="left"/>
              <w:rPr>
                <w:rFonts w:ascii="Times New Roman" w:hAnsi="Times New Roman" w:cs="Times New Roman" w:eastAsia="Times New Roman" w:hint="default"/>
                <w:sz w:val="18"/>
                <w:szCs w:val="18"/>
              </w:rPr>
            </w:pPr>
            <w:r>
              <w:rPr>
                <w:rFonts w:ascii="Times New Roman"/>
                <w:sz w:val="18"/>
              </w:rPr>
              <w:t>34.85</w:t>
            </w:r>
          </w:p>
        </w:tc>
      </w:tr>
    </w:tbl>
    <w:p>
      <w:pPr>
        <w:spacing w:line="357" w:lineRule="auto" w:before="49"/>
        <w:ind w:left="152" w:right="4094"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33</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38,278,825.78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38,278,825.78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38,278,825.78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38,278,825.78</w:t>
            </w:r>
          </w:p>
        </w:tc>
      </w:tr>
    </w:tbl>
    <w:p>
      <w:pPr>
        <w:spacing w:line="360" w:lineRule="auto" w:before="49"/>
        <w:ind w:left="152" w:right="6254"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 无</w:t>
      </w:r>
    </w:p>
    <w:p>
      <w:pPr>
        <w:spacing w:line="240" w:lineRule="auto" w:before="4"/>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34</w:t>
      </w:r>
      <w:r>
        <w:rPr/>
        <w:t>、未分配利润</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2,469,484,345.23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2,229,233,489.44</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2,469,484,345.23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2,229,233,489.44</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463,482,459.69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419,028,697.62</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21,039,220.05</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106,678,875.30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42,671,550.12</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1,150,670,741.66</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2,826,287,929.62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2,469,484,345.23</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7"/>
        <w:spacing w:line="240" w:lineRule="auto"/>
        <w:ind w:right="1133"/>
        <w:jc w:val="left"/>
        <w:rPr>
          <w:b w:val="0"/>
          <w:bCs w:val="0"/>
        </w:rPr>
      </w:pPr>
      <w:r>
        <w:rPr>
          <w:rFonts w:ascii="Times New Roman" w:hAnsi="Times New Roman" w:cs="Times New Roman" w:eastAsia="Times New Roman" w:hint="default"/>
        </w:rPr>
        <w:t>35</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1"/>
        <w:gridCol w:w="38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3,086,270,429.07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1,701,850,720.48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2,950,799,043.40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1,635,889,546.61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11,248,962.38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4,686,108.67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10,387,547.24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3,639,972.85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3,097,519,391.45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1,706,536,829.15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2,961,186,590.64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1,639,529,519.46</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rFonts w:ascii="Times New Roman" w:hAnsi="Times New Roman" w:cs="Times New Roman" w:eastAsia="Times New Roman" w:hint="default"/>
        </w:rPr>
        <w:t>36</w:t>
      </w:r>
      <w:r>
        <w:rPr/>
        <w:t>、税金及附加</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11,210,214.13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10,536,175.91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4,822,691.02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4,538,606.29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2,514,007.12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1,873,631.59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119,486.96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118,299.81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143,055.41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1,428,351.79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626,705.21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3,194,516.50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3,025,776.31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残疾人就业保障金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645,151.22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1,049,255.98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营业税（境外）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501,848.83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117,103.37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71,491.12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271,919.30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24,528,142.02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22,300,529.18</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37</w:t>
      </w:r>
      <w:r>
        <w:rPr/>
        <w:t>、销售费用</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146,494,778.90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111,638,984.74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22,990,982.67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24,835,935.09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7,630,047.84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9,985,926.23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9,788,586.82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11,071,031.08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9,256,968.71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10,134,083.81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8,514,608.54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8,079,753.30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16,318,825.12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5,316,978.68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1,883,279.70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2,755,440.62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1,754,400.44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1,600,347.09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795,227.15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770,182.86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550,867.18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361,267.89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196,351.33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235,840.25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285,618.90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87,999.37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员工期权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397,339.35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481,195.88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581,123.63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物料消耗费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422,637.60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1,990,967.18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331,034.18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228,948,212.59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188,605,905.77</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38</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276,105,971.81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273,527,427.92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114,014,659.09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97,366,466.27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37,090,077.75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29,063,935.48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25,708,951.89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25,142,814.02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25,453,952.09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18,139,486.05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14,704,994.45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12,923,281.05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26,100,425.99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35,240,208.09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6,016,708.64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2,485,312.01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4,712,564.12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5,861,397.14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上市公司维护费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28,054.49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693,800.10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3,450,505.03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4,076,453.88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3,105,151.59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2,912,321.57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1,789,323.96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2,815,476.13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6,433,249.09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2,876,764.46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5,850,758.17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5,293,060.94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550,565,348.16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518,418,205.11</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1133"/>
        <w:jc w:val="left"/>
        <w:rPr>
          <w:b w:val="0"/>
          <w:bCs w:val="0"/>
        </w:rPr>
      </w:pPr>
      <w:r>
        <w:rPr>
          <w:rFonts w:ascii="Times New Roman" w:hAnsi="Times New Roman" w:cs="Times New Roman" w:eastAsia="Times New Roman" w:hint="default"/>
        </w:rPr>
        <w:t>39</w:t>
      </w:r>
      <w:r>
        <w:rPr/>
        <w:t>、研发费用</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226,175,595.95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186,239,963.62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1,343,666.25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1,460,991.53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1,727,488.42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1,501,093.43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849,618.70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660,921.12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4,205,113.31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3,539,202.28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22,967,185.50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4,501,848.81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552,913.79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445,327.26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185,328.21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72,139.10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494,661.97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224,294.56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7,432.73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5,648.43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360,397.11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289,375.15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软件认证费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173,565.03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727,368.86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259,042,966.97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199,668,174.15</w:t>
            </w:r>
          </w:p>
        </w:tc>
      </w:tr>
    </w:tbl>
    <w:p>
      <w:pPr>
        <w:spacing w:line="360"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40</w:t>
      </w:r>
      <w:r>
        <w:rPr/>
        <w:t>、财务费用</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8,360,083.93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2,225,074.32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154,317,154.66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36,514,455.38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-18,781,463.93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30,408,369.56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5,308,264.46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2,970,934.87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-159,430,270.20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-910,076.63</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41</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32,481,807.62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34,611,106.59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5,574,994.89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5,608,901.43</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2,547,720.70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239,550.18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5,846,357.23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45,042,709.92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42,767,728.72</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42</w:t>
      </w:r>
      <w:r>
        <w:rPr/>
        <w:t>、其他收益</w:t>
      </w:r>
      <w:r>
        <w:rPr>
          <w:b w:val="0"/>
          <w:bCs w:val="0"/>
        </w:rPr>
      </w:r>
    </w:p>
    <w:p>
      <w:pPr>
        <w:spacing w:line="240" w:lineRule="auto" w:before="13"/>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软件产品增值税即征即退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96,622,079.81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88,522,960.74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软件产业发展专项扶持资金返还装修款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1,016,750.00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软件产业发展专项扶持资金返还房租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3,726,147.00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深圳市企业研究开发资助计划项目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2,356,834.22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附加税返还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809,977.54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2,209,583.83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102,233,475.40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93,685,498.83</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rFonts w:ascii="Times New Roman" w:hAnsi="Times New Roman" w:cs="Times New Roman" w:eastAsia="Times New Roman" w:hint="default"/>
        </w:rPr>
        <w:t>43</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2,280,197.96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10,092,854.41</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7,398.09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15,095,538.63</w:t>
            </w:r>
          </w:p>
        </w:tc>
      </w:tr>
      <w:tr>
        <w:trPr>
          <w:trHeight w:val="71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pacing w:val="-1"/>
                <w:sz w:val="18"/>
                <w:szCs w:val="18"/>
              </w:rPr>
              <w:t>取得控制权前，原持有权益法核算股权按照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公允价值重新计量产生的利得或损失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-4,606,208.46</w:t>
            </w: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55,024,676.14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31,695,286.53</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57,312,272.19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52,277,471.11</w:t>
            </w:r>
          </w:p>
        </w:tc>
      </w:tr>
    </w:tbl>
    <w:p>
      <w:pPr>
        <w:spacing w:line="360"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6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1133"/>
        <w:jc w:val="left"/>
        <w:rPr>
          <w:b w:val="0"/>
          <w:bCs w:val="0"/>
        </w:rPr>
      </w:pPr>
      <w:r>
        <w:rPr>
          <w:rFonts w:ascii="Times New Roman" w:hAnsi="Times New Roman" w:cs="Times New Roman" w:eastAsia="Times New Roman" w:hint="default"/>
        </w:rPr>
        <w:t>44</w:t>
      </w:r>
      <w:r>
        <w:rPr/>
        <w:t>、资产处置收益</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142,972.55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17,169.97</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未划分为持有待售的非流动资产处置收 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142,972.55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17,169.97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142,972.55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17,169.97</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rFonts w:ascii="Times New Roman" w:hAnsi="Times New Roman" w:cs="Times New Roman" w:eastAsia="Times New Roman" w:hint="default"/>
        </w:rPr>
        <w:t>45</w:t>
      </w:r>
      <w:r>
        <w:rPr/>
        <w:t>、营业外收入</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1,483,310.00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1,483,310.00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其他税费返还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397,678.15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捐赠利得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395,523.83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307.69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307.69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6,636,328.79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2,973,568.89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6,636,328.79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8,119,946.48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4,904,270.87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8,119,946.48</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p>
      <w:pPr>
        <w:spacing w:line="5774" w:lineRule="exact"/>
        <w:ind w:left="148" w:right="0" w:firstLine="0"/>
        <w:rPr>
          <w:rFonts w:ascii="宋体" w:hAnsi="宋体" w:cs="宋体" w:eastAsia="宋体" w:hint="default"/>
          <w:sz w:val="20"/>
          <w:szCs w:val="20"/>
        </w:rPr>
      </w:pPr>
      <w:r>
        <w:rPr>
          <w:rFonts w:ascii="宋体" w:hAnsi="宋体" w:cs="宋体" w:eastAsia="宋体" w:hint="default"/>
          <w:position w:val="-114"/>
          <w:sz w:val="20"/>
          <w:szCs w:val="20"/>
        </w:rPr>
        <w:pict>
          <v:group style="width:479.05pt;height:288.75pt;mso-position-horizontal-relative:char;mso-position-vertical-relative:line" coordorigin="0,0" coordsize="9581,5775">
            <v:group style="position:absolute;left:12;top:14;width:1055;height:156" coordorigin="12,14" coordsize="1055,156">
              <v:shape style="position:absolute;left:12;top:14;width:1055;height:156" coordorigin="12,14" coordsize="1055,156" path="m12,170l1066,170,1066,14,12,14,12,170xe" filled="true" fillcolor="#d2d2d2" stroked="false">
                <v:path arrowok="t"/>
                <v:fill type="solid"/>
              </v:shape>
            </v:group>
            <v:group style="position:absolute;left:23;top:170;width:2;height:394" coordorigin="23,170" coordsize="2,394">
              <v:shape style="position:absolute;left:23;top:170;width:2;height:394" coordorigin="23,170" coordsize="0,394" path="m23,170l23,564e" filled="false" stroked="true" strokeweight="1.08pt" strokecolor="#d2d2d2">
                <v:path arrowok="t"/>
              </v:shape>
            </v:group>
            <v:group style="position:absolute;left:1055;top:170;width:2;height:394" coordorigin="1055,170" coordsize="2,394">
              <v:shape style="position:absolute;left:1055;top:170;width:2;height:394" coordorigin="1055,170" coordsize="0,394" path="m1055,170l1055,564e" filled="false" stroked="true" strokeweight="1.08pt" strokecolor="#d2d2d2">
                <v:path arrowok="t"/>
              </v:shape>
            </v:group>
            <v:group style="position:absolute;left:12;top:564;width:1055;height:156" coordorigin="12,564" coordsize="1055,156">
              <v:shape style="position:absolute;left:12;top:564;width:1055;height:156" coordorigin="12,564" coordsize="1055,156" path="m12,720l1066,720,1066,564,12,564,12,720xe" filled="true" fillcolor="#d2d2d2" stroked="false">
                <v:path arrowok="t"/>
                <v:fill type="solid"/>
              </v:shape>
            </v:group>
            <v:group style="position:absolute;left:34;top:170;width:1011;height:394" coordorigin="34,170" coordsize="1011,394">
              <v:shape style="position:absolute;left:34;top:170;width:1011;height:394" coordorigin="34,170" coordsize="1011,394" path="m34,564l1044,564,1044,170,34,170,34,564xe" filled="true" fillcolor="#d2d2d2" stroked="false">
                <v:path arrowok="t"/>
                <v:fill type="solid"/>
              </v:shape>
            </v:group>
            <v:group style="position:absolute;left:1076;top:14;width:1054;height:156" coordorigin="1076,14" coordsize="1054,156">
              <v:shape style="position:absolute;left:1076;top:14;width:1054;height:156" coordorigin="1076,14" coordsize="1054,156" path="m1076,170l2129,170,2129,14,1076,14,1076,170xe" filled="true" fillcolor="#d2d2d2" stroked="false">
                <v:path arrowok="t"/>
                <v:fill type="solid"/>
              </v:shape>
            </v:group>
            <v:group style="position:absolute;left:1088;top:170;width:2;height:394" coordorigin="1088,170" coordsize="2,394">
              <v:shape style="position:absolute;left:1088;top:170;width:2;height:394" coordorigin="1088,170" coordsize="0,394" path="m1088,170l1088,564e" filled="false" stroked="true" strokeweight="1.2pt" strokecolor="#d2d2d2">
                <v:path arrowok="t"/>
              </v:shape>
            </v:group>
            <v:group style="position:absolute;left:2117;top:170;width:2;height:394" coordorigin="2117,170" coordsize="2,394">
              <v:shape style="position:absolute;left:2117;top:170;width:2;height:394" coordorigin="2117,170" coordsize="0,394" path="m2117,170l2117,564e" filled="false" stroked="true" strokeweight="1.2pt" strokecolor="#d2d2d2">
                <v:path arrowok="t"/>
              </v:shape>
            </v:group>
            <v:group style="position:absolute;left:1076;top:564;width:1054;height:156" coordorigin="1076,564" coordsize="1054,156">
              <v:shape style="position:absolute;left:1076;top:564;width:1054;height:156" coordorigin="1076,564" coordsize="1054,156" path="m1076,720l2129,720,2129,564,1076,564,1076,720xe" filled="true" fillcolor="#d2d2d2" stroked="false">
                <v:path arrowok="t"/>
                <v:fill type="solid"/>
              </v:shape>
            </v:group>
            <v:group style="position:absolute;left:1100;top:170;width:1006;height:394" coordorigin="1100,170" coordsize="1006,394">
              <v:shape style="position:absolute;left:1100;top:170;width:1006;height:394" coordorigin="1100,170" coordsize="1006,394" path="m1100,564l2105,564,2105,170,1100,170,1100,564xe" filled="true" fillcolor="#d2d2d2" stroked="false">
                <v:path arrowok="t"/>
                <v:fill type="solid"/>
              </v:shape>
            </v:group>
            <v:group style="position:absolute;left:2139;top:14;width:1055;height:156" coordorigin="2139,14" coordsize="1055,156">
              <v:shape style="position:absolute;left:2139;top:14;width:1055;height:156" coordorigin="2139,14" coordsize="1055,156" path="m2139,170l3193,170,3193,14,2139,14,2139,170xe" filled="true" fillcolor="#d2d2d2" stroked="false">
                <v:path arrowok="t"/>
                <v:fill type="solid"/>
              </v:shape>
            </v:group>
            <v:group style="position:absolute;left:2151;top:170;width:2;height:394" coordorigin="2151,170" coordsize="2,394">
              <v:shape style="position:absolute;left:2151;top:170;width:2;height:394" coordorigin="2151,170" coordsize="0,394" path="m2151,170l2151,564e" filled="false" stroked="true" strokeweight="1.2pt" strokecolor="#d2d2d2">
                <v:path arrowok="t"/>
              </v:shape>
            </v:group>
            <v:group style="position:absolute;left:3181;top:170;width:2;height:394" coordorigin="3181,170" coordsize="2,394">
              <v:shape style="position:absolute;left:3181;top:170;width:2;height:394" coordorigin="3181,170" coordsize="0,394" path="m3181,170l3181,564e" filled="false" stroked="true" strokeweight="1.2pt" strokecolor="#d2d2d2">
                <v:path arrowok="t"/>
              </v:shape>
            </v:group>
            <v:group style="position:absolute;left:2139;top:564;width:1055;height:156" coordorigin="2139,564" coordsize="1055,156">
              <v:shape style="position:absolute;left:2139;top:564;width:1055;height:156" coordorigin="2139,564" coordsize="1055,156" path="m2139,720l3193,720,3193,564,2139,564,2139,720xe" filled="true" fillcolor="#d2d2d2" stroked="false">
                <v:path arrowok="t"/>
                <v:fill type="solid"/>
              </v:shape>
            </v:group>
            <v:group style="position:absolute;left:2163;top:170;width:1007;height:394" coordorigin="2163,170" coordsize="1007,394">
              <v:shape style="position:absolute;left:2163;top:170;width:1007;height:394" coordorigin="2163,170" coordsize="1007,394" path="m2163,564l3169,564,3169,170,2163,170,2163,564xe" filled="true" fillcolor="#d2d2d2" stroked="false">
                <v:path arrowok="t"/>
                <v:fill type="solid"/>
              </v:shape>
            </v:group>
            <v:group style="position:absolute;left:3203;top:14;width:1054;height:156" coordorigin="3203,14" coordsize="1054,156">
              <v:shape style="position:absolute;left:3203;top:14;width:1054;height:156" coordorigin="3203,14" coordsize="1054,156" path="m3203,170l4256,170,4256,14,3203,14,3203,170xe" filled="true" fillcolor="#d2d2d2" stroked="false">
                <v:path arrowok="t"/>
                <v:fill type="solid"/>
              </v:shape>
            </v:group>
            <v:group style="position:absolute;left:3215;top:170;width:2;height:394" coordorigin="3215,170" coordsize="2,394">
              <v:shape style="position:absolute;left:3215;top:170;width:2;height:394" coordorigin="3215,170" coordsize="0,394" path="m3215,170l3215,564e" filled="false" stroked="true" strokeweight="1.2pt" strokecolor="#d2d2d2">
                <v:path arrowok="t"/>
              </v:shape>
            </v:group>
            <v:group style="position:absolute;left:4244;top:170;width:2;height:394" coordorigin="4244,170" coordsize="2,394">
              <v:shape style="position:absolute;left:4244;top:170;width:2;height:394" coordorigin="4244,170" coordsize="0,394" path="m4244,170l4244,564e" filled="false" stroked="true" strokeweight="1.2pt" strokecolor="#d2d2d2">
                <v:path arrowok="t"/>
              </v:shape>
            </v:group>
            <v:group style="position:absolute;left:3203;top:564;width:1054;height:156" coordorigin="3203,564" coordsize="1054,156">
              <v:shape style="position:absolute;left:3203;top:564;width:1054;height:156" coordorigin="3203,564" coordsize="1054,156" path="m3203,720l4256,720,4256,564,3203,564,3203,720xe" filled="true" fillcolor="#d2d2d2" stroked="false">
                <v:path arrowok="t"/>
                <v:fill type="solid"/>
              </v:shape>
            </v:group>
            <v:group style="position:absolute;left:3227;top:170;width:1006;height:394" coordorigin="3227,170" coordsize="1006,394">
              <v:shape style="position:absolute;left:3227;top:170;width:1006;height:394" coordorigin="3227,170" coordsize="1006,394" path="m3227,564l4232,564,4232,170,3227,170,3227,564xe" filled="true" fillcolor="#d2d2d2" stroked="false">
                <v:path arrowok="t"/>
                <v:fill type="solid"/>
              </v:shape>
            </v:group>
            <v:group style="position:absolute;left:4278;top:14;width:2;height:706" coordorigin="4278,14" coordsize="2,706">
              <v:shape style="position:absolute;left:4278;top:14;width:2;height:706" coordorigin="4278,14" coordsize="0,706" path="m4278,14l4278,720e" filled="false" stroked="true" strokeweight="1.2pt" strokecolor="#d2d2d2">
                <v:path arrowok="t"/>
              </v:shape>
            </v:group>
            <v:group style="position:absolute;left:5307;top:14;width:2;height:706" coordorigin="5307,14" coordsize="2,706">
              <v:shape style="position:absolute;left:5307;top:14;width:2;height:706" coordorigin="5307,14" coordsize="0,706" path="m5307,14l5307,720e" filled="false" stroked="true" strokeweight="1.2pt" strokecolor="#d2d2d2">
                <v:path arrowok="t"/>
              </v:shape>
            </v:group>
            <v:group style="position:absolute;left:4290;top:14;width:1006;height:353" coordorigin="4290,14" coordsize="1006,353">
              <v:shape style="position:absolute;left:4290;top:14;width:1006;height:353" coordorigin="4290,14" coordsize="1006,353" path="m4290,367l5295,367,5295,14,4290,14,4290,367xe" filled="true" fillcolor="#d2d2d2" stroked="false">
                <v:path arrowok="t"/>
                <v:fill type="solid"/>
              </v:shape>
            </v:group>
            <v:group style="position:absolute;left:4290;top:367;width:1006;height:353" coordorigin="4290,367" coordsize="1006,353">
              <v:shape style="position:absolute;left:4290;top:367;width:1006;height:353" coordorigin="4290,367" coordsize="1006,353" path="m4290,720l5295,720,5295,367,4290,367,4290,720xe" filled="true" fillcolor="#d2d2d2" stroked="false">
                <v:path arrowok="t"/>
                <v:fill type="solid"/>
              </v:shape>
            </v:group>
            <v:group style="position:absolute;left:5341;top:14;width:2;height:706" coordorigin="5341,14" coordsize="2,706">
              <v:shape style="position:absolute;left:5341;top:14;width:2;height:706" coordorigin="5341,14" coordsize="0,706" path="m5341,14l5341,720e" filled="false" stroked="true" strokeweight="1.2pt" strokecolor="#d2d2d2">
                <v:path arrowok="t"/>
              </v:shape>
            </v:group>
            <v:group style="position:absolute;left:6371;top:14;width:2;height:706" coordorigin="6371,14" coordsize="2,706">
              <v:shape style="position:absolute;left:6371;top:14;width:2;height:706" coordorigin="6371,14" coordsize="0,706" path="m6371,14l6371,720e" filled="false" stroked="true" strokeweight="1.2pt" strokecolor="#d2d2d2">
                <v:path arrowok="t"/>
              </v:shape>
            </v:group>
            <v:group style="position:absolute;left:5353;top:14;width:1007;height:353" coordorigin="5353,14" coordsize="1007,353">
              <v:shape style="position:absolute;left:5353;top:14;width:1007;height:353" coordorigin="5353,14" coordsize="1007,353" path="m5353,367l6359,367,6359,14,5353,14,5353,367xe" filled="true" fillcolor="#d2d2d2" stroked="false">
                <v:path arrowok="t"/>
                <v:fill type="solid"/>
              </v:shape>
            </v:group>
            <v:group style="position:absolute;left:5353;top:367;width:1007;height:353" coordorigin="5353,367" coordsize="1007,353">
              <v:shape style="position:absolute;left:5353;top:367;width:1007;height:353" coordorigin="5353,367" coordsize="1007,353" path="m5353,720l6359,720,6359,367,5353,367,5353,720xe" filled="true" fillcolor="#d2d2d2" stroked="false">
                <v:path arrowok="t"/>
                <v:fill type="solid"/>
              </v:shape>
            </v:group>
            <v:group style="position:absolute;left:6403;top:14;width:2;height:706" coordorigin="6403,14" coordsize="2,706">
              <v:shape style="position:absolute;left:6403;top:14;width:2;height:706" coordorigin="6403,14" coordsize="0,706" path="m6403,14l6403,720e" filled="false" stroked="true" strokeweight="1.08pt" strokecolor="#d2d2d2">
                <v:path arrowok="t"/>
              </v:shape>
            </v:group>
            <v:group style="position:absolute;left:7434;top:14;width:2;height:706" coordorigin="7434,14" coordsize="2,706">
              <v:shape style="position:absolute;left:7434;top:14;width:2;height:706" coordorigin="7434,14" coordsize="0,706" path="m7434,14l7434,720e" filled="false" stroked="true" strokeweight="1.2pt" strokecolor="#d2d2d2">
                <v:path arrowok="t"/>
              </v:shape>
            </v:group>
            <v:group style="position:absolute;left:6414;top:14;width:1008;height:353" coordorigin="6414,14" coordsize="1008,353">
              <v:shape style="position:absolute;left:6414;top:14;width:1008;height:353" coordorigin="6414,14" coordsize="1008,353" path="m6414,367l7422,367,7422,14,6414,14,6414,367xe" filled="true" fillcolor="#d2d2d2" stroked="false">
                <v:path arrowok="t"/>
                <v:fill type="solid"/>
              </v:shape>
            </v:group>
            <v:group style="position:absolute;left:6414;top:367;width:1008;height:353" coordorigin="6414,367" coordsize="1008,353">
              <v:shape style="position:absolute;left:6414;top:367;width:1008;height:353" coordorigin="6414,367" coordsize="1008,353" path="m6414,720l7422,720,7422,367,6414,367,6414,720xe" filled="true" fillcolor="#d2d2d2" stroked="false">
                <v:path arrowok="t"/>
                <v:fill type="solid"/>
              </v:shape>
            </v:group>
            <v:group style="position:absolute;left:7467;top:14;width:2;height:706" coordorigin="7467,14" coordsize="2,706">
              <v:shape style="position:absolute;left:7467;top:14;width:2;height:706" coordorigin="7467,14" coordsize="0,706" path="m7467,14l7467,720e" filled="false" stroked="true" strokeweight="1.08pt" strokecolor="#d2d2d2">
                <v:path arrowok="t"/>
              </v:shape>
            </v:group>
            <v:group style="position:absolute;left:8498;top:14;width:2;height:706" coordorigin="8498,14" coordsize="2,706">
              <v:shape style="position:absolute;left:8498;top:14;width:2;height:706" coordorigin="8498,14" coordsize="0,706" path="m8498,14l8498,720e" filled="false" stroked="true" strokeweight="1.2pt" strokecolor="#d2d2d2">
                <v:path arrowok="t"/>
              </v:shape>
            </v:group>
            <v:group style="position:absolute;left:7477;top:14;width:1009;height:353" coordorigin="7477,14" coordsize="1009,353">
              <v:shape style="position:absolute;left:7477;top:14;width:1009;height:353" coordorigin="7477,14" coordsize="1009,353" path="m7477,367l8486,367,8486,14,7477,14,7477,367xe" filled="true" fillcolor="#d2d2d2" stroked="false">
                <v:path arrowok="t"/>
                <v:fill type="solid"/>
              </v:shape>
            </v:group>
            <v:group style="position:absolute;left:7477;top:367;width:1009;height:353" coordorigin="7477,367" coordsize="1009,353">
              <v:shape style="position:absolute;left:7477;top:367;width:1009;height:353" coordorigin="7477,367" coordsize="1009,353" path="m7477,720l8486,720,8486,367,7477,367,7477,720xe" filled="true" fillcolor="#d2d2d2" stroked="false">
                <v:path arrowok="t"/>
                <v:fill type="solid"/>
              </v:shape>
            </v:group>
            <v:group style="position:absolute;left:8530;top:14;width:2;height:706" coordorigin="8530,14" coordsize="2,706">
              <v:shape style="position:absolute;left:8530;top:14;width:2;height:706" coordorigin="8530,14" coordsize="0,706" path="m8530,14l8530,720e" filled="false" stroked="true" strokeweight="1.08pt" strokecolor="#d2d2d2">
                <v:path arrowok="t"/>
              </v:shape>
            </v:group>
            <v:group style="position:absolute;left:9560;top:14;width:2;height:706" coordorigin="9560,14" coordsize="2,706">
              <v:shape style="position:absolute;left:9560;top:14;width:2;height:706" coordorigin="9560,14" coordsize="0,706" path="m9560,14l9560,720e" filled="false" stroked="true" strokeweight="1.08pt" strokecolor="#d2d2d2">
                <v:path arrowok="t"/>
              </v:shape>
            </v:group>
            <v:group style="position:absolute;left:8541;top:14;width:1008;height:353" coordorigin="8541,14" coordsize="1008,353">
              <v:shape style="position:absolute;left:8541;top:14;width:1008;height:353" coordorigin="8541,14" coordsize="1008,353" path="m8541,367l9549,367,9549,14,8541,14,8541,367xe" filled="true" fillcolor="#d2d2d2" stroked="false">
                <v:path arrowok="t"/>
                <v:fill type="solid"/>
              </v:shape>
            </v:group>
            <v:group style="position:absolute;left:8541;top:367;width:1008;height:353" coordorigin="8541,367" coordsize="1008,353">
              <v:shape style="position:absolute;left:8541;top:367;width:1008;height:353" coordorigin="8541,367" coordsize="1008,353" path="m8541,720l9549,720,9549,367,8541,367,8541,720xe" filled="true" fillcolor="#d2d2d2" stroked="false">
                <v:path arrowok="t"/>
                <v:fill type="solid"/>
              </v:shape>
            </v:group>
            <v:group style="position:absolute;left:10;top:10;width:1057;height:2" coordorigin="10,10" coordsize="1057,2">
              <v:shape style="position:absolute;left:10;top:10;width:1057;height:2" coordorigin="10,10" coordsize="1057,0" path="m10,10l1066,10e" filled="false" stroked="true" strokeweight=".48001pt" strokecolor="#000000">
                <v:path arrowok="t"/>
              </v:shape>
            </v:group>
            <v:group style="position:absolute;left:1076;top:10;width:1054;height:2" coordorigin="1076,10" coordsize="1054,2">
              <v:shape style="position:absolute;left:1076;top:10;width:1054;height:2" coordorigin="1076,10" coordsize="1054,0" path="m1076,10l2129,10e" filled="false" stroked="true" strokeweight=".48001pt" strokecolor="#000000">
                <v:path arrowok="t"/>
              </v:shape>
            </v:group>
            <v:group style="position:absolute;left:2139;top:10;width:1055;height:2" coordorigin="2139,10" coordsize="1055,2">
              <v:shape style="position:absolute;left:2139;top:10;width:1055;height:2" coordorigin="2139,10" coordsize="1055,0" path="m2139,10l3193,10e" filled="false" stroked="true" strokeweight=".48001pt" strokecolor="#000000">
                <v:path arrowok="t"/>
              </v:shape>
            </v:group>
            <v:group style="position:absolute;left:3203;top:10;width:1054;height:2" coordorigin="3203,10" coordsize="1054,2">
              <v:shape style="position:absolute;left:3203;top:10;width:1054;height:2" coordorigin="3203,10" coordsize="1054,0" path="m3203,10l4256,10e" filled="false" stroked="true" strokeweight=".48001pt" strokecolor="#000000">
                <v:path arrowok="t"/>
              </v:shape>
            </v:group>
            <v:group style="position:absolute;left:4266;top:10;width:1052;height:2" coordorigin="4266,10" coordsize="1052,2">
              <v:shape style="position:absolute;left:4266;top:10;width:1052;height:2" coordorigin="4266,10" coordsize="1052,0" path="m4266,10l5317,10e" filled="false" stroked="true" strokeweight=".48001pt" strokecolor="#000000">
                <v:path arrowok="t"/>
              </v:shape>
            </v:group>
            <v:group style="position:absolute;left:5327;top:10;width:1055;height:2" coordorigin="5327,10" coordsize="1055,2">
              <v:shape style="position:absolute;left:5327;top:10;width:1055;height:2" coordorigin="5327,10" coordsize="1055,0" path="m5327,10l6381,10e" filled="false" stroked="true" strokeweight=".48001pt" strokecolor="#000000">
                <v:path arrowok="t"/>
              </v:shape>
            </v:group>
            <v:group style="position:absolute;left:6390;top:10;width:1054;height:2" coordorigin="6390,10" coordsize="1054,2">
              <v:shape style="position:absolute;left:6390;top:10;width:1054;height:2" coordorigin="6390,10" coordsize="1054,0" path="m6390,10l7444,10e" filled="false" stroked="true" strokeweight=".48001pt" strokecolor="#000000">
                <v:path arrowok="t"/>
              </v:shape>
            </v:group>
            <v:group style="position:absolute;left:7453;top:10;width:1055;height:2" coordorigin="7453,10" coordsize="1055,2">
              <v:shape style="position:absolute;left:7453;top:10;width:1055;height:2" coordorigin="7453,10" coordsize="1055,0" path="m7453,10l8507,10e" filled="false" stroked="true" strokeweight=".48001pt" strokecolor="#000000">
                <v:path arrowok="t"/>
              </v:shape>
            </v:group>
            <v:group style="position:absolute;left:8517;top:10;width:1054;height:2" coordorigin="8517,10" coordsize="1054,2">
              <v:shape style="position:absolute;left:8517;top:10;width:1054;height:2" coordorigin="8517,10" coordsize="1054,0" path="m8517,10l9571,10e" filled="false" stroked="true" strokeweight=".48001pt" strokecolor="#000000">
                <v:path arrowok="t"/>
              </v:shape>
            </v:group>
            <v:group style="position:absolute;left:10;top:725;width:1057;height:2" coordorigin="10,725" coordsize="1057,2">
              <v:shape style="position:absolute;left:10;top:725;width:1057;height:2" coordorigin="10,725" coordsize="1057,0" path="m10,725l1066,725e" filled="false" stroked="true" strokeweight=".48001pt" strokecolor="#000000">
                <v:path arrowok="t"/>
              </v:shape>
            </v:group>
            <v:group style="position:absolute;left:1076;top:725;width:1054;height:2" coordorigin="1076,725" coordsize="1054,2">
              <v:shape style="position:absolute;left:1076;top:725;width:1054;height:2" coordorigin="1076,725" coordsize="1054,0" path="m1076,725l2129,725e" filled="false" stroked="true" strokeweight=".48001pt" strokecolor="#000000">
                <v:path arrowok="t"/>
              </v:shape>
            </v:group>
            <v:group style="position:absolute;left:2139;top:725;width:1055;height:2" coordorigin="2139,725" coordsize="1055,2">
              <v:shape style="position:absolute;left:2139;top:725;width:1055;height:2" coordorigin="2139,725" coordsize="1055,0" path="m2139,725l3193,725e" filled="false" stroked="true" strokeweight=".48001pt" strokecolor="#000000">
                <v:path arrowok="t"/>
              </v:shape>
            </v:group>
            <v:group style="position:absolute;left:3203;top:725;width:1054;height:2" coordorigin="3203,725" coordsize="1054,2">
              <v:shape style="position:absolute;left:3203;top:725;width:1054;height:2" coordorigin="3203,725" coordsize="1054,0" path="m3203,725l4256,725e" filled="false" stroked="true" strokeweight=".48001pt" strokecolor="#000000">
                <v:path arrowok="t"/>
              </v:shape>
            </v:group>
            <v:group style="position:absolute;left:4266;top:725;width:1052;height:2" coordorigin="4266,725" coordsize="1052,2">
              <v:shape style="position:absolute;left:4266;top:725;width:1052;height:2" coordorigin="4266,725" coordsize="1052,0" path="m4266,725l5317,725e" filled="false" stroked="true" strokeweight=".48001pt" strokecolor="#000000">
                <v:path arrowok="t"/>
              </v:shape>
            </v:group>
            <v:group style="position:absolute;left:5327;top:725;width:1055;height:2" coordorigin="5327,725" coordsize="1055,2">
              <v:shape style="position:absolute;left:5327;top:725;width:1055;height:2" coordorigin="5327,725" coordsize="1055,0" path="m5327,725l6381,725e" filled="false" stroked="true" strokeweight=".48001pt" strokecolor="#000000">
                <v:path arrowok="t"/>
              </v:shape>
            </v:group>
            <v:group style="position:absolute;left:6390;top:725;width:1054;height:2" coordorigin="6390,725" coordsize="1054,2">
              <v:shape style="position:absolute;left:6390;top:725;width:1054;height:2" coordorigin="6390,725" coordsize="1054,0" path="m6390,725l7444,725e" filled="false" stroked="true" strokeweight=".48001pt" strokecolor="#000000">
                <v:path arrowok="t"/>
              </v:shape>
            </v:group>
            <v:group style="position:absolute;left:7453;top:725;width:1055;height:2" coordorigin="7453,725" coordsize="1055,2">
              <v:shape style="position:absolute;left:7453;top:725;width:1055;height:2" coordorigin="7453,725" coordsize="1055,0" path="m7453,725l8507,725e" filled="false" stroked="true" strokeweight=".48001pt" strokecolor="#000000">
                <v:path arrowok="t"/>
              </v:shape>
            </v:group>
            <v:group style="position:absolute;left:8517;top:725;width:1054;height:2" coordorigin="8517,725" coordsize="1054,2">
              <v:shape style="position:absolute;left:8517;top:725;width:1054;height:2" coordorigin="8517,725" coordsize="1054,0" path="m8517,725l9571,725e" filled="false" stroked="true" strokeweight=".48001pt" strokecolor="#000000">
                <v:path arrowok="t"/>
              </v:shape>
            </v:group>
            <v:group style="position:absolute;left:2139;top:2690;width:1055;height:468" coordorigin="2139,2690" coordsize="1055,468">
              <v:shape style="position:absolute;left:2139;top:2690;width:1055;height:468" coordorigin="2139,2690" coordsize="1055,468" path="m2139,3158l3193,3158,3193,2690,2139,2690,2139,3158xe" filled="true" fillcolor="#ffffff" stroked="false">
                <v:path arrowok="t"/>
                <v:fill type="solid"/>
              </v:shape>
            </v:group>
            <v:group style="position:absolute;left:10;top:2686;width:1057;height:2" coordorigin="10,2686" coordsize="1057,2">
              <v:shape style="position:absolute;left:10;top:2686;width:1057;height:2" coordorigin="10,2686" coordsize="1057,0" path="m10,2686l1066,2686e" filled="false" stroked="true" strokeweight=".47998pt" strokecolor="#000000">
                <v:path arrowok="t"/>
              </v:shape>
            </v:group>
            <v:group style="position:absolute;left:1076;top:2686;width:1054;height:2" coordorigin="1076,2686" coordsize="1054,2">
              <v:shape style="position:absolute;left:1076;top:2686;width:1054;height:2" coordorigin="1076,2686" coordsize="1054,0" path="m1076,2686l2129,2686e" filled="false" stroked="true" strokeweight=".47998pt" strokecolor="#000000">
                <v:path arrowok="t"/>
              </v:shape>
            </v:group>
            <v:group style="position:absolute;left:2139;top:2686;width:1055;height:2" coordorigin="2139,2686" coordsize="1055,2">
              <v:shape style="position:absolute;left:2139;top:2686;width:1055;height:2" coordorigin="2139,2686" coordsize="1055,0" path="m2139,2686l3193,2686e" filled="false" stroked="true" strokeweight=".47998pt" strokecolor="#000000">
                <v:path arrowok="t"/>
              </v:shape>
            </v:group>
            <v:group style="position:absolute;left:4266;top:2690;width:1054;height:468" coordorigin="4266,2690" coordsize="1054,468">
              <v:shape style="position:absolute;left:4266;top:2690;width:1054;height:468" coordorigin="4266,2690" coordsize="1054,468" path="m4266,3158l5319,3158,5319,2690,4266,2690,4266,3158xe" filled="true" fillcolor="#ffffff" stroked="false">
                <v:path arrowok="t"/>
                <v:fill type="solid"/>
              </v:shape>
            </v:group>
            <v:group style="position:absolute;left:3203;top:2686;width:1054;height:2" coordorigin="3203,2686" coordsize="1054,2">
              <v:shape style="position:absolute;left:3203;top:2686;width:1054;height:2" coordorigin="3203,2686" coordsize="1054,0" path="m3203,2686l4256,2686e" filled="false" stroked="true" strokeweight=".47998pt" strokecolor="#000000">
                <v:path arrowok="t"/>
              </v:shape>
            </v:group>
            <v:group style="position:absolute;left:4266;top:2686;width:1052;height:2" coordorigin="4266,2686" coordsize="1052,2">
              <v:shape style="position:absolute;left:4266;top:2686;width:1052;height:2" coordorigin="4266,2686" coordsize="1052,0" path="m4266,2686l5317,2686e" filled="false" stroked="true" strokeweight=".47998pt" strokecolor="#000000">
                <v:path arrowok="t"/>
              </v:shape>
            </v:group>
            <v:group style="position:absolute;left:5327;top:2686;width:1055;height:2" coordorigin="5327,2686" coordsize="1055,2">
              <v:shape style="position:absolute;left:5327;top:2686;width:1055;height:2" coordorigin="5327,2686" coordsize="1055,0" path="m5327,2686l6381,2686e" filled="false" stroked="true" strokeweight=".47998pt" strokecolor="#000000">
                <v:path arrowok="t"/>
              </v:shape>
            </v:group>
            <v:group style="position:absolute;left:6390;top:2686;width:1054;height:2" coordorigin="6390,2686" coordsize="1054,2">
              <v:shape style="position:absolute;left:6390;top:2686;width:1054;height:2" coordorigin="6390,2686" coordsize="1054,0" path="m6390,2686l7444,2686e" filled="false" stroked="true" strokeweight=".47998pt" strokecolor="#000000">
                <v:path arrowok="t"/>
              </v:shape>
            </v:group>
            <v:group style="position:absolute;left:7453;top:2686;width:1055;height:2" coordorigin="7453,2686" coordsize="1055,2">
              <v:shape style="position:absolute;left:7453;top:2686;width:1055;height:2" coordorigin="7453,2686" coordsize="1055,0" path="m7453,2686l8507,2686e" filled="false" stroked="true" strokeweight=".47998pt" strokecolor="#000000">
                <v:path arrowok="t"/>
              </v:shape>
            </v:group>
            <v:group style="position:absolute;left:8517;top:2686;width:1054;height:2" coordorigin="8517,2686" coordsize="1054,2">
              <v:shape style="position:absolute;left:8517;top:2686;width:1054;height:2" coordorigin="8517,2686" coordsize="1054,0" path="m8517,2686l9571,2686e" filled="false" stroked="true" strokeweight=".47998pt" strokecolor="#000000">
                <v:path arrowok="t"/>
              </v:shape>
            </v:group>
            <v:group style="position:absolute;left:4266;top:4030;width:1054;height:468" coordorigin="4266,4030" coordsize="1054,468">
              <v:shape style="position:absolute;left:4266;top:4030;width:1054;height:468" coordorigin="4266,4030" coordsize="1054,468" path="m4266,4498l5319,4498,5319,4030,4266,4030,4266,4498xe" filled="true" fillcolor="#ffffff" stroked="false">
                <v:path arrowok="t"/>
                <v:fill type="solid"/>
              </v:shape>
            </v:group>
            <v:group style="position:absolute;left:10;top:4025;width:1057;height:2" coordorigin="10,4025" coordsize="1057,2">
              <v:shape style="position:absolute;left:10;top:4025;width:1057;height:2" coordorigin="10,4025" coordsize="1057,0" path="m10,4025l1066,4025e" filled="false" stroked="true" strokeweight=".47998pt" strokecolor="#000000">
                <v:path arrowok="t"/>
              </v:shape>
            </v:group>
            <v:group style="position:absolute;left:1076;top:4025;width:1054;height:2" coordorigin="1076,4025" coordsize="1054,2">
              <v:shape style="position:absolute;left:1076;top:4025;width:1054;height:2" coordorigin="1076,4025" coordsize="1054,0" path="m1076,4025l2129,4025e" filled="false" stroked="true" strokeweight=".47998pt" strokecolor="#000000">
                <v:path arrowok="t"/>
              </v:shape>
            </v:group>
            <v:group style="position:absolute;left:2139;top:4025;width:1055;height:2" coordorigin="2139,4025" coordsize="1055,2">
              <v:shape style="position:absolute;left:2139;top:4025;width:1055;height:2" coordorigin="2139,4025" coordsize="1055,0" path="m2139,4025l3193,4025e" filled="false" stroked="true" strokeweight=".47998pt" strokecolor="#000000">
                <v:path arrowok="t"/>
              </v:shape>
            </v:group>
            <v:group style="position:absolute;left:3203;top:4025;width:1054;height:2" coordorigin="3203,4025" coordsize="1054,2">
              <v:shape style="position:absolute;left:3203;top:4025;width:1054;height:2" coordorigin="3203,4025" coordsize="1054,0" path="m3203,4025l4256,4025e" filled="false" stroked="true" strokeweight=".47998pt" strokecolor="#000000">
                <v:path arrowok="t"/>
              </v:shape>
            </v:group>
            <v:group style="position:absolute;left:4266;top:4025;width:1052;height:2" coordorigin="4266,4025" coordsize="1052,2">
              <v:shape style="position:absolute;left:4266;top:4025;width:1052;height:2" coordorigin="4266,4025" coordsize="1052,0" path="m4266,4025l5317,4025e" filled="false" stroked="true" strokeweight=".47998pt" strokecolor="#000000">
                <v:path arrowok="t"/>
              </v:shape>
            </v:group>
            <v:group style="position:absolute;left:5327;top:4025;width:1055;height:2" coordorigin="5327,4025" coordsize="1055,2">
              <v:shape style="position:absolute;left:5327;top:4025;width:1055;height:2" coordorigin="5327,4025" coordsize="1055,0" path="m5327,4025l6381,4025e" filled="false" stroked="true" strokeweight=".47998pt" strokecolor="#000000">
                <v:path arrowok="t"/>
              </v:shape>
            </v:group>
            <v:group style="position:absolute;left:6390;top:4025;width:1054;height:2" coordorigin="6390,4025" coordsize="1054,2">
              <v:shape style="position:absolute;left:6390;top:4025;width:1054;height:2" coordorigin="6390,4025" coordsize="1054,0" path="m6390,4025l7444,4025e" filled="false" stroked="true" strokeweight=".47998pt" strokecolor="#000000">
                <v:path arrowok="t"/>
              </v:shape>
            </v:group>
            <v:group style="position:absolute;left:7453;top:4025;width:1055;height:2" coordorigin="7453,4025" coordsize="1055,2">
              <v:shape style="position:absolute;left:7453;top:4025;width:1055;height:2" coordorigin="7453,4025" coordsize="1055,0" path="m7453,4025l8507,4025e" filled="false" stroked="true" strokeweight=".47998pt" strokecolor="#000000">
                <v:path arrowok="t"/>
              </v:shape>
            </v:group>
            <v:group style="position:absolute;left:8517;top:4025;width:1054;height:2" coordorigin="8517,4025" coordsize="1054,2">
              <v:shape style="position:absolute;left:8517;top:4025;width:1054;height:2" coordorigin="8517,4025" coordsize="1054,0" path="m8517,4025l9571,4025e" filled="false" stroked="true" strokeweight=".47998pt" strokecolor="#000000">
                <v:path arrowok="t"/>
              </v:shape>
            </v:group>
            <v:group style="position:absolute;left:4278;top:5367;width:2;height:394" coordorigin="4278,5367" coordsize="2,394">
              <v:shape style="position:absolute;left:4278;top:5367;width:2;height:394" coordorigin="4278,5367" coordsize="0,394" path="m4278,5367l4278,5761e" filled="false" stroked="true" strokeweight="1.2pt" strokecolor="#ffffff">
                <v:path arrowok="t"/>
              </v:shape>
            </v:group>
            <v:group style="position:absolute;left:10;top:5362;width:1057;height:2" coordorigin="10,5362" coordsize="1057,2">
              <v:shape style="position:absolute;left:10;top:5362;width:1057;height:2" coordorigin="10,5362" coordsize="1057,0" path="m10,5362l1066,5362e" filled="false" stroked="true" strokeweight=".48004pt" strokecolor="#000000">
                <v:path arrowok="t"/>
              </v:shape>
            </v:group>
            <v:group style="position:absolute;left:1076;top:5362;width:1054;height:2" coordorigin="1076,5362" coordsize="1054,2">
              <v:shape style="position:absolute;left:1076;top:5362;width:1054;height:2" coordorigin="1076,5362" coordsize="1054,0" path="m1076,5362l2129,5362e" filled="false" stroked="true" strokeweight=".48004pt" strokecolor="#000000">
                <v:path arrowok="t"/>
              </v:shape>
            </v:group>
            <v:group style="position:absolute;left:2139;top:5362;width:1055;height:2" coordorigin="2139,5362" coordsize="1055,2">
              <v:shape style="position:absolute;left:2139;top:5362;width:1055;height:2" coordorigin="2139,5362" coordsize="1055,0" path="m2139,5362l3193,5362e" filled="false" stroked="true" strokeweight=".48004pt" strokecolor="#000000">
                <v:path arrowok="t"/>
              </v:shape>
            </v:group>
            <v:group style="position:absolute;left:3203;top:5362;width:1054;height:2" coordorigin="3203,5362" coordsize="1054,2">
              <v:shape style="position:absolute;left:3203;top:5362;width:1054;height:2" coordorigin="3203,5362" coordsize="1054,0" path="m3203,5362l4256,5362e" filled="false" stroked="true" strokeweight=".48004pt" strokecolor="#000000">
                <v:path arrowok="t"/>
              </v:shape>
            </v:group>
            <v:group style="position:absolute;left:4266;top:5362;width:1052;height:2" coordorigin="4266,5362" coordsize="1052,2">
              <v:shape style="position:absolute;left:4266;top:5362;width:1052;height:2" coordorigin="4266,5362" coordsize="1052,0" path="m4266,5362l5317,5362e" filled="false" stroked="true" strokeweight=".48004pt" strokecolor="#000000">
                <v:path arrowok="t"/>
              </v:shape>
            </v:group>
            <v:group style="position:absolute;left:5327;top:5362;width:1055;height:2" coordorigin="5327,5362" coordsize="1055,2">
              <v:shape style="position:absolute;left:5327;top:5362;width:1055;height:2" coordorigin="5327,5362" coordsize="1055,0" path="m5327,5362l6381,5362e" filled="false" stroked="true" strokeweight=".48004pt" strokecolor="#000000">
                <v:path arrowok="t"/>
              </v:shape>
            </v:group>
            <v:group style="position:absolute;left:6390;top:5362;width:1054;height:2" coordorigin="6390,5362" coordsize="1054,2">
              <v:shape style="position:absolute;left:6390;top:5362;width:1054;height:2" coordorigin="6390,5362" coordsize="1054,0" path="m6390,5362l7444,5362e" filled="false" stroked="true" strokeweight=".48004pt" strokecolor="#000000">
                <v:path arrowok="t"/>
              </v:shape>
            </v:group>
            <v:group style="position:absolute;left:7453;top:5362;width:1055;height:2" coordorigin="7453,5362" coordsize="1055,2">
              <v:shape style="position:absolute;left:7453;top:5362;width:1055;height:2" coordorigin="7453,5362" coordsize="1055,0" path="m7453,5362l8507,5362e" filled="false" stroked="true" strokeweight=".48004pt" strokecolor="#000000">
                <v:path arrowok="t"/>
              </v:shape>
            </v:group>
            <v:group style="position:absolute;left:8517;top:5362;width:1054;height:2" coordorigin="8517,5362" coordsize="1054,2">
              <v:shape style="position:absolute;left:8517;top:5362;width:1054;height:2" coordorigin="8517,5362" coordsize="1054,0" path="m8517,5362l9571,5362e" filled="false" stroked="true" strokeweight=".48004pt" strokecolor="#000000">
                <v:path arrowok="t"/>
              </v:shape>
            </v:group>
            <v:group style="position:absolute;left:5;top:5;width:2;height:5766" coordorigin="5,5" coordsize="2,5766">
              <v:shape style="position:absolute;left:5;top:5;width:2;height:5766" coordorigin="5,5" coordsize="0,5766" path="m5,5l5,5770e" filled="false" stroked="true" strokeweight=".48pt" strokecolor="#000000">
                <v:path arrowok="t"/>
              </v:shape>
            </v:group>
            <v:group style="position:absolute;left:10;top:5765;width:1057;height:2" coordorigin="10,5765" coordsize="1057,2">
              <v:shape style="position:absolute;left:10;top:5765;width:1057;height:2" coordorigin="10,5765" coordsize="1057,0" path="m10,5765l1066,5765e" filled="false" stroked="true" strokeweight=".47998pt" strokecolor="#000000">
                <v:path arrowok="t"/>
              </v:shape>
            </v:group>
            <v:group style="position:absolute;left:1071;top:5;width:2;height:5766" coordorigin="1071,5" coordsize="2,5766">
              <v:shape style="position:absolute;left:1071;top:5;width:2;height:5766" coordorigin="1071,5" coordsize="0,5766" path="m1071,5l1071,5770e" filled="false" stroked="true" strokeweight=".48pt" strokecolor="#000000">
                <v:path arrowok="t"/>
              </v:shape>
            </v:group>
            <v:group style="position:absolute;left:1076;top:5765;width:1054;height:2" coordorigin="1076,5765" coordsize="1054,2">
              <v:shape style="position:absolute;left:1076;top:5765;width:1054;height:2" coordorigin="1076,5765" coordsize="1054,0" path="m1076,5765l2129,5765e" filled="false" stroked="true" strokeweight=".47998pt" strokecolor="#000000">
                <v:path arrowok="t"/>
              </v:shape>
            </v:group>
            <v:group style="position:absolute;left:2134;top:5;width:2;height:5766" coordorigin="2134,5" coordsize="2,5766">
              <v:shape style="position:absolute;left:2134;top:5;width:2;height:5766" coordorigin="2134,5" coordsize="0,5766" path="m2134,5l2134,5770e" filled="false" stroked="true" strokeweight=".48pt" strokecolor="#000000">
                <v:path arrowok="t"/>
              </v:shape>
            </v:group>
            <v:group style="position:absolute;left:2139;top:5765;width:1055;height:2" coordorigin="2139,5765" coordsize="1055,2">
              <v:shape style="position:absolute;left:2139;top:5765;width:1055;height:2" coordorigin="2139,5765" coordsize="1055,0" path="m2139,5765l3193,5765e" filled="false" stroked="true" strokeweight=".47998pt" strokecolor="#000000">
                <v:path arrowok="t"/>
              </v:shape>
            </v:group>
            <v:group style="position:absolute;left:3198;top:5;width:2;height:5766" coordorigin="3198,5" coordsize="2,5766">
              <v:shape style="position:absolute;left:3198;top:5;width:2;height:5766" coordorigin="3198,5" coordsize="0,5766" path="m3198,5l3198,5770e" filled="false" stroked="true" strokeweight=".48pt" strokecolor="#000000">
                <v:path arrowok="t"/>
              </v:shape>
            </v:group>
            <v:group style="position:absolute;left:3203;top:5765;width:1054;height:2" coordorigin="3203,5765" coordsize="1054,2">
              <v:shape style="position:absolute;left:3203;top:5765;width:1054;height:2" coordorigin="3203,5765" coordsize="1054,0" path="m3203,5765l4256,5765e" filled="false" stroked="true" strokeweight=".47998pt" strokecolor="#000000">
                <v:path arrowok="t"/>
              </v:shape>
            </v:group>
            <v:group style="position:absolute;left:4261;top:5;width:2;height:5766" coordorigin="4261,5" coordsize="2,5766">
              <v:shape style="position:absolute;left:4261;top:5;width:2;height:5766" coordorigin="4261,5" coordsize="0,5766" path="m4261,5l4261,5770e" filled="false" stroked="true" strokeweight=".47998pt" strokecolor="#000000">
                <v:path arrowok="t"/>
              </v:shape>
            </v:group>
            <v:group style="position:absolute;left:4266;top:5765;width:1052;height:2" coordorigin="4266,5765" coordsize="1052,2">
              <v:shape style="position:absolute;left:4266;top:5765;width:1052;height:2" coordorigin="4266,5765" coordsize="1052,0" path="m4266,5765l5317,5765e" filled="false" stroked="true" strokeweight=".47998pt" strokecolor="#000000">
                <v:path arrowok="t"/>
              </v:shape>
            </v:group>
            <v:group style="position:absolute;left:5322;top:5;width:2;height:5766" coordorigin="5322,5" coordsize="2,5766">
              <v:shape style="position:absolute;left:5322;top:5;width:2;height:5766" coordorigin="5322,5" coordsize="0,5766" path="m5322,5l5322,5770e" filled="false" stroked="true" strokeweight=".47998pt" strokecolor="#000000">
                <v:path arrowok="t"/>
              </v:shape>
            </v:group>
            <v:group style="position:absolute;left:5327;top:5765;width:1055;height:2" coordorigin="5327,5765" coordsize="1055,2">
              <v:shape style="position:absolute;left:5327;top:5765;width:1055;height:2" coordorigin="5327,5765" coordsize="1055,0" path="m5327,5765l6381,5765e" filled="false" stroked="true" strokeweight=".47998pt" strokecolor="#000000">
                <v:path arrowok="t"/>
              </v:shape>
            </v:group>
            <v:group style="position:absolute;left:6385;top:5;width:2;height:5766" coordorigin="6385,5" coordsize="2,5766">
              <v:shape style="position:absolute;left:6385;top:5;width:2;height:5766" coordorigin="6385,5" coordsize="0,5766" path="m6385,5l6385,5770e" filled="false" stroked="true" strokeweight=".48001pt" strokecolor="#000000">
                <v:path arrowok="t"/>
              </v:shape>
            </v:group>
            <v:group style="position:absolute;left:6390;top:5765;width:1054;height:2" coordorigin="6390,5765" coordsize="1054,2">
              <v:shape style="position:absolute;left:6390;top:5765;width:1054;height:2" coordorigin="6390,5765" coordsize="1054,0" path="m6390,5765l7444,5765e" filled="false" stroked="true" strokeweight=".47998pt" strokecolor="#000000">
                <v:path arrowok="t"/>
              </v:shape>
            </v:group>
            <v:group style="position:absolute;left:7449;top:5;width:2;height:5766" coordorigin="7449,5" coordsize="2,5766">
              <v:shape style="position:absolute;left:7449;top:5;width:2;height:5766" coordorigin="7449,5" coordsize="0,5766" path="m7449,5l7449,5770e" filled="false" stroked="true" strokeweight=".47998pt" strokecolor="#000000">
                <v:path arrowok="t"/>
              </v:shape>
            </v:group>
            <v:group style="position:absolute;left:7453;top:5765;width:1055;height:2" coordorigin="7453,5765" coordsize="1055,2">
              <v:shape style="position:absolute;left:7453;top:5765;width:1055;height:2" coordorigin="7453,5765" coordsize="1055,0" path="m7453,5765l8507,5765e" filled="false" stroked="true" strokeweight=".47998pt" strokecolor="#000000">
                <v:path arrowok="t"/>
              </v:shape>
            </v:group>
            <v:group style="position:absolute;left:8512;top:5;width:2;height:5766" coordorigin="8512,5" coordsize="2,5766">
              <v:shape style="position:absolute;left:8512;top:5;width:2;height:5766" coordorigin="8512,5" coordsize="0,5766" path="m8512,5l8512,5770e" filled="false" stroked="true" strokeweight=".48001pt" strokecolor="#000000">
                <v:path arrowok="t"/>
              </v:shape>
            </v:group>
            <v:group style="position:absolute;left:8517;top:5765;width:1054;height:2" coordorigin="8517,5765" coordsize="1054,2">
              <v:shape style="position:absolute;left:8517;top:5765;width:1054;height:2" coordorigin="8517,5765" coordsize="1054,0" path="m8517,5765l9571,5765e" filled="false" stroked="true" strokeweight=".47998pt" strokecolor="#000000">
                <v:path arrowok="t"/>
              </v:shape>
            </v:group>
            <v:group style="position:absolute;left:9576;top:5;width:2;height:5766" coordorigin="9576,5" coordsize="2,5766">
              <v:shape style="position:absolute;left:9576;top:5;width:2;height:5766" coordorigin="9576,5" coordsize="0,5766" path="m9576,5l9576,5770e" filled="false" stroked="true" strokeweight=".47998pt" strokecolor="#000000">
                <v:path arrowok="t"/>
              </v:shape>
              <v:shape style="position:absolute;left:178;top:119;width:6129;height:492" type="#_x0000_t202" filled="false" stroked="false">
                <v:textbox inset="0,0,0,0">
                  <w:txbxContent>
                    <w:p>
                      <w:pPr>
                        <w:spacing w:line="14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补贴是否影</w:t>
                      </w:r>
                      <w:r>
                        <w:rPr>
                          <w:rFonts w:ascii="宋体" w:hAnsi="宋体" w:cs="宋体" w:eastAsia="宋体" w:hint="default"/>
                          <w:spacing w:val="73"/>
                          <w:sz w:val="18"/>
                          <w:szCs w:val="18"/>
                        </w:rPr>
                        <w:t> </w:t>
                      </w:r>
                      <w:r>
                        <w:rPr>
                          <w:rFonts w:ascii="宋体" w:hAnsi="宋体" w:cs="宋体" w:eastAsia="宋体" w:hint="default"/>
                          <w:sz w:val="18"/>
                          <w:szCs w:val="18"/>
                        </w:rPr>
                        <w:t>是否特殊补</w:t>
                      </w:r>
                    </w:p>
                    <w:p>
                      <w:pPr>
                        <w:tabs>
                          <w:tab w:pos="1065" w:val="left" w:leader="none"/>
                          <w:tab w:pos="2129" w:val="left" w:leader="none"/>
                          <w:tab w:pos="3192" w:val="left" w:leader="none"/>
                        </w:tabs>
                        <w:spacing w:line="15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补助项目</w:t>
                        <w:tab/>
                        <w:t>发放主体</w:t>
                        <w:tab/>
                        <w:t>发放原因</w:t>
                        <w:tab/>
                        <w:t>性质类型</w:t>
                      </w:r>
                    </w:p>
                    <w:p>
                      <w:pPr>
                        <w:tabs>
                          <w:tab w:pos="1423" w:val="left" w:leader="none"/>
                        </w:tabs>
                        <w:spacing w:line="196" w:lineRule="exact" w:before="0"/>
                        <w:ind w:left="0" w:right="357" w:firstLine="0"/>
                        <w:jc w:val="right"/>
                        <w:rPr>
                          <w:rFonts w:ascii="宋体" w:hAnsi="宋体" w:cs="宋体" w:eastAsia="宋体" w:hint="default"/>
                          <w:sz w:val="18"/>
                          <w:szCs w:val="18"/>
                        </w:rPr>
                      </w:pPr>
                      <w:r>
                        <w:rPr>
                          <w:rFonts w:ascii="宋体" w:hAnsi="宋体" w:cs="宋体" w:eastAsia="宋体" w:hint="default"/>
                          <w:sz w:val="18"/>
                          <w:szCs w:val="18"/>
                        </w:rPr>
                        <w:t>响当年盈亏</w:t>
                        <w:tab/>
                        <w:t>贴</w:t>
                      </w:r>
                    </w:p>
                  </w:txbxContent>
                </v:textbox>
                <w10:wrap type="none"/>
              </v:shape>
              <v:shape style="position:absolute;left:6467;top:119;width:900;height:492"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本期发生金</w:t>
                      </w:r>
                    </w:p>
                    <w:p>
                      <w:pPr>
                        <w:spacing w:before="76"/>
                        <w:ind w:left="0" w:right="0" w:firstLine="0"/>
                        <w:jc w:val="center"/>
                        <w:rPr>
                          <w:rFonts w:ascii="宋体" w:hAnsi="宋体" w:cs="宋体" w:eastAsia="宋体" w:hint="default"/>
                          <w:sz w:val="18"/>
                          <w:szCs w:val="18"/>
                        </w:rPr>
                      </w:pPr>
                      <w:r>
                        <w:rPr>
                          <w:rFonts w:ascii="宋体" w:hAnsi="宋体" w:cs="宋体" w:eastAsia="宋体" w:hint="default"/>
                          <w:sz w:val="18"/>
                          <w:szCs w:val="18"/>
                        </w:rPr>
                        <w:t>额</w:t>
                      </w:r>
                    </w:p>
                  </w:txbxContent>
                </v:textbox>
                <w10:wrap type="none"/>
              </v:shape>
              <v:shape style="position:absolute;left:7530;top:119;width:1990;height:190" type="#_x0000_t202" filled="false" stroked="false">
                <v:textbox inset="0,0,0,0">
                  <w:txbxContent>
                    <w:p>
                      <w:pPr>
                        <w:spacing w:line="19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上期发生金</w:t>
                      </w:r>
                      <w:r>
                        <w:rPr>
                          <w:rFonts w:ascii="宋体" w:hAnsi="宋体" w:cs="宋体" w:eastAsia="宋体" w:hint="default"/>
                          <w:spacing w:val="49"/>
                          <w:sz w:val="18"/>
                          <w:szCs w:val="18"/>
                        </w:rPr>
                        <w:t> </w:t>
                      </w: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p>
                  </w:txbxContent>
                </v:textbox>
                <w10:wrap type="none"/>
              </v:shape>
              <v:shape style="position:absolute;left:7890;top:43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额</w:t>
                      </w:r>
                    </w:p>
                  </w:txbxContent>
                </v:textbox>
                <w10:wrap type="none"/>
              </v:shape>
              <v:shape style="position:absolute;left:8594;top:431;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34;top:834;width:1966;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北海市高新</w:t>
                      </w:r>
                    </w:p>
                    <w:p>
                      <w:pPr>
                        <w:spacing w:line="310" w:lineRule="atLeast" w:before="2"/>
                        <w:ind w:left="0" w:right="0" w:firstLine="0"/>
                        <w:jc w:val="left"/>
                        <w:rPr>
                          <w:rFonts w:ascii="宋体" w:hAnsi="宋体" w:cs="宋体" w:eastAsia="宋体" w:hint="default"/>
                          <w:sz w:val="18"/>
                          <w:szCs w:val="18"/>
                        </w:rPr>
                      </w:pPr>
                      <w:r>
                        <w:rPr>
                          <w:rFonts w:ascii="宋体" w:hAnsi="宋体" w:cs="宋体" w:eastAsia="宋体" w:hint="default"/>
                          <w:sz w:val="18"/>
                          <w:szCs w:val="18"/>
                        </w:rPr>
                        <w:t>技术产业开</w:t>
                      </w:r>
                      <w:r>
                        <w:rPr>
                          <w:rFonts w:ascii="宋体" w:hAnsi="宋体" w:cs="宋体" w:eastAsia="宋体" w:hint="default"/>
                          <w:spacing w:val="76"/>
                          <w:sz w:val="18"/>
                          <w:szCs w:val="18"/>
                        </w:rPr>
                        <w:t> </w:t>
                      </w:r>
                      <w:r>
                        <w:rPr>
                          <w:rFonts w:ascii="宋体" w:hAnsi="宋体" w:cs="宋体" w:eastAsia="宋体" w:hint="default"/>
                          <w:sz w:val="18"/>
                          <w:szCs w:val="18"/>
                        </w:rPr>
                        <w:t>北海市高新</w:t>
                      </w:r>
                      <w:r>
                        <w:rPr>
                          <w:rFonts w:ascii="宋体" w:hAnsi="宋体" w:cs="宋体" w:eastAsia="宋体" w:hint="default"/>
                          <w:sz w:val="18"/>
                          <w:szCs w:val="18"/>
                        </w:rPr>
                        <w:t> 发区管理委</w:t>
                      </w:r>
                      <w:r>
                        <w:rPr>
                          <w:rFonts w:ascii="宋体" w:hAnsi="宋体" w:cs="宋体" w:eastAsia="宋体" w:hint="default"/>
                          <w:spacing w:val="76"/>
                          <w:sz w:val="18"/>
                          <w:szCs w:val="18"/>
                        </w:rPr>
                        <w:t> </w:t>
                      </w:r>
                      <w:r>
                        <w:rPr>
                          <w:rFonts w:ascii="宋体" w:hAnsi="宋体" w:cs="宋体" w:eastAsia="宋体" w:hint="default"/>
                          <w:sz w:val="18"/>
                          <w:szCs w:val="18"/>
                        </w:rPr>
                        <w:t>技术产业开</w:t>
                      </w:r>
                    </w:p>
                  </w:txbxContent>
                </v:textbox>
                <w10:wrap type="none"/>
              </v:shape>
              <v:shape style="position:absolute;left:2163;top:1614;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3227;top:990;width:1244;height:142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因符合地方</w:t>
                      </w:r>
                    </w:p>
                    <w:p>
                      <w:pPr>
                        <w:spacing w:line="310" w:lineRule="atLeast" w:before="2"/>
                        <w:ind w:left="0" w:right="0" w:firstLine="0"/>
                        <w:jc w:val="left"/>
                        <w:rPr>
                          <w:rFonts w:ascii="宋体" w:hAnsi="宋体" w:cs="宋体" w:eastAsia="宋体" w:hint="default"/>
                          <w:sz w:val="18"/>
                          <w:szCs w:val="18"/>
                        </w:rPr>
                      </w:pPr>
                      <w:r>
                        <w:rPr>
                          <w:rFonts w:ascii="宋体" w:hAnsi="宋体" w:cs="宋体" w:eastAsia="宋体" w:hint="default"/>
                          <w:sz w:val="18"/>
                          <w:szCs w:val="18"/>
                        </w:rPr>
                        <w:t>政府招商引 资等地方性</w:t>
                      </w:r>
                      <w:r>
                        <w:rPr>
                          <w:rFonts w:ascii="宋体" w:hAnsi="宋体" w:cs="宋体" w:eastAsia="宋体" w:hint="default"/>
                          <w:spacing w:val="73"/>
                          <w:sz w:val="18"/>
                          <w:szCs w:val="18"/>
                        </w:rPr>
                        <w:t> </w:t>
                      </w:r>
                      <w:r>
                        <w:rPr>
                          <w:rFonts w:ascii="宋体" w:hAnsi="宋体" w:cs="宋体" w:eastAsia="宋体" w:hint="default"/>
                          <w:sz w:val="18"/>
                          <w:szCs w:val="18"/>
                        </w:rPr>
                        <w:t>是</w:t>
                      </w:r>
                      <w:r>
                        <w:rPr>
                          <w:rFonts w:ascii="宋体" w:hAnsi="宋体" w:cs="宋体" w:eastAsia="宋体" w:hint="default"/>
                          <w:sz w:val="18"/>
                          <w:szCs w:val="18"/>
                        </w:rPr>
                        <w:t> 扶持政策而 获得的补助</w:t>
                      </w:r>
                    </w:p>
                  </w:txbxContent>
                </v:textbox>
                <w10:wrap type="none"/>
              </v:shape>
              <v:shape style="position:absolute;left:5353;top:1614;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611;top:1614;width:2831;height:190" type="#_x0000_t202" filled="false" stroked="false">
                <v:textbox inset="0,0,0,0">
                  <w:txbxContent>
                    <w:p>
                      <w:pPr>
                        <w:tabs>
                          <w:tab w:pos="1063" w:val="left" w:leader="none"/>
                        </w:tabs>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250,000.00</w:t>
                        <w:tab/>
                        <w:t>250,000.00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与收益相关</w:t>
                      </w:r>
                    </w:p>
                  </w:txbxContent>
                </v:textbox>
                <w10:wrap type="none"/>
              </v:shape>
              <v:shape style="position:absolute;left:34;top:1770;width:1966;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员会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宋体" w:hAnsi="宋体" w:cs="宋体" w:eastAsia="宋体" w:hint="default"/>
                          <w:sz w:val="18"/>
                          <w:szCs w:val="18"/>
                        </w:rPr>
                        <w:t>发区管理委</w:t>
                      </w:r>
                    </w:p>
                  </w:txbxContent>
                </v:textbox>
                <w10:wrap type="none"/>
              </v:shape>
              <v:shape style="position:absolute;left:34;top:2082;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物流扶持资</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金</w:t>
                      </w:r>
                    </w:p>
                  </w:txbxContent>
                </v:textbox>
                <w10:wrap type="none"/>
              </v:shape>
              <v:shape style="position:absolute;left:1100;top:208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员</w:t>
                      </w:r>
                    </w:p>
                  </w:txbxContent>
                </v:textbox>
                <w10:wrap type="none"/>
              </v:shape>
              <v:shape style="position:absolute;left:1100;top:2951;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中国（南京）</w:t>
                      </w:r>
                    </w:p>
                  </w:txbxContent>
                </v:textbox>
                <w10:wrap type="none"/>
              </v:shape>
              <v:shape style="position:absolute;left:34;top:3107;width:949;height:492" type="#_x0000_t202" filled="false" stroked="false">
                <v:textbox inset="0,0,0,0">
                  <w:txbxContent>
                    <w:p>
                      <w:pPr>
                        <w:spacing w:line="194"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高企培</w:t>
                      </w:r>
                    </w:p>
                    <w:p>
                      <w:pPr>
                        <w:spacing w:before="63"/>
                        <w:ind w:left="0" w:right="0" w:firstLine="0"/>
                        <w:jc w:val="left"/>
                        <w:rPr>
                          <w:rFonts w:ascii="宋体" w:hAnsi="宋体" w:cs="宋体" w:eastAsia="宋体" w:hint="default"/>
                          <w:sz w:val="18"/>
                          <w:szCs w:val="18"/>
                        </w:rPr>
                      </w:pPr>
                      <w:r>
                        <w:rPr>
                          <w:rFonts w:ascii="宋体" w:hAnsi="宋体" w:cs="宋体" w:eastAsia="宋体" w:hint="default"/>
                          <w:sz w:val="18"/>
                          <w:szCs w:val="18"/>
                        </w:rPr>
                        <w:t>育奖励</w:t>
                      </w:r>
                    </w:p>
                  </w:txbxContent>
                </v:textbox>
                <w10:wrap type="none"/>
              </v:shape>
              <v:shape style="position:absolute;left:3227;top:2795;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1100;top:3263;width:900;height:493"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软件谷管理</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委员会</w:t>
                      </w:r>
                    </w:p>
                  </w:txbxContent>
                </v:textbox>
                <w10:wrap type="none"/>
              </v:shape>
              <v:shape style="position:absolute;left:2163;top:326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奖励</w:t>
                      </w:r>
                    </w:p>
                  </w:txbxContent>
                </v:textbox>
                <w10:wrap type="none"/>
              </v:shape>
              <v:shape style="position:absolute;left:4290;top:326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5353;top:326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611;top:3273;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200,000.00</w:t>
                      </w:r>
                    </w:p>
                  </w:txbxContent>
                </v:textbox>
                <w10:wrap type="none"/>
              </v:shape>
              <v:shape style="position:absolute;left:8171;top:3263;width:1271;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与收益相关</w:t>
                      </w:r>
                    </w:p>
                  </w:txbxContent>
                </v:textbox>
                <w10:wrap type="none"/>
              </v:shape>
              <v:shape style="position:absolute;left:3227;top:3419;width:900;height:493"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4;top:4291;width:949;height:804" type="#_x0000_t202" filled="false" stroked="false">
                <v:textbox inset="0,0,0,0">
                  <w:txbxContent>
                    <w:p>
                      <w:pPr>
                        <w:spacing w:line="194"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年度科</w:t>
                      </w:r>
                    </w:p>
                    <w:p>
                      <w:pPr>
                        <w:spacing w:line="312" w:lineRule="exact" w:before="23"/>
                        <w:ind w:left="0" w:right="46" w:firstLine="0"/>
                        <w:jc w:val="left"/>
                        <w:rPr>
                          <w:rFonts w:ascii="宋体" w:hAnsi="宋体" w:cs="宋体" w:eastAsia="宋体" w:hint="default"/>
                          <w:sz w:val="18"/>
                          <w:szCs w:val="18"/>
                        </w:rPr>
                      </w:pPr>
                      <w:r>
                        <w:rPr>
                          <w:rFonts w:ascii="宋体" w:hAnsi="宋体" w:cs="宋体" w:eastAsia="宋体" w:hint="default"/>
                          <w:sz w:val="18"/>
                          <w:szCs w:val="18"/>
                        </w:rPr>
                        <w:t>技创新奖励 经费</w:t>
                      </w:r>
                    </w:p>
                  </w:txbxContent>
                </v:textbox>
                <w10:wrap type="none"/>
              </v:shape>
              <v:shape style="position:absolute;left:1100;top:4447;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杭州市滨江</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区财政局</w:t>
                      </w:r>
                    </w:p>
                  </w:txbxContent>
                </v:textbox>
                <w10:wrap type="none"/>
              </v:shape>
              <v:shape style="position:absolute;left:3227;top:4135;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2163;top:460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奖励</w:t>
                      </w:r>
                    </w:p>
                  </w:txbxContent>
                </v:textbox>
                <w10:wrap type="none"/>
              </v:shape>
              <v:shape style="position:absolute;left:4290;top:460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5353;top:460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611;top:4613;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200,000.00</w:t>
                      </w:r>
                    </w:p>
                  </w:txbxContent>
                </v:textbox>
                <w10:wrap type="none"/>
              </v:shape>
              <v:shape style="position:absolute;left:8171;top:4603;width:1271;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与收益相关</w:t>
                      </w:r>
                    </w:p>
                  </w:txbxContent>
                </v:textbox>
                <w10:wrap type="none"/>
              </v:shape>
              <v:shape style="position:absolute;left:3227;top:4759;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4;top:5471;width:2490;height:202" type="#_x0000_t202" filled="false" stroked="false">
                <v:textbox inset="0,0,0,0">
                  <w:txbxContent>
                    <w:p>
                      <w:pPr>
                        <w:spacing w:line="20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石基信用卡  北海市科技</w:t>
                      </w:r>
                      <w:r>
                        <w:rPr>
                          <w:rFonts w:ascii="宋体" w:hAnsi="宋体" w:cs="宋体" w:eastAsia="宋体" w:hint="default"/>
                          <w:spacing w:val="59"/>
                          <w:sz w:val="18"/>
                          <w:szCs w:val="18"/>
                        </w:rPr>
                        <w:t> </w:t>
                      </w:r>
                      <w:r>
                        <w:rPr>
                          <w:rFonts w:ascii="宋体" w:hAnsi="宋体" w:cs="宋体" w:eastAsia="宋体" w:hint="default"/>
                          <w:position w:val="2"/>
                          <w:sz w:val="18"/>
                          <w:szCs w:val="18"/>
                        </w:rPr>
                        <w:t>补助</w:t>
                      </w:r>
                      <w:r>
                        <w:rPr>
                          <w:rFonts w:ascii="宋体" w:hAnsi="宋体" w:cs="宋体" w:eastAsia="宋体" w:hint="default"/>
                          <w:sz w:val="18"/>
                          <w:szCs w:val="18"/>
                        </w:rPr>
                      </w:r>
                    </w:p>
                  </w:txbxContent>
                </v:textbox>
                <w10:wrap type="none"/>
              </v:shape>
              <v:shape style="position:absolute;left:3227;top:5471;width:1244;height:202" type="#_x0000_t202" filled="false" stroked="false">
                <v:textbox inset="0,0,0,0">
                  <w:txbxContent>
                    <w:p>
                      <w:pPr>
                        <w:spacing w:line="20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因研究开发、</w:t>
                      </w:r>
                      <w:r>
                        <w:rPr>
                          <w:rFonts w:ascii="宋体" w:hAnsi="宋体" w:cs="宋体" w:eastAsia="宋体" w:hint="default"/>
                          <w:spacing w:val="-3"/>
                          <w:position w:val="2"/>
                          <w:sz w:val="18"/>
                          <w:szCs w:val="18"/>
                        </w:rPr>
                        <w:t>是</w:t>
                      </w:r>
                      <w:r>
                        <w:rPr>
                          <w:rFonts w:ascii="宋体" w:hAnsi="宋体" w:cs="宋体" w:eastAsia="宋体" w:hint="default"/>
                          <w:spacing w:val="-3"/>
                          <w:sz w:val="18"/>
                          <w:szCs w:val="18"/>
                        </w:rPr>
                      </w:r>
                    </w:p>
                  </w:txbxContent>
                </v:textbox>
                <w10:wrap type="none"/>
              </v:shape>
              <v:shape style="position:absolute;left:5353;top:547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611;top:5481;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120,000.00</w:t>
                      </w:r>
                    </w:p>
                  </w:txbxContent>
                </v:textbox>
                <w10:wrap type="none"/>
              </v:shape>
              <v:shape style="position:absolute;left:8171;top:5471;width:1271;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与收益相关</w:t>
                      </w:r>
                    </w:p>
                  </w:txbxContent>
                </v:textbox>
                <w10:wrap type="none"/>
              </v:shape>
            </v:group>
          </v:group>
        </w:pict>
      </w:r>
      <w:r>
        <w:rPr>
          <w:rFonts w:ascii="宋体" w:hAnsi="宋体" w:cs="宋体" w:eastAsia="宋体" w:hint="default"/>
          <w:position w:val="-114"/>
          <w:sz w:val="20"/>
          <w:szCs w:val="20"/>
        </w:rPr>
      </w:r>
    </w:p>
    <w:p>
      <w:pPr>
        <w:spacing w:after="0" w:line="5774" w:lineRule="exact"/>
        <w:rPr>
          <w:rFonts w:ascii="宋体" w:hAnsi="宋体" w:cs="宋体" w:eastAsia="宋体" w:hint="default"/>
          <w:sz w:val="20"/>
          <w:szCs w:val="20"/>
        </w:rPr>
        <w:sectPr>
          <w:pgSz w:w="11910" w:h="16840"/>
          <w:pgMar w:header="877" w:footer="980" w:top="1100" w:bottom="1160" w:left="980" w:right="0"/>
        </w:sectPr>
      </w:pP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spacing w:line="319" w:lineRule="auto" w:before="44"/>
        <w:ind w:left="181" w:right="-20" w:firstLine="0"/>
        <w:jc w:val="left"/>
        <w:rPr>
          <w:rFonts w:ascii="宋体" w:hAnsi="宋体" w:cs="宋体" w:eastAsia="宋体" w:hint="default"/>
          <w:sz w:val="18"/>
          <w:szCs w:val="18"/>
        </w:rPr>
      </w:pPr>
      <w:r>
        <w:rPr>
          <w:rFonts w:ascii="宋体" w:hAnsi="宋体" w:cs="宋体" w:eastAsia="宋体" w:hint="default"/>
          <w:sz w:val="18"/>
          <w:szCs w:val="18"/>
        </w:rPr>
        <w:t>收单系统研 发补助</w:t>
      </w:r>
    </w:p>
    <w:p>
      <w:pPr>
        <w:tabs>
          <w:tab w:pos="2252" w:val="left" w:leader="none"/>
        </w:tabs>
        <w:spacing w:line="319" w:lineRule="auto" w:before="44"/>
        <w:ind w:left="2252" w:right="6649" w:hanging="2127"/>
        <w:jc w:val="both"/>
        <w:rPr>
          <w:rFonts w:ascii="宋体" w:hAnsi="宋体" w:cs="宋体" w:eastAsia="宋体" w:hint="default"/>
          <w:sz w:val="18"/>
          <w:szCs w:val="18"/>
        </w:rPr>
      </w:pPr>
      <w:r>
        <w:rPr/>
        <w:br w:type="column"/>
      </w:r>
      <w:r>
        <w:rPr>
          <w:rFonts w:ascii="宋体" w:hAnsi="宋体" w:cs="宋体" w:eastAsia="宋体" w:hint="default"/>
          <w:sz w:val="18"/>
          <w:szCs w:val="18"/>
        </w:rPr>
        <w:t>局、财政局</w:t>
        <w:tab/>
        <w:t>技术更新及 改造等获得 的补助</w:t>
      </w:r>
    </w:p>
    <w:p>
      <w:pPr>
        <w:spacing w:after="0" w:line="319" w:lineRule="auto"/>
        <w:jc w:val="both"/>
        <w:rPr>
          <w:rFonts w:ascii="宋体" w:hAnsi="宋体" w:cs="宋体" w:eastAsia="宋体" w:hint="default"/>
          <w:sz w:val="18"/>
          <w:szCs w:val="18"/>
        </w:rPr>
        <w:sectPr>
          <w:type w:val="continuous"/>
          <w:pgSz w:w="11910" w:h="16840"/>
          <w:pgMar w:top="1060" w:bottom="1160" w:left="980" w:right="0"/>
          <w:cols w:num="2" w:equalWidth="0">
            <w:col w:w="1082" w:space="40"/>
            <w:col w:w="9808"/>
          </w:cols>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spacing w:line="309" w:lineRule="auto" w:before="0"/>
        <w:ind w:left="181"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年度高 新技术企业 认定补贴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26"/>
          <w:szCs w:val="26"/>
        </w:rPr>
      </w:pPr>
    </w:p>
    <w:p>
      <w:pPr>
        <w:spacing w:line="196" w:lineRule="exact" w:before="0"/>
        <w:ind w:left="77" w:right="-20" w:firstLine="0"/>
        <w:jc w:val="left"/>
        <w:rPr>
          <w:rFonts w:ascii="宋体" w:hAnsi="宋体" w:cs="宋体" w:eastAsia="宋体" w:hint="default"/>
          <w:sz w:val="18"/>
          <w:szCs w:val="18"/>
        </w:rPr>
      </w:pPr>
      <w:r>
        <w:rPr>
          <w:rFonts w:ascii="宋体" w:hAnsi="宋体" w:cs="宋体" w:eastAsia="宋体" w:hint="default"/>
          <w:sz w:val="18"/>
          <w:szCs w:val="18"/>
        </w:rPr>
        <w:t>广州市天河</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6" w:lineRule="exact" w:before="0"/>
        <w:ind w:left="77" w:right="-20" w:firstLine="0"/>
        <w:jc w:val="left"/>
        <w:rPr>
          <w:rFonts w:ascii="宋体" w:hAnsi="宋体" w:cs="宋体" w:eastAsia="宋体" w:hint="default"/>
          <w:sz w:val="18"/>
          <w:szCs w:val="18"/>
        </w:rPr>
      </w:pPr>
      <w:r>
        <w:rPr>
          <w:rFonts w:ascii="宋体" w:hAnsi="宋体" w:cs="宋体" w:eastAsia="宋体" w:hint="default"/>
          <w:sz w:val="18"/>
          <w:szCs w:val="18"/>
        </w:rPr>
        <w:t>区财政局</w:t>
      </w:r>
    </w:p>
    <w:p>
      <w:pPr>
        <w:spacing w:line="316" w:lineRule="auto" w:before="108"/>
        <w:ind w:left="181"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tabs>
          <w:tab w:pos="1186" w:val="left" w:leader="none"/>
          <w:tab w:pos="2444" w:val="left" w:leader="none"/>
          <w:tab w:pos="4004" w:val="left" w:leader="none"/>
        </w:tabs>
        <w:spacing w:before="0"/>
        <w:ind w:left="123"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120,000.00</w:t>
        <w:tab/>
        <w:t>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1060" w:bottom="1160" w:left="980" w:right="0"/>
          <w:cols w:num="4" w:equalWidth="0">
            <w:col w:w="1131" w:space="40"/>
            <w:col w:w="1501" w:space="522"/>
            <w:col w:w="1082" w:space="40"/>
            <w:col w:w="6614"/>
          </w:cols>
        </w:sect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spacing w:line="212" w:lineRule="exact"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政府产业奖</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4"/>
          <w:szCs w:val="14"/>
        </w:rPr>
      </w:pPr>
    </w:p>
    <w:p>
      <w:pPr>
        <w:spacing w:before="0"/>
        <w:ind w:left="125" w:right="-19" w:firstLine="0"/>
        <w:jc w:val="left"/>
        <w:rPr>
          <w:rFonts w:ascii="宋体" w:hAnsi="宋体" w:cs="宋体" w:eastAsia="宋体" w:hint="default"/>
          <w:sz w:val="18"/>
          <w:szCs w:val="18"/>
        </w:rPr>
      </w:pPr>
      <w:r>
        <w:rPr>
          <w:rFonts w:ascii="宋体" w:hAnsi="宋体" w:cs="宋体" w:eastAsia="宋体" w:hint="default"/>
          <w:sz w:val="18"/>
          <w:szCs w:val="18"/>
        </w:rPr>
        <w:t>中国（南京）</w:t>
      </w:r>
    </w:p>
    <w:p>
      <w:pPr>
        <w:spacing w:line="316" w:lineRule="auto" w:before="107"/>
        <w:ind w:left="181" w:right="663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因符合地方 政府招商引</w:t>
      </w:r>
    </w:p>
    <w:p>
      <w:pPr>
        <w:spacing w:after="0" w:line="316" w:lineRule="auto"/>
        <w:jc w:val="left"/>
        <w:rPr>
          <w:rFonts w:ascii="宋体" w:hAnsi="宋体" w:cs="宋体" w:eastAsia="宋体" w:hint="default"/>
          <w:sz w:val="18"/>
          <w:szCs w:val="18"/>
        </w:rPr>
        <w:sectPr>
          <w:type w:val="continuous"/>
          <w:pgSz w:w="11910" w:h="16840"/>
          <w:pgMar w:top="1060" w:bottom="1160" w:left="980" w:right="0"/>
          <w:cols w:num="3" w:equalWidth="0">
            <w:col w:w="1082" w:space="40"/>
            <w:col w:w="1207" w:space="865"/>
            <w:col w:w="7736"/>
          </w:cols>
        </w:sectPr>
      </w:pPr>
    </w:p>
    <w:p>
      <w:pPr>
        <w:spacing w:line="140" w:lineRule="exact" w:before="0"/>
        <w:ind w:left="1247" w:right="-20" w:firstLine="0"/>
        <w:jc w:val="left"/>
        <w:rPr>
          <w:rFonts w:ascii="宋体" w:hAnsi="宋体" w:cs="宋体" w:eastAsia="宋体" w:hint="default"/>
          <w:sz w:val="18"/>
          <w:szCs w:val="18"/>
        </w:rPr>
      </w:pPr>
      <w:r>
        <w:rPr>
          <w:rFonts w:ascii="宋体" w:hAnsi="宋体" w:cs="宋体" w:eastAsia="宋体" w:hint="default"/>
          <w:sz w:val="18"/>
          <w:szCs w:val="18"/>
        </w:rPr>
        <w:t>软件谷管委</w:t>
      </w:r>
      <w:r>
        <w:rPr>
          <w:rFonts w:ascii="宋体" w:hAnsi="宋体" w:cs="宋体" w:eastAsia="宋体" w:hint="default"/>
          <w:spacing w:val="73"/>
          <w:sz w:val="18"/>
          <w:szCs w:val="18"/>
        </w:rPr>
        <w:t> </w:t>
      </w:r>
      <w:r>
        <w:rPr>
          <w:rFonts w:ascii="宋体" w:hAnsi="宋体" w:cs="宋体" w:eastAsia="宋体" w:hint="default"/>
          <w:sz w:val="18"/>
          <w:szCs w:val="18"/>
        </w:rPr>
        <w:t>奖励</w:t>
      </w:r>
    </w:p>
    <w:p>
      <w:pPr>
        <w:spacing w:line="156" w:lineRule="exact"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励</w:t>
      </w:r>
    </w:p>
    <w:p>
      <w:pPr>
        <w:spacing w:line="196" w:lineRule="exact" w:before="0"/>
        <w:ind w:left="1227" w:right="1223" w:firstLine="0"/>
        <w:jc w:val="center"/>
        <w:rPr>
          <w:rFonts w:ascii="宋体" w:hAnsi="宋体" w:cs="宋体" w:eastAsia="宋体" w:hint="default"/>
          <w:sz w:val="18"/>
          <w:szCs w:val="18"/>
        </w:rPr>
      </w:pPr>
      <w:r>
        <w:rPr>
          <w:rFonts w:ascii="宋体" w:hAnsi="宋体" w:cs="宋体" w:eastAsia="宋体" w:hint="default"/>
          <w:sz w:val="18"/>
          <w:szCs w:val="18"/>
        </w:rPr>
        <w:t>会</w:t>
      </w:r>
    </w:p>
    <w:p>
      <w:pPr>
        <w:spacing w:line="180" w:lineRule="exact" w:before="0"/>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资等地方性</w:t>
      </w:r>
    </w:p>
    <w:p>
      <w:pPr>
        <w:spacing w:line="316" w:lineRule="auto" w:before="76"/>
        <w:ind w:left="181" w:right="-20" w:firstLine="0"/>
        <w:jc w:val="left"/>
        <w:rPr>
          <w:rFonts w:ascii="宋体" w:hAnsi="宋体" w:cs="宋体" w:eastAsia="宋体" w:hint="default"/>
          <w:sz w:val="18"/>
          <w:szCs w:val="18"/>
        </w:rPr>
      </w:pPr>
      <w:r>
        <w:rPr>
          <w:rFonts w:ascii="宋体" w:hAnsi="宋体" w:cs="宋体" w:eastAsia="宋体" w:hint="default"/>
          <w:sz w:val="18"/>
          <w:szCs w:val="18"/>
        </w:rPr>
        <w:t>扶持政策而 获得的补助</w:t>
      </w:r>
    </w:p>
    <w:p>
      <w:pPr>
        <w:tabs>
          <w:tab w:pos="1186" w:val="left" w:leader="none"/>
          <w:tab w:pos="2451" w:val="left" w:leader="none"/>
          <w:tab w:pos="4004" w:val="left" w:leader="none"/>
        </w:tabs>
        <w:spacing w:line="194" w:lineRule="exact" w:before="0"/>
        <w:ind w:left="12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116,310.00</w:t>
        <w:tab/>
        <w:t>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与收益相关</w:t>
      </w:r>
    </w:p>
    <w:p>
      <w:pPr>
        <w:spacing w:after="0" w:line="194" w:lineRule="exact"/>
        <w:jc w:val="left"/>
        <w:rPr>
          <w:rFonts w:ascii="宋体" w:hAnsi="宋体" w:cs="宋体" w:eastAsia="宋体" w:hint="default"/>
          <w:sz w:val="18"/>
          <w:szCs w:val="18"/>
        </w:rPr>
        <w:sectPr>
          <w:type w:val="continuous"/>
          <w:pgSz w:w="11910" w:h="16840"/>
          <w:pgMar w:top="1060" w:bottom="1160" w:left="980" w:right="0"/>
          <w:cols w:num="3" w:equalWidth="0">
            <w:col w:w="2671" w:space="522"/>
            <w:col w:w="1082" w:space="40"/>
            <w:col w:w="6615"/>
          </w:cols>
        </w:sectPr>
      </w:pPr>
    </w:p>
    <w:p>
      <w:pPr>
        <w:spacing w:line="240" w:lineRule="auto" w:before="5"/>
        <w:rPr>
          <w:rFonts w:ascii="宋体" w:hAnsi="宋体" w:cs="宋体" w:eastAsia="宋体" w:hint="default"/>
          <w:sz w:val="20"/>
          <w:szCs w:val="20"/>
        </w:rPr>
      </w:pPr>
    </w:p>
    <w:p>
      <w:pPr>
        <w:spacing w:line="316" w:lineRule="auto" w:before="0"/>
        <w:ind w:left="181" w:right="0" w:firstLine="0"/>
        <w:jc w:val="both"/>
        <w:rPr>
          <w:rFonts w:ascii="宋体" w:hAnsi="宋体" w:cs="宋体" w:eastAsia="宋体" w:hint="default"/>
          <w:sz w:val="18"/>
          <w:szCs w:val="18"/>
        </w:rPr>
      </w:pPr>
      <w:r>
        <w:rPr>
          <w:rFonts w:ascii="宋体" w:hAnsi="宋体" w:cs="宋体" w:eastAsia="宋体" w:hint="default"/>
          <w:sz w:val="18"/>
          <w:szCs w:val="18"/>
        </w:rPr>
        <w:t>南山区国家 高新技术企 业专项资助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4"/>
          <w:szCs w:val="14"/>
        </w:rPr>
      </w:pPr>
    </w:p>
    <w:p>
      <w:pPr>
        <w:spacing w:line="196" w:lineRule="exact" w:before="0"/>
        <w:ind w:left="125" w:right="-19" w:firstLine="0"/>
        <w:jc w:val="left"/>
        <w:rPr>
          <w:rFonts w:ascii="宋体" w:hAnsi="宋体" w:cs="宋体" w:eastAsia="宋体" w:hint="default"/>
          <w:sz w:val="18"/>
          <w:szCs w:val="18"/>
        </w:rPr>
      </w:pPr>
      <w:r>
        <w:rPr>
          <w:rFonts w:ascii="宋体" w:hAnsi="宋体" w:cs="宋体" w:eastAsia="宋体" w:hint="default"/>
          <w:sz w:val="18"/>
          <w:szCs w:val="18"/>
        </w:rPr>
        <w:t>深圳市南山</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6" w:lineRule="exact" w:before="0"/>
        <w:ind w:left="125" w:right="-19" w:firstLine="0"/>
        <w:jc w:val="left"/>
        <w:rPr>
          <w:rFonts w:ascii="宋体" w:hAnsi="宋体" w:cs="宋体" w:eastAsia="宋体" w:hint="default"/>
          <w:sz w:val="18"/>
          <w:szCs w:val="18"/>
        </w:rPr>
      </w:pPr>
      <w:r>
        <w:rPr>
          <w:rFonts w:ascii="宋体" w:hAnsi="宋体" w:cs="宋体" w:eastAsia="宋体" w:hint="default"/>
          <w:sz w:val="18"/>
          <w:szCs w:val="18"/>
        </w:rPr>
        <w:t>区科技局</w:t>
      </w:r>
    </w:p>
    <w:p>
      <w:pPr>
        <w:spacing w:line="310" w:lineRule="atLeast" w:before="36"/>
        <w:ind w:left="181" w:right="645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7" w:val="left" w:leader="none"/>
          <w:tab w:pos="3565" w:val="left" w:leader="none"/>
          <w:tab w:pos="5125" w:val="left" w:leader="none"/>
        </w:tabs>
        <w:spacing w:line="123"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100,000.00</w:t>
        <w:tab/>
        <w:t>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与收益相关</w:t>
      </w:r>
    </w:p>
    <w:p>
      <w:pPr>
        <w:spacing w:line="189" w:lineRule="exact" w:before="0"/>
        <w:ind w:left="181" w:right="645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1" w:right="663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1082" w:space="40"/>
            <w:col w:w="1550" w:space="522"/>
            <w:col w:w="773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12" w:lineRule="exact" w:before="121"/>
        <w:ind w:left="181" w:right="-20" w:firstLine="0"/>
        <w:jc w:val="left"/>
        <w:rPr>
          <w:rFonts w:ascii="宋体" w:hAnsi="宋体" w:cs="宋体" w:eastAsia="宋体" w:hint="default"/>
          <w:sz w:val="18"/>
          <w:szCs w:val="18"/>
        </w:rPr>
      </w:pPr>
      <w:r>
        <w:rPr>
          <w:rFonts w:ascii="宋体" w:hAnsi="宋体" w:cs="宋体" w:eastAsia="宋体" w:hint="default"/>
          <w:sz w:val="18"/>
          <w:szCs w:val="18"/>
        </w:rPr>
        <w:t>软件产业专</w:t>
      </w:r>
    </w:p>
    <w:p>
      <w:pPr>
        <w:spacing w:line="240" w:lineRule="auto" w:before="4"/>
        <w:rPr>
          <w:rFonts w:ascii="宋体" w:hAnsi="宋体" w:cs="宋体" w:eastAsia="宋体" w:hint="default"/>
          <w:sz w:val="15"/>
          <w:szCs w:val="15"/>
        </w:rPr>
      </w:pPr>
      <w:r>
        <w:rPr/>
        <w:br w:type="column"/>
      </w:r>
      <w:r>
        <w:rPr>
          <w:rFonts w:ascii="宋体"/>
          <w:sz w:val="15"/>
        </w:rPr>
      </w:r>
    </w:p>
    <w:p>
      <w:pPr>
        <w:spacing w:before="0"/>
        <w:ind w:left="125" w:right="-19" w:firstLine="0"/>
        <w:jc w:val="left"/>
        <w:rPr>
          <w:rFonts w:ascii="宋体" w:hAnsi="宋体" w:cs="宋体" w:eastAsia="宋体" w:hint="default"/>
          <w:sz w:val="18"/>
          <w:szCs w:val="18"/>
        </w:rPr>
      </w:pPr>
      <w:r>
        <w:rPr>
          <w:rFonts w:ascii="宋体" w:hAnsi="宋体" w:cs="宋体" w:eastAsia="宋体" w:hint="default"/>
          <w:sz w:val="18"/>
          <w:szCs w:val="18"/>
        </w:rPr>
        <w:t>中国（南京）</w:t>
      </w:r>
    </w:p>
    <w:p>
      <w:pPr>
        <w:spacing w:line="312" w:lineRule="exact" w:before="5"/>
        <w:ind w:left="181" w:right="645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spacing w:after="0" w:line="312" w:lineRule="exact"/>
        <w:jc w:val="left"/>
        <w:rPr>
          <w:rFonts w:ascii="宋体" w:hAnsi="宋体" w:cs="宋体" w:eastAsia="宋体" w:hint="default"/>
          <w:sz w:val="18"/>
          <w:szCs w:val="18"/>
        </w:rPr>
        <w:sectPr>
          <w:type w:val="continuous"/>
          <w:pgSz w:w="11910" w:h="16840"/>
          <w:pgMar w:top="1060" w:bottom="1160" w:left="980" w:right="0"/>
          <w:cols w:num="3" w:equalWidth="0">
            <w:col w:w="1082" w:space="40"/>
            <w:col w:w="1207" w:space="865"/>
            <w:col w:w="7736"/>
          </w:cols>
        </w:sectPr>
      </w:pPr>
    </w:p>
    <w:p>
      <w:pPr>
        <w:spacing w:before="39"/>
        <w:ind w:left="181" w:right="-20" w:firstLine="0"/>
        <w:jc w:val="left"/>
        <w:rPr>
          <w:rFonts w:ascii="宋体" w:hAnsi="宋体" w:cs="宋体" w:eastAsia="宋体" w:hint="default"/>
          <w:sz w:val="18"/>
          <w:szCs w:val="18"/>
        </w:rPr>
      </w:pPr>
      <w:r>
        <w:rPr>
          <w:rFonts w:ascii="宋体" w:hAnsi="宋体" w:cs="宋体" w:eastAsia="宋体" w:hint="default"/>
          <w:sz w:val="18"/>
          <w:szCs w:val="18"/>
        </w:rPr>
        <w:t>项扶持资金</w:t>
      </w:r>
    </w:p>
    <w:p>
      <w:pPr>
        <w:spacing w:line="119" w:lineRule="exact" w:before="0"/>
        <w:ind w:left="125"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软件谷管理</w:t>
      </w:r>
      <w:r>
        <w:rPr>
          <w:rFonts w:ascii="宋体" w:hAnsi="宋体" w:cs="宋体" w:eastAsia="宋体" w:hint="default"/>
          <w:spacing w:val="73"/>
          <w:sz w:val="18"/>
          <w:szCs w:val="18"/>
        </w:rPr>
        <w:t> </w:t>
      </w:r>
      <w:r>
        <w:rPr>
          <w:rFonts w:ascii="宋体" w:hAnsi="宋体" w:cs="宋体" w:eastAsia="宋体" w:hint="default"/>
          <w:sz w:val="18"/>
          <w:szCs w:val="18"/>
        </w:rPr>
        <w:t>补助</w:t>
      </w:r>
    </w:p>
    <w:p>
      <w:pPr>
        <w:spacing w:before="76"/>
        <w:ind w:left="125" w:right="-19" w:firstLine="0"/>
        <w:jc w:val="left"/>
        <w:rPr>
          <w:rFonts w:ascii="宋体" w:hAnsi="宋体" w:cs="宋体" w:eastAsia="宋体" w:hint="default"/>
          <w:sz w:val="18"/>
          <w:szCs w:val="18"/>
        </w:rPr>
      </w:pPr>
      <w:r>
        <w:rPr>
          <w:rFonts w:ascii="宋体" w:hAnsi="宋体" w:cs="宋体" w:eastAsia="宋体" w:hint="default"/>
          <w:sz w:val="18"/>
          <w:szCs w:val="18"/>
        </w:rPr>
        <w:t>委员会</w:t>
      </w:r>
    </w:p>
    <w:p>
      <w:pPr>
        <w:spacing w:line="316" w:lineRule="auto" w:before="39"/>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改造等获得 的补助</w:t>
      </w:r>
    </w:p>
    <w:p>
      <w:pPr>
        <w:tabs>
          <w:tab w:pos="1186" w:val="left" w:leader="none"/>
          <w:tab w:pos="2444" w:val="left" w:leader="none"/>
          <w:tab w:pos="4004" w:val="left" w:leader="none"/>
        </w:tabs>
        <w:spacing w:line="133" w:lineRule="exact" w:before="0"/>
        <w:ind w:left="12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100,000.00</w:t>
        <w:tab/>
        <w:t>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与收益相关</w:t>
      </w:r>
    </w:p>
    <w:p>
      <w:pPr>
        <w:spacing w:after="0" w:line="133" w:lineRule="exact"/>
        <w:jc w:val="left"/>
        <w:rPr>
          <w:rFonts w:ascii="宋体" w:hAnsi="宋体" w:cs="宋体" w:eastAsia="宋体" w:hint="default"/>
          <w:sz w:val="18"/>
          <w:szCs w:val="18"/>
        </w:rPr>
        <w:sectPr>
          <w:type w:val="continuous"/>
          <w:pgSz w:w="11910" w:h="16840"/>
          <w:pgMar w:top="1060" w:bottom="1160" w:left="980" w:right="0"/>
          <w:cols w:num="4" w:equalWidth="0">
            <w:col w:w="1082" w:space="40"/>
            <w:col w:w="1550" w:space="522"/>
            <w:col w:w="1082" w:space="40"/>
            <w:col w:w="6614"/>
          </w:cols>
        </w:sectPr>
      </w:pPr>
    </w:p>
    <w:p>
      <w:pPr>
        <w:spacing w:line="319" w:lineRule="auto" w:before="110"/>
        <w:ind w:left="181" w:right="-20" w:firstLine="0"/>
        <w:jc w:val="left"/>
        <w:rPr>
          <w:rFonts w:ascii="宋体" w:hAnsi="宋体" w:cs="宋体" w:eastAsia="宋体" w:hint="default"/>
          <w:sz w:val="18"/>
          <w:szCs w:val="18"/>
        </w:rPr>
      </w:pPr>
      <w:r>
        <w:rPr>
          <w:rFonts w:ascii="宋体" w:hAnsi="宋体" w:cs="宋体" w:eastAsia="宋体" w:hint="default"/>
          <w:spacing w:val="-12"/>
          <w:sz w:val="18"/>
          <w:szCs w:val="18"/>
        </w:rPr>
        <w:t>项目配套、系</w:t>
      </w:r>
      <w:r>
        <w:rPr>
          <w:rFonts w:ascii="宋体" w:hAnsi="宋体" w:cs="宋体" w:eastAsia="宋体" w:hint="default"/>
          <w:sz w:val="18"/>
          <w:szCs w:val="18"/>
        </w:rPr>
        <w:t> 统集成资质 </w:t>
      </w:r>
      <w:r>
        <w:rPr>
          <w:rFonts w:ascii="宋体" w:hAnsi="宋体" w:cs="宋体" w:eastAsia="宋体" w:hint="default"/>
          <w:spacing w:val="-12"/>
          <w:sz w:val="18"/>
          <w:szCs w:val="18"/>
        </w:rPr>
        <w:t>奖励、企业创</w:t>
      </w:r>
      <w:r>
        <w:rPr>
          <w:rFonts w:ascii="宋体" w:hAnsi="宋体" w:cs="宋体" w:eastAsia="宋体" w:hint="default"/>
          <w:sz w:val="18"/>
          <w:szCs w:val="18"/>
        </w:rPr>
        <w:t> 新新载体建 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6"/>
          <w:szCs w:val="26"/>
        </w:rPr>
      </w:pPr>
    </w:p>
    <w:p>
      <w:pPr>
        <w:spacing w:line="196" w:lineRule="exact" w:before="0"/>
        <w:ind w:left="17" w:right="0" w:firstLine="0"/>
        <w:jc w:val="left"/>
        <w:rPr>
          <w:rFonts w:ascii="宋体" w:hAnsi="宋体" w:cs="宋体" w:eastAsia="宋体" w:hint="default"/>
          <w:sz w:val="18"/>
          <w:szCs w:val="18"/>
        </w:rPr>
      </w:pPr>
      <w:r>
        <w:rPr>
          <w:rFonts w:ascii="宋体" w:hAnsi="宋体" w:cs="宋体" w:eastAsia="宋体" w:hint="default"/>
          <w:sz w:val="18"/>
          <w:szCs w:val="18"/>
        </w:rPr>
        <w:t>广州市天河</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奖励</w:t>
      </w:r>
    </w:p>
    <w:p>
      <w:pPr>
        <w:spacing w:line="196" w:lineRule="exact" w:before="0"/>
        <w:ind w:left="17" w:right="0" w:firstLine="0"/>
        <w:jc w:val="left"/>
        <w:rPr>
          <w:rFonts w:ascii="宋体" w:hAnsi="宋体" w:cs="宋体" w:eastAsia="宋体" w:hint="default"/>
          <w:sz w:val="18"/>
          <w:szCs w:val="18"/>
        </w:rPr>
      </w:pPr>
      <w:r>
        <w:rPr>
          <w:rFonts w:ascii="宋体" w:hAnsi="宋体" w:cs="宋体" w:eastAsia="宋体" w:hint="default"/>
          <w:sz w:val="18"/>
          <w:szCs w:val="18"/>
        </w:rPr>
        <w:t>区财政局</w:t>
      </w:r>
    </w:p>
    <w:p>
      <w:pPr>
        <w:spacing w:line="319" w:lineRule="auto" w:before="110"/>
        <w:ind w:left="181"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0"/>
          <w:szCs w:val="20"/>
        </w:rPr>
      </w:pPr>
    </w:p>
    <w:p>
      <w:pPr>
        <w:tabs>
          <w:tab w:pos="1186" w:val="left" w:leader="none"/>
          <w:tab w:pos="2444" w:val="left" w:leader="none"/>
          <w:tab w:pos="4004" w:val="left" w:leader="none"/>
        </w:tabs>
        <w:spacing w:before="0"/>
        <w:ind w:left="123"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100,000.00</w:t>
        <w:tab/>
        <w:t>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1060" w:bottom="1160" w:left="980" w:right="0"/>
          <w:cols w:num="4" w:equalWidth="0">
            <w:col w:w="1190" w:space="40"/>
            <w:col w:w="1442" w:space="522"/>
            <w:col w:w="1082" w:space="40"/>
            <w:col w:w="6614"/>
          </w:cols>
        </w:sectPr>
      </w:pPr>
    </w:p>
    <w:p>
      <w:pPr>
        <w:spacing w:line="314" w:lineRule="auto" w:before="106"/>
        <w:ind w:left="181"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 批新增规模 以上其他营 利性服务业 企业奖励资 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25"/>
          <w:szCs w:val="25"/>
        </w:rPr>
      </w:pPr>
    </w:p>
    <w:p>
      <w:pPr>
        <w:spacing w:line="316" w:lineRule="auto" w:before="0"/>
        <w:ind w:left="77" w:right="-20" w:firstLine="0"/>
        <w:jc w:val="left"/>
        <w:rPr>
          <w:rFonts w:ascii="宋体" w:hAnsi="宋体" w:cs="宋体" w:eastAsia="宋体" w:hint="default"/>
          <w:sz w:val="18"/>
          <w:szCs w:val="18"/>
        </w:rPr>
      </w:pPr>
      <w:r>
        <w:rPr>
          <w:rFonts w:ascii="宋体" w:hAnsi="宋体" w:cs="宋体" w:eastAsia="宋体" w:hint="default"/>
          <w:sz w:val="18"/>
          <w:szCs w:val="18"/>
        </w:rPr>
        <w:t>北海市发展 和改革委员</w:t>
      </w:r>
      <w:r>
        <w:rPr>
          <w:rFonts w:ascii="宋体" w:hAnsi="宋体" w:cs="宋体" w:eastAsia="宋体" w:hint="default"/>
          <w:spacing w:val="73"/>
          <w:sz w:val="18"/>
          <w:szCs w:val="18"/>
        </w:rPr>
        <w:t> </w:t>
      </w:r>
      <w:r>
        <w:rPr>
          <w:rFonts w:ascii="宋体" w:hAnsi="宋体" w:cs="宋体" w:eastAsia="宋体" w:hint="default"/>
          <w:sz w:val="18"/>
          <w:szCs w:val="18"/>
        </w:rPr>
        <w:t>奖励</w:t>
      </w:r>
      <w:r>
        <w:rPr>
          <w:rFonts w:ascii="宋体" w:hAnsi="宋体" w:cs="宋体" w:eastAsia="宋体" w:hint="default"/>
          <w:sz w:val="18"/>
          <w:szCs w:val="18"/>
        </w:rPr>
        <w:t> 会</w:t>
      </w:r>
    </w:p>
    <w:p>
      <w:pPr>
        <w:spacing w:line="240" w:lineRule="auto" w:before="0"/>
        <w:rPr>
          <w:rFonts w:ascii="宋体" w:hAnsi="宋体" w:cs="宋体" w:eastAsia="宋体" w:hint="default"/>
          <w:sz w:val="20"/>
          <w:szCs w:val="20"/>
        </w:rPr>
      </w:pPr>
      <w:r>
        <w:rPr/>
        <w:br w:type="column"/>
      </w:r>
      <w:r>
        <w:rPr>
          <w:rFonts w:ascii="宋体"/>
          <w:sz w:val="20"/>
        </w:rPr>
      </w:r>
    </w:p>
    <w:p>
      <w:pPr>
        <w:spacing w:line="316" w:lineRule="auto" w:before="0"/>
        <w:ind w:left="181" w:right="0" w:firstLine="0"/>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tabs>
          <w:tab w:pos="1186" w:val="left" w:leader="none"/>
          <w:tab w:pos="2535" w:val="left" w:leader="none"/>
          <w:tab w:pos="4004" w:val="left" w:leader="none"/>
        </w:tabs>
        <w:spacing w:before="0"/>
        <w:ind w:left="123"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50,000.00</w:t>
        <w:tab/>
        <w:t>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1060" w:bottom="1160" w:left="980" w:right="0"/>
          <w:cols w:num="4" w:equalWidth="0">
            <w:col w:w="1131" w:space="40"/>
            <w:col w:w="1501" w:space="522"/>
            <w:col w:w="1082" w:space="40"/>
            <w:col w:w="6614"/>
          </w:cols>
        </w:sect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百货商业信 息管理系统</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4"/>
          <w:szCs w:val="14"/>
        </w:rPr>
      </w:pPr>
    </w:p>
    <w:p>
      <w:pPr>
        <w:spacing w:line="196" w:lineRule="exact" w:before="0"/>
        <w:ind w:left="125" w:right="-19" w:firstLine="0"/>
        <w:jc w:val="left"/>
        <w:rPr>
          <w:rFonts w:ascii="宋体" w:hAnsi="宋体" w:cs="宋体" w:eastAsia="宋体" w:hint="default"/>
          <w:sz w:val="18"/>
          <w:szCs w:val="18"/>
        </w:rPr>
      </w:pPr>
      <w:r>
        <w:rPr>
          <w:rFonts w:ascii="宋体" w:hAnsi="宋体" w:cs="宋体" w:eastAsia="宋体" w:hint="default"/>
          <w:sz w:val="18"/>
          <w:szCs w:val="18"/>
        </w:rPr>
        <w:t>北京市朝阳</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6" w:lineRule="exact" w:before="0"/>
        <w:ind w:left="125" w:right="-19" w:firstLine="0"/>
        <w:jc w:val="left"/>
        <w:rPr>
          <w:rFonts w:ascii="宋体" w:hAnsi="宋体" w:cs="宋体" w:eastAsia="宋体" w:hint="default"/>
          <w:sz w:val="18"/>
          <w:szCs w:val="18"/>
        </w:rPr>
      </w:pPr>
      <w:r>
        <w:rPr>
          <w:rFonts w:ascii="宋体" w:hAnsi="宋体" w:cs="宋体" w:eastAsia="宋体" w:hint="default"/>
          <w:sz w:val="18"/>
          <w:szCs w:val="18"/>
        </w:rPr>
        <w:t>区财政局</w:t>
      </w:r>
    </w:p>
    <w:p>
      <w:pPr>
        <w:spacing w:line="310" w:lineRule="atLeast" w:before="37"/>
        <w:ind w:left="181" w:right="645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7" w:val="left" w:leader="none"/>
          <w:tab w:pos="3657" w:val="left" w:leader="none"/>
          <w:tab w:pos="4720" w:val="left" w:leader="none"/>
        </w:tabs>
        <w:spacing w:line="123"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40,000.00</w:t>
        <w:tab/>
        <w:t>40,000.00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与资产相关</w:t>
      </w:r>
    </w:p>
    <w:p>
      <w:pPr>
        <w:spacing w:line="189" w:lineRule="exact" w:before="0"/>
        <w:ind w:left="181" w:right="645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181" w:right="663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1082" w:space="40"/>
            <w:col w:w="1550" w:space="522"/>
            <w:col w:w="773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314" w:lineRule="auto" w:before="44"/>
        <w:ind w:left="181" w:right="-20" w:firstLine="0"/>
        <w:jc w:val="left"/>
        <w:rPr>
          <w:rFonts w:ascii="宋体" w:hAnsi="宋体" w:cs="宋体" w:eastAsia="宋体" w:hint="default"/>
          <w:sz w:val="18"/>
          <w:szCs w:val="18"/>
        </w:rPr>
      </w:pPr>
      <w:r>
        <w:rPr/>
        <w:pict>
          <v:group style="position:absolute;margin-left:56.400002pt;margin-top:71.759979pt;width:479.05pt;height:679.2pt;mso-position-horizontal-relative:page;mso-position-vertical-relative:page;z-index:-1382584" coordorigin="1128,1435" coordsize="9581,13584">
            <v:group style="position:absolute;left:1138;top:1445;width:1057;height:2" coordorigin="1138,1445" coordsize="1057,2">
              <v:shape style="position:absolute;left:1138;top:1445;width:1057;height:2" coordorigin="1138,1445" coordsize="1057,0" path="m1138,1445l2194,1445e" filled="false" stroked="true" strokeweight=".48pt" strokecolor="#000000">
                <v:path arrowok="t"/>
              </v:shape>
            </v:group>
            <v:group style="position:absolute;left:2204;top:1445;width:1054;height:2" coordorigin="2204,1445" coordsize="1054,2">
              <v:shape style="position:absolute;left:2204;top:1445;width:1054;height:2" coordorigin="2204,1445" coordsize="1054,0" path="m2204,1445l3257,1445e" filled="false" stroked="true" strokeweight=".48pt" strokecolor="#000000">
                <v:path arrowok="t"/>
              </v:shape>
            </v:group>
            <v:group style="position:absolute;left:3267;top:1445;width:1055;height:2" coordorigin="3267,1445" coordsize="1055,2">
              <v:shape style="position:absolute;left:3267;top:1445;width:1055;height:2" coordorigin="3267,1445" coordsize="1055,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5;height:2" coordorigin="6455,1445" coordsize="1055,2">
              <v:shape style="position:absolute;left:6455;top:1445;width:1055;height:2" coordorigin="6455,1445" coordsize="1055,0" path="m6455,1445l7509,1445e" filled="false" stroked="true" strokeweight=".48pt" strokecolor="#000000">
                <v:path arrowok="t"/>
              </v:shape>
            </v:group>
            <v:group style="position:absolute;left:7518;top:1445;width:1054;height:2" coordorigin="7518,1445" coordsize="1054,2">
              <v:shape style="position:absolute;left:7518;top:1445;width:1054;height:2" coordorigin="7518,1445" coordsize="1054,0" path="m7518,1445l8572,1445e" filled="false" stroked="true" strokeweight=".48pt" strokecolor="#000000">
                <v:path arrowok="t"/>
              </v:shape>
            </v:group>
            <v:group style="position:absolute;left:8581;top:1445;width:1055;height:2" coordorigin="8581,1445" coordsize="1055,2">
              <v:shape style="position:absolute;left:8581;top:1445;width:1055;height:2" coordorigin="8581,1445" coordsize="1055,0" path="m8581,1445l9635,1445e" filled="false" stroked="true" strokeweight=".48pt" strokecolor="#000000">
                <v:path arrowok="t"/>
              </v:shape>
            </v:group>
            <v:group style="position:absolute;left:9645;top:1445;width:1054;height:2" coordorigin="9645,1445" coordsize="1054,2">
              <v:shape style="position:absolute;left:9645;top:1445;width:1054;height:2" coordorigin="9645,1445" coordsize="1054,0" path="m9645,1445l10699,1445e" filled="false" stroked="true" strokeweight=".48pt" strokecolor="#000000">
                <v:path arrowok="t"/>
              </v:shape>
            </v:group>
            <v:group style="position:absolute;left:1138;top:2432;width:1057;height:2" coordorigin="1138,2432" coordsize="1057,2">
              <v:shape style="position:absolute;left:1138;top:2432;width:1057;height:2" coordorigin="1138,2432" coordsize="1057,0" path="m1138,2432l2194,2432e" filled="false" stroked="true" strokeweight=".48pt" strokecolor="#000000">
                <v:path arrowok="t"/>
              </v:shape>
            </v:group>
            <v:group style="position:absolute;left:2204;top:2432;width:1054;height:2" coordorigin="2204,2432" coordsize="1054,2">
              <v:shape style="position:absolute;left:2204;top:2432;width:1054;height:2" coordorigin="2204,2432" coordsize="1054,0" path="m2204,2432l3257,2432e" filled="false" stroked="true" strokeweight=".48pt" strokecolor="#000000">
                <v:path arrowok="t"/>
              </v:shape>
            </v:group>
            <v:group style="position:absolute;left:3267;top:2432;width:1055;height:2" coordorigin="3267,2432" coordsize="1055,2">
              <v:shape style="position:absolute;left:3267;top:2432;width:1055;height:2" coordorigin="3267,2432" coordsize="1055,0" path="m3267,2432l4321,2432e" filled="false" stroked="true" strokeweight=".48pt" strokecolor="#000000">
                <v:path arrowok="t"/>
              </v:shape>
            </v:group>
            <v:group style="position:absolute;left:4331;top:2432;width:1054;height:2" coordorigin="4331,2432" coordsize="1054,2">
              <v:shape style="position:absolute;left:4331;top:2432;width:1054;height:2" coordorigin="4331,2432" coordsize="1054,0" path="m4331,2432l5384,2432e" filled="false" stroked="true" strokeweight=".48pt" strokecolor="#000000">
                <v:path arrowok="t"/>
              </v:shape>
            </v:group>
            <v:group style="position:absolute;left:5394;top:2432;width:1052;height:2" coordorigin="5394,2432" coordsize="1052,2">
              <v:shape style="position:absolute;left:5394;top:2432;width:1052;height:2" coordorigin="5394,2432" coordsize="1052,0" path="m5394,2432l6445,2432e" filled="false" stroked="true" strokeweight=".48pt" strokecolor="#000000">
                <v:path arrowok="t"/>
              </v:shape>
            </v:group>
            <v:group style="position:absolute;left:6455;top:2432;width:1055;height:2" coordorigin="6455,2432" coordsize="1055,2">
              <v:shape style="position:absolute;left:6455;top:2432;width:1055;height:2" coordorigin="6455,2432" coordsize="1055,0" path="m6455,2432l7509,2432e" filled="false" stroked="true" strokeweight=".48pt" strokecolor="#000000">
                <v:path arrowok="t"/>
              </v:shape>
            </v:group>
            <v:group style="position:absolute;left:7518;top:2432;width:1054;height:2" coordorigin="7518,2432" coordsize="1054,2">
              <v:shape style="position:absolute;left:7518;top:2432;width:1054;height:2" coordorigin="7518,2432" coordsize="1054,0" path="m7518,2432l8572,2432e" filled="false" stroked="true" strokeweight=".48pt" strokecolor="#000000">
                <v:path arrowok="t"/>
              </v:shape>
            </v:group>
            <v:group style="position:absolute;left:8581;top:2432;width:1055;height:2" coordorigin="8581,2432" coordsize="1055,2">
              <v:shape style="position:absolute;left:8581;top:2432;width:1055;height:2" coordorigin="8581,2432" coordsize="1055,0" path="m8581,2432l9635,2432e" filled="false" stroked="true" strokeweight=".48pt" strokecolor="#000000">
                <v:path arrowok="t"/>
              </v:shape>
            </v:group>
            <v:group style="position:absolute;left:9645;top:2432;width:1054;height:2" coordorigin="9645,2432" coordsize="1054,2">
              <v:shape style="position:absolute;left:9645;top:2432;width:1054;height:2" coordorigin="9645,2432" coordsize="1054,0" path="m9645,2432l10699,2432e" filled="false" stroked="true" strokeweight=".48pt" strokecolor="#000000">
                <v:path arrowok="t"/>
              </v:shape>
            </v:group>
            <v:group style="position:absolute;left:3267;top:4085;width:1055;height:624" coordorigin="3267,4085" coordsize="1055,624">
              <v:shape style="position:absolute;left:3267;top:4085;width:1055;height:624" coordorigin="3267,4085" coordsize="1055,624" path="m3267,4709l4321,4709,4321,4085,3267,4085,3267,4709xe" filled="true" fillcolor="#ffffff" stroked="false">
                <v:path arrowok="t"/>
                <v:fill type="solid"/>
              </v:shape>
            </v:group>
            <v:group style="position:absolute;left:1138;top:4080;width:1057;height:2" coordorigin="1138,4080" coordsize="1057,2">
              <v:shape style="position:absolute;left:1138;top:4080;width:1057;height:2" coordorigin="1138,4080" coordsize="1057,0" path="m1138,4080l2194,4080e" filled="false" stroked="true" strokeweight=".48001pt" strokecolor="#000000">
                <v:path arrowok="t"/>
              </v:shape>
            </v:group>
            <v:group style="position:absolute;left:2204;top:4080;width:1054;height:2" coordorigin="2204,4080" coordsize="1054,2">
              <v:shape style="position:absolute;left:2204;top:4080;width:1054;height:2" coordorigin="2204,4080" coordsize="1054,0" path="m2204,4080l3257,4080e" filled="false" stroked="true" strokeweight=".48001pt" strokecolor="#000000">
                <v:path arrowok="t"/>
              </v:shape>
            </v:group>
            <v:group style="position:absolute;left:3267;top:4080;width:1055;height:2" coordorigin="3267,4080" coordsize="1055,2">
              <v:shape style="position:absolute;left:3267;top:4080;width:1055;height:2" coordorigin="3267,4080" coordsize="1055,0" path="m3267,4080l4321,4080e" filled="false" stroked="true" strokeweight=".48001pt" strokecolor="#000000">
                <v:path arrowok="t"/>
              </v:shape>
            </v:group>
            <v:group style="position:absolute;left:4331;top:4080;width:1054;height:2" coordorigin="4331,4080" coordsize="1054,2">
              <v:shape style="position:absolute;left:4331;top:4080;width:1054;height:2" coordorigin="4331,4080" coordsize="1054,0" path="m4331,4080l5384,4080e" filled="false" stroked="true" strokeweight=".48001pt" strokecolor="#000000">
                <v:path arrowok="t"/>
              </v:shape>
            </v:group>
            <v:group style="position:absolute;left:5394;top:4080;width:1052;height:2" coordorigin="5394,4080" coordsize="1052,2">
              <v:shape style="position:absolute;left:5394;top:4080;width:1052;height:2" coordorigin="5394,4080" coordsize="1052,0" path="m5394,4080l6445,4080e" filled="false" stroked="true" strokeweight=".48001pt" strokecolor="#000000">
                <v:path arrowok="t"/>
              </v:shape>
            </v:group>
            <v:group style="position:absolute;left:6455;top:4080;width:1055;height:2" coordorigin="6455,4080" coordsize="1055,2">
              <v:shape style="position:absolute;left:6455;top:4080;width:1055;height:2" coordorigin="6455,4080" coordsize="1055,0" path="m6455,4080l7509,4080e" filled="false" stroked="true" strokeweight=".48001pt" strokecolor="#000000">
                <v:path arrowok="t"/>
              </v:shape>
            </v:group>
            <v:group style="position:absolute;left:7518;top:4080;width:1054;height:2" coordorigin="7518,4080" coordsize="1054,2">
              <v:shape style="position:absolute;left:7518;top:4080;width:1054;height:2" coordorigin="7518,4080" coordsize="1054,0" path="m7518,4080l8572,4080e" filled="false" stroked="true" strokeweight=".48001pt" strokecolor="#000000">
                <v:path arrowok="t"/>
              </v:shape>
            </v:group>
            <v:group style="position:absolute;left:8581;top:4080;width:1055;height:2" coordorigin="8581,4080" coordsize="1055,2">
              <v:shape style="position:absolute;left:8581;top:4080;width:1055;height:2" coordorigin="8581,4080" coordsize="1055,0" path="m8581,4080l9635,4080e" filled="false" stroked="true" strokeweight=".48001pt" strokecolor="#000000">
                <v:path arrowok="t"/>
              </v:shape>
            </v:group>
            <v:group style="position:absolute;left:9645;top:4080;width:1054;height:2" coordorigin="9645,4080" coordsize="1054,2">
              <v:shape style="position:absolute;left:9645;top:4080;width:1054;height:2" coordorigin="9645,4080" coordsize="1054,0" path="m9645,4080l10699,4080e" filled="false" stroked="true" strokeweight=".48001pt" strokecolor="#000000">
                <v:path arrowok="t"/>
              </v:shape>
            </v:group>
            <v:group style="position:absolute;left:5394;top:5737;width:1054;height:468" coordorigin="5394,5737" coordsize="1054,468">
              <v:shape style="position:absolute;left:5394;top:5737;width:1054;height:468" coordorigin="5394,5737" coordsize="1054,468" path="m5394,6205l6447,6205,6447,5737,5394,5737,5394,6205xe" filled="true" fillcolor="#ffffff" stroked="false">
                <v:path arrowok="t"/>
                <v:fill type="solid"/>
              </v:shape>
            </v:group>
            <v:group style="position:absolute;left:1138;top:5732;width:1057;height:2" coordorigin="1138,5732" coordsize="1057,2">
              <v:shape style="position:absolute;left:1138;top:5732;width:1057;height:2" coordorigin="1138,5732" coordsize="1057,0" path="m1138,5732l2194,5732e" filled="false" stroked="true" strokeweight=".47998pt" strokecolor="#000000">
                <v:path arrowok="t"/>
              </v:shape>
            </v:group>
            <v:group style="position:absolute;left:2204;top:5732;width:1054;height:2" coordorigin="2204,5732" coordsize="1054,2">
              <v:shape style="position:absolute;left:2204;top:5732;width:1054;height:2" coordorigin="2204,5732" coordsize="1054,0" path="m2204,5732l3257,5732e" filled="false" stroked="true" strokeweight=".47998pt" strokecolor="#000000">
                <v:path arrowok="t"/>
              </v:shape>
            </v:group>
            <v:group style="position:absolute;left:3267;top:5732;width:1055;height:2" coordorigin="3267,5732" coordsize="1055,2">
              <v:shape style="position:absolute;left:3267;top:5732;width:1055;height:2" coordorigin="3267,5732" coordsize="1055,0" path="m3267,5732l4321,5732e" filled="false" stroked="true" strokeweight=".47998pt" strokecolor="#000000">
                <v:path arrowok="t"/>
              </v:shape>
            </v:group>
            <v:group style="position:absolute;left:4331;top:5732;width:1054;height:2" coordorigin="4331,5732" coordsize="1054,2">
              <v:shape style="position:absolute;left:4331;top:5732;width:1054;height:2" coordorigin="4331,5732" coordsize="1054,0" path="m4331,5732l5384,5732e" filled="false" stroked="true" strokeweight=".47998pt" strokecolor="#000000">
                <v:path arrowok="t"/>
              </v:shape>
            </v:group>
            <v:group style="position:absolute;left:5394;top:5732;width:1052;height:2" coordorigin="5394,5732" coordsize="1052,2">
              <v:shape style="position:absolute;left:5394;top:5732;width:1052;height:2" coordorigin="5394,5732" coordsize="1052,0" path="m5394,5732l6445,5732e" filled="false" stroked="true" strokeweight=".47998pt" strokecolor="#000000">
                <v:path arrowok="t"/>
              </v:shape>
            </v:group>
            <v:group style="position:absolute;left:6455;top:5732;width:1055;height:2" coordorigin="6455,5732" coordsize="1055,2">
              <v:shape style="position:absolute;left:6455;top:5732;width:1055;height:2" coordorigin="6455,5732" coordsize="1055,0" path="m6455,5732l7509,5732e" filled="false" stroked="true" strokeweight=".47998pt" strokecolor="#000000">
                <v:path arrowok="t"/>
              </v:shape>
            </v:group>
            <v:group style="position:absolute;left:7518;top:5732;width:1054;height:2" coordorigin="7518,5732" coordsize="1054,2">
              <v:shape style="position:absolute;left:7518;top:5732;width:1054;height:2" coordorigin="7518,5732" coordsize="1054,0" path="m7518,5732l8572,5732e" filled="false" stroked="true" strokeweight=".47998pt" strokecolor="#000000">
                <v:path arrowok="t"/>
              </v:shape>
            </v:group>
            <v:group style="position:absolute;left:8581;top:5732;width:1055;height:2" coordorigin="8581,5732" coordsize="1055,2">
              <v:shape style="position:absolute;left:8581;top:5732;width:1055;height:2" coordorigin="8581,5732" coordsize="1055,0" path="m8581,5732l9635,5732e" filled="false" stroked="true" strokeweight=".47998pt" strokecolor="#000000">
                <v:path arrowok="t"/>
              </v:shape>
            </v:group>
            <v:group style="position:absolute;left:9645;top:5732;width:1054;height:2" coordorigin="9645,5732" coordsize="1054,2">
              <v:shape style="position:absolute;left:9645;top:5732;width:1054;height:2" coordorigin="9645,5732" coordsize="1054,0" path="m9645,5732l10699,5732e" filled="false" stroked="true" strokeweight=".47998pt" strokecolor="#000000">
                <v:path arrowok="t"/>
              </v:shape>
            </v:group>
            <v:group style="position:absolute;left:3267;top:7074;width:1055;height:468" coordorigin="3267,7074" coordsize="1055,468">
              <v:shape style="position:absolute;left:3267;top:7074;width:1055;height:468" coordorigin="3267,7074" coordsize="1055,468" path="m3267,7542l4321,7542,4321,7074,3267,7074,3267,7542xe" filled="true" fillcolor="#ffffff" stroked="false">
                <v:path arrowok="t"/>
                <v:fill type="solid"/>
              </v:shape>
            </v:group>
            <v:group style="position:absolute;left:1138;top:7069;width:1057;height:2" coordorigin="1138,7069" coordsize="1057,2">
              <v:shape style="position:absolute;left:1138;top:7069;width:1057;height:2" coordorigin="1138,7069" coordsize="1057,0" path="m1138,7069l2194,7069e" filled="false" stroked="true" strokeweight=".47998pt" strokecolor="#000000">
                <v:path arrowok="t"/>
              </v:shape>
            </v:group>
            <v:group style="position:absolute;left:2204;top:7069;width:1054;height:2" coordorigin="2204,7069" coordsize="1054,2">
              <v:shape style="position:absolute;left:2204;top:7069;width:1054;height:2" coordorigin="2204,7069" coordsize="1054,0" path="m2204,7069l3257,7069e" filled="false" stroked="true" strokeweight=".47998pt" strokecolor="#000000">
                <v:path arrowok="t"/>
              </v:shape>
            </v:group>
            <v:group style="position:absolute;left:3267;top:7069;width:1055;height:2" coordorigin="3267,7069" coordsize="1055,2">
              <v:shape style="position:absolute;left:3267;top:7069;width:1055;height:2" coordorigin="3267,7069" coordsize="1055,0" path="m3267,7069l4321,7069e" filled="false" stroked="true" strokeweight=".47998pt" strokecolor="#000000">
                <v:path arrowok="t"/>
              </v:shape>
            </v:group>
            <v:group style="position:absolute;left:5394;top:7074;width:1054;height:468" coordorigin="5394,7074" coordsize="1054,468">
              <v:shape style="position:absolute;left:5394;top:7074;width:1054;height:468" coordorigin="5394,7074" coordsize="1054,468" path="m5394,7542l6447,7542,6447,7074,5394,7074,5394,7542xe" filled="true" fillcolor="#ffffff" stroked="false">
                <v:path arrowok="t"/>
                <v:fill type="solid"/>
              </v:shape>
            </v:group>
            <v:group style="position:absolute;left:4331;top:7069;width:1054;height:2" coordorigin="4331,7069" coordsize="1054,2">
              <v:shape style="position:absolute;left:4331;top:7069;width:1054;height:2" coordorigin="4331,7069" coordsize="1054,0" path="m4331,7069l5384,7069e" filled="false" stroked="true" strokeweight=".47998pt" strokecolor="#000000">
                <v:path arrowok="t"/>
              </v:shape>
            </v:group>
            <v:group style="position:absolute;left:5394;top:7069;width:1052;height:2" coordorigin="5394,7069" coordsize="1052,2">
              <v:shape style="position:absolute;left:5394;top:7069;width:1052;height:2" coordorigin="5394,7069" coordsize="1052,0" path="m5394,7069l6445,7069e" filled="false" stroked="true" strokeweight=".47998pt" strokecolor="#000000">
                <v:path arrowok="t"/>
              </v:shape>
            </v:group>
            <v:group style="position:absolute;left:6455;top:7069;width:1055;height:2" coordorigin="6455,7069" coordsize="1055,2">
              <v:shape style="position:absolute;left:6455;top:7069;width:1055;height:2" coordorigin="6455,7069" coordsize="1055,0" path="m6455,7069l7509,7069e" filled="false" stroked="true" strokeweight=".47998pt" strokecolor="#000000">
                <v:path arrowok="t"/>
              </v:shape>
            </v:group>
            <v:group style="position:absolute;left:7518;top:7069;width:1054;height:2" coordorigin="7518,7069" coordsize="1054,2">
              <v:shape style="position:absolute;left:7518;top:7069;width:1054;height:2" coordorigin="7518,7069" coordsize="1054,0" path="m7518,7069l8572,7069e" filled="false" stroked="true" strokeweight=".47998pt" strokecolor="#000000">
                <v:path arrowok="t"/>
              </v:shape>
            </v:group>
            <v:group style="position:absolute;left:8581;top:7069;width:1055;height:2" coordorigin="8581,7069" coordsize="1055,2">
              <v:shape style="position:absolute;left:8581;top:7069;width:1055;height:2" coordorigin="8581,7069" coordsize="1055,0" path="m8581,7069l9635,7069e" filled="false" stroked="true" strokeweight=".47998pt" strokecolor="#000000">
                <v:path arrowok="t"/>
              </v:shape>
            </v:group>
            <v:group style="position:absolute;left:9645;top:7069;width:1054;height:2" coordorigin="9645,7069" coordsize="1054,2">
              <v:shape style="position:absolute;left:9645;top:7069;width:1054;height:2" coordorigin="9645,7069" coordsize="1054,0" path="m9645,7069l10699,7069e" filled="false" stroked="true" strokeweight=".47998pt" strokecolor="#000000">
                <v:path arrowok="t"/>
              </v:shape>
            </v:group>
            <v:group style="position:absolute;left:1138;top:8408;width:1057;height:2" coordorigin="1138,8408" coordsize="1057,2">
              <v:shape style="position:absolute;left:1138;top:8408;width:1057;height:2" coordorigin="1138,8408" coordsize="1057,0" path="m1138,8408l2194,8408e" filled="false" stroked="true" strokeweight=".48001pt" strokecolor="#000000">
                <v:path arrowok="t"/>
              </v:shape>
            </v:group>
            <v:group style="position:absolute;left:2204;top:8408;width:1054;height:2" coordorigin="2204,8408" coordsize="1054,2">
              <v:shape style="position:absolute;left:2204;top:8408;width:1054;height:2" coordorigin="2204,8408" coordsize="1054,0" path="m2204,8408l3257,8408e" filled="false" stroked="true" strokeweight=".48001pt" strokecolor="#000000">
                <v:path arrowok="t"/>
              </v:shape>
            </v:group>
            <v:group style="position:absolute;left:3267;top:8408;width:1055;height:2" coordorigin="3267,8408" coordsize="1055,2">
              <v:shape style="position:absolute;left:3267;top:8408;width:1055;height:2" coordorigin="3267,8408" coordsize="1055,0" path="m3267,8408l4321,8408e" filled="false" stroked="true" strokeweight=".48001pt" strokecolor="#000000">
                <v:path arrowok="t"/>
              </v:shape>
            </v:group>
            <v:group style="position:absolute;left:4331;top:8408;width:1054;height:2" coordorigin="4331,8408" coordsize="1054,2">
              <v:shape style="position:absolute;left:4331;top:8408;width:1054;height:2" coordorigin="4331,8408" coordsize="1054,0" path="m4331,8408l5384,8408e" filled="false" stroked="true" strokeweight=".48001pt" strokecolor="#000000">
                <v:path arrowok="t"/>
              </v:shape>
            </v:group>
            <v:group style="position:absolute;left:5394;top:8408;width:1052;height:2" coordorigin="5394,8408" coordsize="1052,2">
              <v:shape style="position:absolute;left:5394;top:8408;width:1052;height:2" coordorigin="5394,8408" coordsize="1052,0" path="m5394,8408l6445,8408e" filled="false" stroked="true" strokeweight=".48001pt" strokecolor="#000000">
                <v:path arrowok="t"/>
              </v:shape>
            </v:group>
            <v:group style="position:absolute;left:6455;top:8408;width:1055;height:2" coordorigin="6455,8408" coordsize="1055,2">
              <v:shape style="position:absolute;left:6455;top:8408;width:1055;height:2" coordorigin="6455,8408" coordsize="1055,0" path="m6455,8408l7509,8408e" filled="false" stroked="true" strokeweight=".48001pt" strokecolor="#000000">
                <v:path arrowok="t"/>
              </v:shape>
            </v:group>
            <v:group style="position:absolute;left:7518;top:8408;width:1054;height:2" coordorigin="7518,8408" coordsize="1054,2">
              <v:shape style="position:absolute;left:7518;top:8408;width:1054;height:2" coordorigin="7518,8408" coordsize="1054,0" path="m7518,8408l8572,8408e" filled="false" stroked="true" strokeweight=".48001pt" strokecolor="#000000">
                <v:path arrowok="t"/>
              </v:shape>
            </v:group>
            <v:group style="position:absolute;left:8581;top:8408;width:1055;height:2" coordorigin="8581,8408" coordsize="1055,2">
              <v:shape style="position:absolute;left:8581;top:8408;width:1055;height:2" coordorigin="8581,8408" coordsize="1055,0" path="m8581,8408l9635,8408e" filled="false" stroked="true" strokeweight=".48001pt" strokecolor="#000000">
                <v:path arrowok="t"/>
              </v:shape>
            </v:group>
            <v:group style="position:absolute;left:9645;top:8408;width:1054;height:2" coordorigin="9645,8408" coordsize="1054,2">
              <v:shape style="position:absolute;left:9645;top:8408;width:1054;height:2" coordorigin="9645,8408" coordsize="1054,0" path="m9645,8408l10699,8408e" filled="false" stroked="true" strokeweight=".48001pt" strokecolor="#000000">
                <v:path arrowok="t"/>
              </v:shape>
            </v:group>
            <v:group style="position:absolute;left:1138;top:10057;width:1057;height:2" coordorigin="1138,10057" coordsize="1057,2">
              <v:shape style="position:absolute;left:1138;top:10057;width:1057;height:2" coordorigin="1138,10057" coordsize="1057,0" path="m1138,10057l2194,10057e" filled="false" stroked="true" strokeweight=".47998pt" strokecolor="#000000">
                <v:path arrowok="t"/>
              </v:shape>
            </v:group>
            <v:group style="position:absolute;left:2204;top:10057;width:1054;height:2" coordorigin="2204,10057" coordsize="1054,2">
              <v:shape style="position:absolute;left:2204;top:10057;width:1054;height:2" coordorigin="2204,10057" coordsize="1054,0" path="m2204,10057l3257,10057e" filled="false" stroked="true" strokeweight=".47998pt" strokecolor="#000000">
                <v:path arrowok="t"/>
              </v:shape>
            </v:group>
            <v:group style="position:absolute;left:3267;top:10057;width:1055;height:2" coordorigin="3267,10057" coordsize="1055,2">
              <v:shape style="position:absolute;left:3267;top:10057;width:1055;height:2" coordorigin="3267,10057" coordsize="1055,0" path="m3267,10057l4321,10057e" filled="false" stroked="true" strokeweight=".47998pt" strokecolor="#000000">
                <v:path arrowok="t"/>
              </v:shape>
            </v:group>
            <v:group style="position:absolute;left:4331;top:10057;width:1054;height:2" coordorigin="4331,10057" coordsize="1054,2">
              <v:shape style="position:absolute;left:4331;top:10057;width:1054;height:2" coordorigin="4331,10057" coordsize="1054,0" path="m4331,10057l5384,10057e" filled="false" stroked="true" strokeweight=".47998pt" strokecolor="#000000">
                <v:path arrowok="t"/>
              </v:shape>
            </v:group>
            <v:group style="position:absolute;left:5394;top:10057;width:1052;height:2" coordorigin="5394,10057" coordsize="1052,2">
              <v:shape style="position:absolute;left:5394;top:10057;width:1052;height:2" coordorigin="5394,10057" coordsize="1052,0" path="m5394,10057l6445,10057e" filled="false" stroked="true" strokeweight=".47998pt" strokecolor="#000000">
                <v:path arrowok="t"/>
              </v:shape>
            </v:group>
            <v:group style="position:absolute;left:6455;top:10057;width:1055;height:2" coordorigin="6455,10057" coordsize="1055,2">
              <v:shape style="position:absolute;left:6455;top:10057;width:1055;height:2" coordorigin="6455,10057" coordsize="1055,0" path="m6455,10057l7509,10057e" filled="false" stroked="true" strokeweight=".47998pt" strokecolor="#000000">
                <v:path arrowok="t"/>
              </v:shape>
            </v:group>
            <v:group style="position:absolute;left:7518;top:10057;width:1054;height:2" coordorigin="7518,10057" coordsize="1054,2">
              <v:shape style="position:absolute;left:7518;top:10057;width:1054;height:2" coordorigin="7518,10057" coordsize="1054,0" path="m7518,10057l8572,10057e" filled="false" stroked="true" strokeweight=".47998pt" strokecolor="#000000">
                <v:path arrowok="t"/>
              </v:shape>
            </v:group>
            <v:group style="position:absolute;left:8581;top:10057;width:1055;height:2" coordorigin="8581,10057" coordsize="1055,2">
              <v:shape style="position:absolute;left:8581;top:10057;width:1055;height:2" coordorigin="8581,10057" coordsize="1055,0" path="m8581,10057l9635,10057e" filled="false" stroked="true" strokeweight=".47998pt" strokecolor="#000000">
                <v:path arrowok="t"/>
              </v:shape>
            </v:group>
            <v:group style="position:absolute;left:9645;top:10057;width:1054;height:2" coordorigin="9645,10057" coordsize="1054,2">
              <v:shape style="position:absolute;left:9645;top:10057;width:1054;height:2" coordorigin="9645,10057" coordsize="1054,0" path="m9645,10057l10699,10057e" filled="false" stroked="true" strokeweight=".47998pt" strokecolor="#000000">
                <v:path arrowok="t"/>
              </v:shape>
            </v:group>
            <v:group style="position:absolute;left:5394;top:12025;width:1054;height:468" coordorigin="5394,12025" coordsize="1054,468">
              <v:shape style="position:absolute;left:5394;top:12025;width:1054;height:468" coordorigin="5394,12025" coordsize="1054,468" path="m5394,12493l6447,12493,6447,12025,5394,12025,5394,12493xe" filled="true" fillcolor="#ffffff" stroked="false">
                <v:path arrowok="t"/>
                <v:fill type="solid"/>
              </v:shape>
            </v:group>
            <v:group style="position:absolute;left:1138;top:12021;width:1057;height:2" coordorigin="1138,12021" coordsize="1057,2">
              <v:shape style="position:absolute;left:1138;top:12021;width:1057;height:2" coordorigin="1138,12021" coordsize="1057,0" path="m1138,12021l2194,12021e" filled="false" stroked="true" strokeweight=".48004pt" strokecolor="#000000">
                <v:path arrowok="t"/>
              </v:shape>
            </v:group>
            <v:group style="position:absolute;left:2204;top:12021;width:1054;height:2" coordorigin="2204,12021" coordsize="1054,2">
              <v:shape style="position:absolute;left:2204;top:12021;width:1054;height:2" coordorigin="2204,12021" coordsize="1054,0" path="m2204,12021l3257,12021e" filled="false" stroked="true" strokeweight=".48004pt" strokecolor="#000000">
                <v:path arrowok="t"/>
              </v:shape>
            </v:group>
            <v:group style="position:absolute;left:3267;top:12021;width:1055;height:2" coordorigin="3267,12021" coordsize="1055,2">
              <v:shape style="position:absolute;left:3267;top:12021;width:1055;height:2" coordorigin="3267,12021" coordsize="1055,0" path="m3267,12021l4321,12021e" filled="false" stroked="true" strokeweight=".48004pt" strokecolor="#000000">
                <v:path arrowok="t"/>
              </v:shape>
            </v:group>
            <v:group style="position:absolute;left:4331;top:12021;width:1054;height:2" coordorigin="4331,12021" coordsize="1054,2">
              <v:shape style="position:absolute;left:4331;top:12021;width:1054;height:2" coordorigin="4331,12021" coordsize="1054,0" path="m4331,12021l5384,12021e" filled="false" stroked="true" strokeweight=".48004pt" strokecolor="#000000">
                <v:path arrowok="t"/>
              </v:shape>
            </v:group>
            <v:group style="position:absolute;left:5394;top:12021;width:1052;height:2" coordorigin="5394,12021" coordsize="1052,2">
              <v:shape style="position:absolute;left:5394;top:12021;width:1052;height:2" coordorigin="5394,12021" coordsize="1052,0" path="m5394,12021l6445,12021e" filled="false" stroked="true" strokeweight=".48004pt" strokecolor="#000000">
                <v:path arrowok="t"/>
              </v:shape>
            </v:group>
            <v:group style="position:absolute;left:6455;top:12021;width:1055;height:2" coordorigin="6455,12021" coordsize="1055,2">
              <v:shape style="position:absolute;left:6455;top:12021;width:1055;height:2" coordorigin="6455,12021" coordsize="1055,0" path="m6455,12021l7509,12021e" filled="false" stroked="true" strokeweight=".48004pt" strokecolor="#000000">
                <v:path arrowok="t"/>
              </v:shape>
            </v:group>
            <v:group style="position:absolute;left:7518;top:12021;width:1054;height:2" coordorigin="7518,12021" coordsize="1054,2">
              <v:shape style="position:absolute;left:7518;top:12021;width:1054;height:2" coordorigin="7518,12021" coordsize="1054,0" path="m7518,12021l8572,12021e" filled="false" stroked="true" strokeweight=".48004pt" strokecolor="#000000">
                <v:path arrowok="t"/>
              </v:shape>
            </v:group>
            <v:group style="position:absolute;left:8581;top:12021;width:1055;height:2" coordorigin="8581,12021" coordsize="1055,2">
              <v:shape style="position:absolute;left:8581;top:12021;width:1055;height:2" coordorigin="8581,12021" coordsize="1055,0" path="m8581,12021l9635,12021e" filled="false" stroked="true" strokeweight=".48004pt" strokecolor="#000000">
                <v:path arrowok="t"/>
              </v:shape>
            </v:group>
            <v:group style="position:absolute;left:9645;top:12021;width:1054;height:2" coordorigin="9645,12021" coordsize="1054,2">
              <v:shape style="position:absolute;left:9645;top:12021;width:1054;height:2" coordorigin="9645,12021" coordsize="1054,0" path="m9645,12021l10699,12021e" filled="false" stroked="true" strokeweight=".48004pt" strokecolor="#000000">
                <v:path arrowok="t"/>
              </v:shape>
            </v:group>
            <v:group style="position:absolute;left:5394;top:13363;width:1054;height:624" coordorigin="5394,13363" coordsize="1054,624">
              <v:shape style="position:absolute;left:5394;top:13363;width:1054;height:624" coordorigin="5394,13363" coordsize="1054,624" path="m5394,13987l6447,13987,6447,13363,5394,13363,5394,13987xe" filled="true" fillcolor="#ffffff" stroked="false">
                <v:path arrowok="t"/>
                <v:fill type="solid"/>
              </v:shape>
            </v:group>
            <v:group style="position:absolute;left:1138;top:13358;width:1057;height:2" coordorigin="1138,13358" coordsize="1057,2">
              <v:shape style="position:absolute;left:1138;top:13358;width:1057;height:2" coordorigin="1138,13358" coordsize="1057,0" path="m1138,13358l2194,13358e" filled="false" stroked="true" strokeweight=".47998pt" strokecolor="#000000">
                <v:path arrowok="t"/>
              </v:shape>
            </v:group>
            <v:group style="position:absolute;left:2204;top:13358;width:1054;height:2" coordorigin="2204,13358" coordsize="1054,2">
              <v:shape style="position:absolute;left:2204;top:13358;width:1054;height:2" coordorigin="2204,13358" coordsize="1054,0" path="m2204,13358l3257,13358e" filled="false" stroked="true" strokeweight=".47998pt" strokecolor="#000000">
                <v:path arrowok="t"/>
              </v:shape>
            </v:group>
            <v:group style="position:absolute;left:3267;top:13358;width:1055;height:2" coordorigin="3267,13358" coordsize="1055,2">
              <v:shape style="position:absolute;left:3267;top:13358;width:1055;height:2" coordorigin="3267,13358" coordsize="1055,0" path="m3267,13358l4321,13358e" filled="false" stroked="true" strokeweight=".47998pt" strokecolor="#000000">
                <v:path arrowok="t"/>
              </v:shape>
            </v:group>
            <v:group style="position:absolute;left:4331;top:13358;width:1054;height:2" coordorigin="4331,13358" coordsize="1054,2">
              <v:shape style="position:absolute;left:4331;top:13358;width:1054;height:2" coordorigin="4331,13358" coordsize="1054,0" path="m4331,13358l5384,13358e" filled="false" stroked="true" strokeweight=".47998pt" strokecolor="#000000">
                <v:path arrowok="t"/>
              </v:shape>
            </v:group>
            <v:group style="position:absolute;left:5394;top:13358;width:1052;height:2" coordorigin="5394,13358" coordsize="1052,2">
              <v:shape style="position:absolute;left:5394;top:13358;width:1052;height:2" coordorigin="5394,13358" coordsize="1052,0" path="m5394,13358l6445,13358e" filled="false" stroked="true" strokeweight=".47998pt" strokecolor="#000000">
                <v:path arrowok="t"/>
              </v:shape>
            </v:group>
            <v:group style="position:absolute;left:6455;top:13358;width:1055;height:2" coordorigin="6455,13358" coordsize="1055,2">
              <v:shape style="position:absolute;left:6455;top:13358;width:1055;height:2" coordorigin="6455,13358" coordsize="1055,0" path="m6455,13358l7509,13358e" filled="false" stroked="true" strokeweight=".47998pt" strokecolor="#000000">
                <v:path arrowok="t"/>
              </v:shape>
            </v:group>
            <v:group style="position:absolute;left:7518;top:13358;width:1054;height:2" coordorigin="7518,13358" coordsize="1054,2">
              <v:shape style="position:absolute;left:7518;top:13358;width:1054;height:2" coordorigin="7518,13358" coordsize="1054,0" path="m7518,13358l8572,13358e" filled="false" stroked="true" strokeweight=".47998pt" strokecolor="#000000">
                <v:path arrowok="t"/>
              </v:shape>
            </v:group>
            <v:group style="position:absolute;left:8581;top:13358;width:1055;height:2" coordorigin="8581,13358" coordsize="1055,2">
              <v:shape style="position:absolute;left:8581;top:13358;width:1055;height:2" coordorigin="8581,13358" coordsize="1055,0" path="m8581,13358l9635,13358e" filled="false" stroked="true" strokeweight=".47998pt" strokecolor="#000000">
                <v:path arrowok="t"/>
              </v:shape>
            </v:group>
            <v:group style="position:absolute;left:9645;top:13358;width:1054;height:2" coordorigin="9645,13358" coordsize="1054,2">
              <v:shape style="position:absolute;left:9645;top:13358;width:1054;height:2" coordorigin="9645,13358" coordsize="1054,0" path="m9645,13358l10699,13358e" filled="false" stroked="true" strokeweight=".47998pt" strokecolor="#000000">
                <v:path arrowok="t"/>
              </v:shape>
            </v:group>
            <v:group style="position:absolute;left:1133;top:1440;width:2;height:13574" coordorigin="1133,1440" coordsize="2,13574">
              <v:shape style="position:absolute;left:1133;top:1440;width:2;height:13574" coordorigin="1133,1440" coordsize="0,13574" path="m1133,1440l1133,15014e" filled="false" stroked="true" strokeweight=".48pt" strokecolor="#000000">
                <v:path arrowok="t"/>
              </v:shape>
            </v:group>
            <v:group style="position:absolute;left:1138;top:15009;width:1057;height:2" coordorigin="1138,15009" coordsize="1057,2">
              <v:shape style="position:absolute;left:1138;top:15009;width:1057;height:2" coordorigin="1138,15009" coordsize="1057,0" path="m1138,15009l2194,15009e" filled="false" stroked="true" strokeweight=".47998pt" strokecolor="#000000">
                <v:path arrowok="t"/>
              </v:shape>
            </v:group>
            <v:group style="position:absolute;left:2199;top:1440;width:2;height:13574" coordorigin="2199,1440" coordsize="2,13574">
              <v:shape style="position:absolute;left:2199;top:1440;width:2;height:13574" coordorigin="2199,1440" coordsize="0,13574" path="m2199,1440l2199,15014e" filled="false" stroked="true" strokeweight=".48pt" strokecolor="#000000">
                <v:path arrowok="t"/>
              </v:shape>
            </v:group>
            <v:group style="position:absolute;left:2204;top:15009;width:1054;height:2" coordorigin="2204,15009" coordsize="1054,2">
              <v:shape style="position:absolute;left:2204;top:15009;width:1054;height:2" coordorigin="2204,15009" coordsize="1054,0" path="m2204,15009l3257,15009e" filled="false" stroked="true" strokeweight=".47998pt" strokecolor="#000000">
                <v:path arrowok="t"/>
              </v:shape>
            </v:group>
            <v:group style="position:absolute;left:3262;top:1440;width:2;height:13574" coordorigin="3262,1440" coordsize="2,13574">
              <v:shape style="position:absolute;left:3262;top:1440;width:2;height:13574" coordorigin="3262,1440" coordsize="0,13574" path="m3262,1440l3262,15014e" filled="false" stroked="true" strokeweight=".48pt" strokecolor="#000000">
                <v:path arrowok="t"/>
              </v:shape>
            </v:group>
            <v:group style="position:absolute;left:3267;top:15009;width:1055;height:2" coordorigin="3267,15009" coordsize="1055,2">
              <v:shape style="position:absolute;left:3267;top:15009;width:1055;height:2" coordorigin="3267,15009" coordsize="1055,0" path="m3267,15009l4321,15009e" filled="false" stroked="true" strokeweight=".47998pt" strokecolor="#000000">
                <v:path arrowok="t"/>
              </v:shape>
            </v:group>
            <v:group style="position:absolute;left:4326;top:1440;width:2;height:13574" coordorigin="4326,1440" coordsize="2,13574">
              <v:shape style="position:absolute;left:4326;top:1440;width:2;height:13574" coordorigin="4326,1440" coordsize="0,13574" path="m4326,1440l4326,15014e" filled="false" stroked="true" strokeweight=".48pt" strokecolor="#000000">
                <v:path arrowok="t"/>
              </v:shape>
            </v:group>
            <v:group style="position:absolute;left:4331;top:15009;width:1054;height:2" coordorigin="4331,15009" coordsize="1054,2">
              <v:shape style="position:absolute;left:4331;top:15009;width:1054;height:2" coordorigin="4331,15009" coordsize="1054,0" path="m4331,15009l5384,15009e" filled="false" stroked="true" strokeweight=".47998pt" strokecolor="#000000">
                <v:path arrowok="t"/>
              </v:shape>
            </v:group>
            <v:group style="position:absolute;left:5389;top:1440;width:2;height:13574" coordorigin="5389,1440" coordsize="2,13574">
              <v:shape style="position:absolute;left:5389;top:1440;width:2;height:13574" coordorigin="5389,1440" coordsize="0,13574" path="m5389,1440l5389,15014e" filled="false" stroked="true" strokeweight=".47998pt" strokecolor="#000000">
                <v:path arrowok="t"/>
              </v:shape>
            </v:group>
            <v:group style="position:absolute;left:5394;top:15009;width:1052;height:2" coordorigin="5394,15009" coordsize="1052,2">
              <v:shape style="position:absolute;left:5394;top:15009;width:1052;height:2" coordorigin="5394,15009" coordsize="1052,0" path="m5394,15009l6445,15009e" filled="false" stroked="true" strokeweight=".47998pt" strokecolor="#000000">
                <v:path arrowok="t"/>
              </v:shape>
            </v:group>
            <v:group style="position:absolute;left:6450;top:1440;width:2;height:13574" coordorigin="6450,1440" coordsize="2,13574">
              <v:shape style="position:absolute;left:6450;top:1440;width:2;height:13574" coordorigin="6450,1440" coordsize="0,13574" path="m6450,1440l6450,15014e" filled="false" stroked="true" strokeweight=".47998pt" strokecolor="#000000">
                <v:path arrowok="t"/>
              </v:shape>
            </v:group>
            <v:group style="position:absolute;left:6455;top:15009;width:1055;height:2" coordorigin="6455,15009" coordsize="1055,2">
              <v:shape style="position:absolute;left:6455;top:15009;width:1055;height:2" coordorigin="6455,15009" coordsize="1055,0" path="m6455,15009l7509,15009e" filled="false" stroked="true" strokeweight=".47998pt" strokecolor="#000000">
                <v:path arrowok="t"/>
              </v:shape>
            </v:group>
            <v:group style="position:absolute;left:7513;top:1440;width:2;height:13574" coordorigin="7513,1440" coordsize="2,13574">
              <v:shape style="position:absolute;left:7513;top:1440;width:2;height:13574" coordorigin="7513,1440" coordsize="0,13574" path="m7513,1440l7513,15014e" filled="false" stroked="true" strokeweight=".48001pt" strokecolor="#000000">
                <v:path arrowok="t"/>
              </v:shape>
            </v:group>
            <v:group style="position:absolute;left:7518;top:15009;width:1054;height:2" coordorigin="7518,15009" coordsize="1054,2">
              <v:shape style="position:absolute;left:7518;top:15009;width:1054;height:2" coordorigin="7518,15009" coordsize="1054,0" path="m7518,15009l8572,15009e" filled="false" stroked="true" strokeweight=".47998pt" strokecolor="#000000">
                <v:path arrowok="t"/>
              </v:shape>
            </v:group>
            <v:group style="position:absolute;left:8577;top:1440;width:2;height:13574" coordorigin="8577,1440" coordsize="2,13574">
              <v:shape style="position:absolute;left:8577;top:1440;width:2;height:13574" coordorigin="8577,1440" coordsize="0,13574" path="m8577,1440l8577,15014e" filled="false" stroked="true" strokeweight=".47998pt" strokecolor="#000000">
                <v:path arrowok="t"/>
              </v:shape>
            </v:group>
            <v:group style="position:absolute;left:8581;top:15009;width:1055;height:2" coordorigin="8581,15009" coordsize="1055,2">
              <v:shape style="position:absolute;left:8581;top:15009;width:1055;height:2" coordorigin="8581,15009" coordsize="1055,0" path="m8581,15009l9635,15009e" filled="false" stroked="true" strokeweight=".47998pt" strokecolor="#000000">
                <v:path arrowok="t"/>
              </v:shape>
            </v:group>
            <v:group style="position:absolute;left:9640;top:1440;width:2;height:13574" coordorigin="9640,1440" coordsize="2,13574">
              <v:shape style="position:absolute;left:9640;top:1440;width:2;height:13574" coordorigin="9640,1440" coordsize="0,13574" path="m9640,1440l9640,15014e" filled="false" stroked="true" strokeweight=".48001pt" strokecolor="#000000">
                <v:path arrowok="t"/>
              </v:shape>
            </v:group>
            <v:group style="position:absolute;left:9645;top:15009;width:1054;height:2" coordorigin="9645,15009" coordsize="1054,2">
              <v:shape style="position:absolute;left:9645;top:15009;width:1054;height:2" coordorigin="9645,15009" coordsize="1054,0" path="m9645,15009l10699,15009e" filled="false" stroked="true" strokeweight=".47998pt" strokecolor="#000000">
                <v:path arrowok="t"/>
              </v:shape>
            </v:group>
            <v:group style="position:absolute;left:10704;top:1440;width:2;height:13574" coordorigin="10704,1440" coordsize="2,13574">
              <v:shape style="position:absolute;left:10704;top:1440;width:2;height:13574" coordorigin="10704,1440" coordsize="0,13574" path="m10704,1440l10704,15014e" filled="false" stroked="true" strokeweight=".47998pt" strokecolor="#000000">
                <v:path arrowok="t"/>
              </v:shape>
            </v:group>
            <w10:wrap type="none"/>
          </v:group>
        </w:pic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年省科 技发展专项 </w:t>
      </w:r>
      <w:r>
        <w:rPr>
          <w:rFonts w:ascii="宋体" w:hAnsi="宋体" w:cs="宋体" w:eastAsia="宋体" w:hint="default"/>
          <w:spacing w:val="-12"/>
          <w:sz w:val="18"/>
          <w:szCs w:val="18"/>
        </w:rPr>
        <w:t>资金（企业研</w:t>
      </w:r>
      <w:r>
        <w:rPr>
          <w:rFonts w:ascii="宋体" w:hAnsi="宋体" w:cs="宋体" w:eastAsia="宋体" w:hint="default"/>
          <w:sz w:val="18"/>
          <w:szCs w:val="18"/>
        </w:rPr>
        <w:t> 究开发补助 资金）项目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spacing w:line="196" w:lineRule="exact" w:before="0"/>
        <w:ind w:left="17" w:right="0" w:firstLine="0"/>
        <w:jc w:val="left"/>
        <w:rPr>
          <w:rFonts w:ascii="宋体" w:hAnsi="宋体" w:cs="宋体" w:eastAsia="宋体" w:hint="default"/>
          <w:sz w:val="18"/>
          <w:szCs w:val="18"/>
        </w:rPr>
      </w:pPr>
      <w:r>
        <w:rPr>
          <w:rFonts w:ascii="宋体" w:hAnsi="宋体" w:cs="宋体" w:eastAsia="宋体" w:hint="default"/>
          <w:sz w:val="18"/>
          <w:szCs w:val="18"/>
        </w:rPr>
        <w:t>广州市天河</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6" w:lineRule="exact" w:before="0"/>
        <w:ind w:left="17" w:right="0" w:firstLine="0"/>
        <w:jc w:val="left"/>
        <w:rPr>
          <w:rFonts w:ascii="宋体" w:hAnsi="宋体" w:cs="宋体" w:eastAsia="宋体" w:hint="default"/>
          <w:sz w:val="18"/>
          <w:szCs w:val="18"/>
        </w:rPr>
      </w:pPr>
      <w:r>
        <w:rPr>
          <w:rFonts w:ascii="宋体" w:hAnsi="宋体" w:cs="宋体" w:eastAsia="宋体" w:hint="default"/>
          <w:sz w:val="18"/>
          <w:szCs w:val="18"/>
        </w:rPr>
        <w:t>区财政局</w:t>
      </w:r>
    </w:p>
    <w:p>
      <w:pPr>
        <w:spacing w:line="310" w:lineRule="atLeast" w:before="126"/>
        <w:ind w:left="181" w:right="645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7" w:val="left" w:leader="none"/>
          <w:tab w:pos="3657" w:val="left" w:leader="none"/>
          <w:tab w:pos="5125" w:val="left" w:leader="none"/>
        </w:tabs>
        <w:spacing w:line="123"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pacing w:val="-1"/>
          <w:sz w:val="18"/>
          <w:szCs w:val="18"/>
        </w:rPr>
        <w:t>32,500.00</w:t>
        <w:tab/>
        <w:t>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与收益相关</w:t>
      </w:r>
    </w:p>
    <w:p>
      <w:pPr>
        <w:spacing w:line="189" w:lineRule="exact" w:before="0"/>
        <w:ind w:left="181" w:right="645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1" w:right="663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1190" w:space="40"/>
            <w:col w:w="1442" w:space="522"/>
            <w:col w:w="7736"/>
          </w:cols>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0" w:top="1100" w:bottom="1160" w:left="980" w:right="0"/>
        </w:sectPr>
      </w:pPr>
    </w:p>
    <w:p>
      <w:pPr>
        <w:spacing w:line="312" w:lineRule="auto" w:before="44"/>
        <w:ind w:left="181"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年国家 高新技术企 业认定奖补 资金</w:t>
      </w:r>
    </w:p>
    <w:p>
      <w:pPr>
        <w:spacing w:line="240" w:lineRule="auto" w:before="0"/>
        <w:rPr>
          <w:rFonts w:ascii="宋体" w:hAnsi="宋体" w:cs="宋体" w:eastAsia="宋体" w:hint="default"/>
          <w:sz w:val="18"/>
          <w:szCs w:val="18"/>
        </w:rPr>
      </w:pPr>
      <w:r>
        <w:rPr/>
        <w:br w:type="column"/>
      </w:r>
      <w:r>
        <w:rPr>
          <w:rFonts w:ascii="宋体"/>
          <w:sz w:val="18"/>
        </w:rPr>
      </w:r>
    </w:p>
    <w:p>
      <w:pPr>
        <w:spacing w:line="196" w:lineRule="exact" w:before="121"/>
        <w:ind w:left="77" w:right="-20" w:firstLine="0"/>
        <w:jc w:val="left"/>
        <w:rPr>
          <w:rFonts w:ascii="宋体" w:hAnsi="宋体" w:cs="宋体" w:eastAsia="宋体" w:hint="default"/>
          <w:sz w:val="18"/>
          <w:szCs w:val="18"/>
        </w:rPr>
      </w:pPr>
      <w:r>
        <w:rPr>
          <w:rFonts w:ascii="宋体" w:hAnsi="宋体" w:cs="宋体" w:eastAsia="宋体" w:hint="default"/>
          <w:sz w:val="18"/>
          <w:szCs w:val="18"/>
        </w:rPr>
        <w:t>深圳市科学</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奖励</w:t>
      </w:r>
    </w:p>
    <w:p>
      <w:pPr>
        <w:spacing w:line="196" w:lineRule="exact" w:before="0"/>
        <w:ind w:left="77" w:right="-20" w:firstLine="0"/>
        <w:jc w:val="left"/>
        <w:rPr>
          <w:rFonts w:ascii="宋体" w:hAnsi="宋体" w:cs="宋体" w:eastAsia="宋体" w:hint="default"/>
          <w:sz w:val="18"/>
          <w:szCs w:val="18"/>
        </w:rPr>
      </w:pPr>
      <w:r>
        <w:rPr>
          <w:rFonts w:ascii="宋体" w:hAnsi="宋体" w:cs="宋体" w:eastAsia="宋体" w:hint="default"/>
          <w:sz w:val="18"/>
          <w:szCs w:val="18"/>
        </w:rPr>
        <w:t>创新委员会</w:t>
      </w:r>
    </w:p>
    <w:p>
      <w:pPr>
        <w:spacing w:line="312" w:lineRule="exact" w:before="5"/>
        <w:ind w:left="181" w:right="645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7" w:val="left" w:leader="none"/>
          <w:tab w:pos="3657" w:val="left" w:leader="none"/>
          <w:tab w:pos="5125" w:val="left" w:leader="none"/>
        </w:tabs>
        <w:spacing w:line="86"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30,000.00</w:t>
        <w:tab/>
        <w:t>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与收益相关</w:t>
      </w:r>
    </w:p>
    <w:p>
      <w:pPr>
        <w:spacing w:line="189" w:lineRule="exact" w:before="0"/>
        <w:ind w:left="181" w:right="645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1" w:right="663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1131" w:space="40"/>
            <w:col w:w="1501" w:space="522"/>
            <w:col w:w="7736"/>
          </w:cols>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spacing w:line="314"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科技创新成 果奖</w:t>
      </w:r>
    </w:p>
    <w:p>
      <w:pPr>
        <w:spacing w:line="240" w:lineRule="auto" w:before="8"/>
        <w:rPr>
          <w:rFonts w:ascii="宋体" w:hAnsi="宋体" w:cs="宋体" w:eastAsia="宋体" w:hint="default"/>
          <w:sz w:val="20"/>
          <w:szCs w:val="20"/>
        </w:rPr>
      </w:pPr>
      <w:r>
        <w:rPr/>
        <w:br w:type="column"/>
      </w:r>
      <w:r>
        <w:rPr>
          <w:rFonts w:ascii="宋体"/>
          <w:sz w:val="20"/>
        </w:rPr>
      </w:r>
    </w:p>
    <w:p>
      <w:pPr>
        <w:spacing w:line="316" w:lineRule="auto" w:before="0"/>
        <w:ind w:left="125" w:right="-19" w:firstLine="0"/>
        <w:jc w:val="left"/>
        <w:rPr>
          <w:rFonts w:ascii="宋体" w:hAnsi="宋体" w:cs="宋体" w:eastAsia="宋体" w:hint="default"/>
          <w:sz w:val="18"/>
          <w:szCs w:val="18"/>
        </w:rPr>
      </w:pPr>
      <w:r>
        <w:rPr>
          <w:rFonts w:ascii="宋体" w:hAnsi="宋体" w:cs="宋体" w:eastAsia="宋体" w:hint="default"/>
          <w:sz w:val="18"/>
          <w:szCs w:val="18"/>
        </w:rPr>
        <w:t>高新技术创 新创业服务</w:t>
      </w:r>
      <w:r>
        <w:rPr>
          <w:rFonts w:ascii="宋体" w:hAnsi="宋体" w:cs="宋体" w:eastAsia="宋体" w:hint="default"/>
          <w:spacing w:val="73"/>
          <w:sz w:val="18"/>
          <w:szCs w:val="18"/>
        </w:rPr>
        <w:t> </w:t>
      </w:r>
      <w:r>
        <w:rPr>
          <w:rFonts w:ascii="宋体" w:hAnsi="宋体" w:cs="宋体" w:eastAsia="宋体" w:hint="default"/>
          <w:sz w:val="18"/>
          <w:szCs w:val="18"/>
        </w:rPr>
        <w:t>奖励</w:t>
      </w:r>
      <w:r>
        <w:rPr>
          <w:rFonts w:ascii="宋体" w:hAnsi="宋体" w:cs="宋体" w:eastAsia="宋体" w:hint="default"/>
          <w:sz w:val="18"/>
          <w:szCs w:val="18"/>
        </w:rPr>
        <w:t> 中心</w:t>
      </w:r>
    </w:p>
    <w:p>
      <w:pPr>
        <w:spacing w:line="310" w:lineRule="atLeast" w:before="39"/>
        <w:ind w:left="181" w:right="645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7" w:val="left" w:leader="none"/>
          <w:tab w:pos="3657" w:val="left" w:leader="none"/>
          <w:tab w:pos="4720" w:val="left" w:leader="none"/>
        </w:tabs>
        <w:spacing w:line="124"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15,000.00</w:t>
        <w:tab/>
        <w:t>27,500.00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与收益相关</w:t>
      </w:r>
    </w:p>
    <w:p>
      <w:pPr>
        <w:spacing w:line="188" w:lineRule="exact" w:before="0"/>
        <w:ind w:left="181" w:right="645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1" w:right="663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1082" w:space="40"/>
            <w:col w:w="1550" w:space="522"/>
            <w:col w:w="773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before="44"/>
        <w:ind w:left="181"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CMMI </w:t>
      </w:r>
      <w:r>
        <w:rPr>
          <w:rFonts w:ascii="宋体" w:hAnsi="宋体" w:cs="宋体" w:eastAsia="宋体" w:hint="default"/>
          <w:sz w:val="18"/>
          <w:szCs w:val="18"/>
        </w:rPr>
        <w:t>资质</w:t>
      </w:r>
    </w:p>
    <w:p>
      <w:pPr>
        <w:spacing w:line="203" w:lineRule="exact" w:before="63"/>
        <w:ind w:left="181" w:right="-20" w:firstLine="0"/>
        <w:jc w:val="left"/>
        <w:rPr>
          <w:rFonts w:ascii="宋体" w:hAnsi="宋体" w:cs="宋体" w:eastAsia="宋体" w:hint="default"/>
          <w:sz w:val="18"/>
          <w:szCs w:val="18"/>
        </w:rPr>
      </w:pPr>
      <w:r>
        <w:rPr>
          <w:rFonts w:ascii="宋体" w:hAnsi="宋体" w:cs="宋体" w:eastAsia="宋体" w:hint="default"/>
          <w:sz w:val="18"/>
          <w:szCs w:val="18"/>
        </w:rPr>
        <w:t>奖励、</w:t>
      </w:r>
      <w:r>
        <w:rPr>
          <w:rFonts w:ascii="Times New Roman" w:hAnsi="Times New Roman" w:cs="Times New Roman" w:eastAsia="Times New Roman" w:hint="default"/>
          <w:sz w:val="18"/>
          <w:szCs w:val="18"/>
        </w:rPr>
        <w:t>iso </w:t>
      </w:r>
      <w:r>
        <w:rPr>
          <w:rFonts w:ascii="宋体" w:hAnsi="宋体" w:cs="宋体" w:eastAsia="宋体" w:hint="default"/>
          <w:sz w:val="18"/>
          <w:szCs w:val="18"/>
        </w:rPr>
        <w:t>资</w:t>
      </w:r>
      <w:r>
        <w:rPr>
          <w:rFonts w:ascii="宋体" w:hAnsi="宋体" w:cs="宋体" w:eastAsia="宋体" w:hint="default"/>
          <w:spacing w:val="-2"/>
          <w:sz w:val="18"/>
          <w:szCs w:val="18"/>
        </w:rPr>
        <w:t> </w:t>
      </w:r>
      <w:r>
        <w:rPr>
          <w:rFonts w:ascii="宋体" w:hAnsi="宋体" w:cs="宋体" w:eastAsia="宋体" w:hint="default"/>
          <w:sz w:val="18"/>
          <w:szCs w:val="18"/>
        </w:rPr>
        <w:t>广州市天河</w:t>
      </w:r>
    </w:p>
    <w:p>
      <w:pPr>
        <w:spacing w:line="149"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奖励</w:t>
      </w:r>
    </w:p>
    <w:p>
      <w:pPr>
        <w:spacing w:line="196" w:lineRule="exact" w:before="0"/>
        <w:ind w:left="181" w:right="-20" w:firstLine="0"/>
        <w:jc w:val="left"/>
        <w:rPr>
          <w:rFonts w:ascii="宋体" w:hAnsi="宋体" w:cs="宋体" w:eastAsia="宋体" w:hint="default"/>
          <w:sz w:val="18"/>
          <w:szCs w:val="18"/>
        </w:rPr>
      </w:pPr>
      <w:r>
        <w:rPr>
          <w:rFonts w:ascii="宋体" w:hAnsi="宋体" w:cs="宋体" w:eastAsia="宋体" w:hint="default"/>
          <w:spacing w:val="-12"/>
          <w:sz w:val="18"/>
          <w:szCs w:val="18"/>
        </w:rPr>
        <w:t>质奖励、软件</w:t>
      </w:r>
      <w:r>
        <w:rPr>
          <w:rFonts w:ascii="宋体" w:hAnsi="宋体" w:cs="宋体" w:eastAsia="宋体" w:hint="default"/>
          <w:spacing w:val="-32"/>
          <w:sz w:val="18"/>
          <w:szCs w:val="18"/>
        </w:rPr>
        <w:t> </w:t>
      </w:r>
      <w:r>
        <w:rPr>
          <w:rFonts w:ascii="宋体" w:hAnsi="宋体" w:cs="宋体" w:eastAsia="宋体" w:hint="default"/>
          <w:sz w:val="18"/>
          <w:szCs w:val="18"/>
        </w:rPr>
        <w:t>区财政局</w:t>
      </w:r>
    </w:p>
    <w:p>
      <w:pPr>
        <w:spacing w:before="76"/>
        <w:ind w:left="181" w:right="-20" w:firstLine="0"/>
        <w:jc w:val="left"/>
        <w:rPr>
          <w:rFonts w:ascii="宋体" w:hAnsi="宋体" w:cs="宋体" w:eastAsia="宋体" w:hint="default"/>
          <w:sz w:val="18"/>
          <w:szCs w:val="18"/>
        </w:rPr>
      </w:pPr>
      <w:r>
        <w:rPr>
          <w:rFonts w:ascii="宋体" w:hAnsi="宋体" w:cs="宋体" w:eastAsia="宋体" w:hint="default"/>
          <w:sz w:val="18"/>
          <w:szCs w:val="18"/>
        </w:rPr>
        <w:t>著作权奖励</w:t>
      </w:r>
    </w:p>
    <w:p>
      <w:pPr>
        <w:spacing w:line="312" w:lineRule="exact" w:before="5"/>
        <w:ind w:left="181" w:right="645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7" w:val="left" w:leader="none"/>
          <w:tab w:pos="3745" w:val="left" w:leader="none"/>
          <w:tab w:pos="5125" w:val="left" w:leader="none"/>
        </w:tabs>
        <w:spacing w:line="86"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z w:val="18"/>
          <w:szCs w:val="18"/>
        </w:rPr>
        <w:t>5,000.00</w:t>
        <w:tab/>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与收益相关</w:t>
      </w:r>
    </w:p>
    <w:p>
      <w:pPr>
        <w:spacing w:line="189" w:lineRule="exact" w:before="0"/>
        <w:ind w:left="181" w:right="645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1" w:right="663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671" w:space="522"/>
            <w:col w:w="7737"/>
          </w:cols>
        </w:sectPr>
      </w:pP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line="209" w:lineRule="exact"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股权融资专</w:t>
      </w:r>
    </w:p>
    <w:p>
      <w:pPr>
        <w:spacing w:line="240" w:lineRule="auto" w:before="0"/>
        <w:rPr>
          <w:rFonts w:ascii="宋体" w:hAnsi="宋体" w:cs="宋体" w:eastAsia="宋体" w:hint="default"/>
          <w:sz w:val="18"/>
          <w:szCs w:val="18"/>
        </w:rPr>
      </w:pPr>
      <w:r>
        <w:rPr/>
        <w:br w:type="column"/>
      </w:r>
      <w:r>
        <w:rPr>
          <w:rFonts w:ascii="宋体"/>
          <w:sz w:val="18"/>
        </w:rPr>
      </w:r>
    </w:p>
    <w:p>
      <w:pPr>
        <w:spacing w:before="121"/>
        <w:ind w:left="125" w:right="-19" w:firstLine="0"/>
        <w:jc w:val="left"/>
        <w:rPr>
          <w:rFonts w:ascii="宋体" w:hAnsi="宋体" w:cs="宋体" w:eastAsia="宋体" w:hint="default"/>
          <w:sz w:val="18"/>
          <w:szCs w:val="18"/>
        </w:rPr>
      </w:pPr>
      <w:r>
        <w:rPr>
          <w:rFonts w:ascii="宋体" w:hAnsi="宋体" w:cs="宋体" w:eastAsia="宋体" w:hint="default"/>
          <w:sz w:val="18"/>
          <w:szCs w:val="18"/>
        </w:rPr>
        <w:t>中国（南京）</w:t>
      </w:r>
    </w:p>
    <w:p>
      <w:pPr>
        <w:spacing w:line="314" w:lineRule="auto" w:before="44"/>
        <w:ind w:left="181" w:right="663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因符合地方 政府招商引</w:t>
      </w:r>
    </w:p>
    <w:p>
      <w:pPr>
        <w:spacing w:after="0" w:line="314" w:lineRule="auto"/>
        <w:jc w:val="left"/>
        <w:rPr>
          <w:rFonts w:ascii="宋体" w:hAnsi="宋体" w:cs="宋体" w:eastAsia="宋体" w:hint="default"/>
          <w:sz w:val="18"/>
          <w:szCs w:val="18"/>
        </w:rPr>
        <w:sectPr>
          <w:type w:val="continuous"/>
          <w:pgSz w:w="11910" w:h="16840"/>
          <w:pgMar w:top="1060" w:bottom="1160" w:left="980" w:right="0"/>
          <w:cols w:num="3" w:equalWidth="0">
            <w:col w:w="1082" w:space="40"/>
            <w:col w:w="1207" w:space="865"/>
            <w:col w:w="7736"/>
          </w:cols>
        </w:sectPr>
      </w:pPr>
    </w:p>
    <w:p>
      <w:pPr>
        <w:spacing w:before="100"/>
        <w:ind w:left="181" w:right="-20" w:firstLine="0"/>
        <w:jc w:val="left"/>
        <w:rPr>
          <w:rFonts w:ascii="宋体" w:hAnsi="宋体" w:cs="宋体" w:eastAsia="宋体" w:hint="default"/>
          <w:sz w:val="18"/>
          <w:szCs w:val="18"/>
        </w:rPr>
      </w:pPr>
      <w:r>
        <w:rPr>
          <w:rFonts w:ascii="宋体" w:hAnsi="宋体" w:cs="宋体" w:eastAsia="宋体" w:hint="default"/>
          <w:sz w:val="18"/>
          <w:szCs w:val="18"/>
        </w:rPr>
        <w:t>项补贴</w:t>
      </w:r>
    </w:p>
    <w:p>
      <w:pPr>
        <w:spacing w:line="182" w:lineRule="exact" w:before="0"/>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软件谷管理</w:t>
      </w:r>
      <w:r>
        <w:rPr>
          <w:rFonts w:ascii="宋体" w:hAnsi="宋体" w:cs="宋体" w:eastAsia="宋体" w:hint="default"/>
          <w:spacing w:val="73"/>
          <w:sz w:val="18"/>
          <w:szCs w:val="18"/>
        </w:rPr>
        <w:t> </w:t>
      </w:r>
      <w:r>
        <w:rPr>
          <w:rFonts w:ascii="宋体" w:hAnsi="宋体" w:cs="宋体" w:eastAsia="宋体" w:hint="default"/>
          <w:sz w:val="18"/>
          <w:szCs w:val="18"/>
        </w:rPr>
        <w:t>补助</w:t>
      </w:r>
    </w:p>
    <w:p>
      <w:pPr>
        <w:spacing w:before="74"/>
        <w:ind w:left="181" w:right="-20" w:firstLine="0"/>
        <w:jc w:val="left"/>
        <w:rPr>
          <w:rFonts w:ascii="宋体" w:hAnsi="宋体" w:cs="宋体" w:eastAsia="宋体" w:hint="default"/>
          <w:sz w:val="18"/>
          <w:szCs w:val="18"/>
        </w:rPr>
      </w:pPr>
      <w:r>
        <w:rPr>
          <w:rFonts w:ascii="宋体" w:hAnsi="宋体" w:cs="宋体" w:eastAsia="宋体" w:hint="default"/>
          <w:sz w:val="18"/>
          <w:szCs w:val="18"/>
        </w:rPr>
        <w:t>委员会</w:t>
      </w:r>
    </w:p>
    <w:p>
      <w:pPr>
        <w:spacing w:line="180" w:lineRule="exact" w:before="0"/>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资等地方性</w:t>
      </w:r>
    </w:p>
    <w:p>
      <w:pPr>
        <w:spacing w:line="316" w:lineRule="auto" w:before="76"/>
        <w:ind w:left="181" w:right="-20" w:firstLine="0"/>
        <w:jc w:val="left"/>
        <w:rPr>
          <w:rFonts w:ascii="宋体" w:hAnsi="宋体" w:cs="宋体" w:eastAsia="宋体" w:hint="default"/>
          <w:sz w:val="18"/>
          <w:szCs w:val="18"/>
        </w:rPr>
      </w:pPr>
      <w:r>
        <w:rPr>
          <w:rFonts w:ascii="宋体" w:hAnsi="宋体" w:cs="宋体" w:eastAsia="宋体" w:hint="default"/>
          <w:sz w:val="18"/>
          <w:szCs w:val="18"/>
        </w:rPr>
        <w:t>扶持政策而 获得的补助</w:t>
      </w:r>
    </w:p>
    <w:p>
      <w:pPr>
        <w:tabs>
          <w:tab w:pos="1186" w:val="left" w:leader="none"/>
          <w:tab w:pos="2624" w:val="left" w:leader="none"/>
          <w:tab w:pos="4004" w:val="left" w:leader="none"/>
        </w:tabs>
        <w:spacing w:line="196" w:lineRule="exact" w:before="0"/>
        <w:ind w:left="12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是</w:t>
        <w:tab/>
        <w:t>否</w:t>
        <w:tab/>
      </w:r>
      <w:r>
        <w:rPr>
          <w:rFonts w:ascii="Times New Roman" w:hAnsi="Times New Roman" w:cs="Times New Roman" w:eastAsia="Times New Roman" w:hint="default"/>
          <w:sz w:val="18"/>
          <w:szCs w:val="18"/>
        </w:rPr>
        <w:t>4,500.00</w:t>
        <w:tab/>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与收益相关</w:t>
      </w:r>
    </w:p>
    <w:p>
      <w:pPr>
        <w:spacing w:after="0" w:line="196" w:lineRule="exact"/>
        <w:jc w:val="left"/>
        <w:rPr>
          <w:rFonts w:ascii="宋体" w:hAnsi="宋体" w:cs="宋体" w:eastAsia="宋体" w:hint="default"/>
          <w:sz w:val="18"/>
          <w:szCs w:val="18"/>
        </w:rPr>
        <w:sectPr>
          <w:type w:val="continuous"/>
          <w:pgSz w:w="11910" w:h="16840"/>
          <w:pgMar w:top="1060" w:bottom="1160" w:left="980" w:right="0"/>
          <w:cols w:num="4" w:equalWidth="0">
            <w:col w:w="722" w:space="344"/>
            <w:col w:w="1605" w:space="522"/>
            <w:col w:w="1082" w:space="40"/>
            <w:col w:w="6615"/>
          </w:cols>
        </w:sectPr>
      </w:pPr>
    </w:p>
    <w:p>
      <w:pPr>
        <w:spacing w:line="316" w:lineRule="auto" w:before="110"/>
        <w:ind w:left="181" w:right="0" w:firstLine="0"/>
        <w:jc w:val="both"/>
        <w:rPr>
          <w:rFonts w:ascii="宋体" w:hAnsi="宋体" w:cs="宋体" w:eastAsia="宋体" w:hint="default"/>
          <w:sz w:val="18"/>
          <w:szCs w:val="18"/>
        </w:rPr>
      </w:pPr>
      <w:r>
        <w:rPr>
          <w:rFonts w:ascii="宋体" w:hAnsi="宋体" w:cs="宋体" w:eastAsia="宋体" w:hint="default"/>
          <w:sz w:val="18"/>
          <w:szCs w:val="18"/>
        </w:rPr>
        <w:t>深圳市民营 及中小企业 发展专项资 金新三板挂 牌补贴项目 资助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0"/>
          <w:szCs w:val="20"/>
        </w:rPr>
      </w:pPr>
    </w:p>
    <w:p>
      <w:pPr>
        <w:spacing w:line="196" w:lineRule="exact" w:before="0"/>
        <w:ind w:left="125" w:right="-19" w:firstLine="0"/>
        <w:jc w:val="left"/>
        <w:rPr>
          <w:rFonts w:ascii="宋体" w:hAnsi="宋体" w:cs="宋体" w:eastAsia="宋体" w:hint="default"/>
          <w:sz w:val="18"/>
          <w:szCs w:val="18"/>
        </w:rPr>
      </w:pPr>
      <w:r>
        <w:rPr>
          <w:rFonts w:ascii="宋体" w:hAnsi="宋体" w:cs="宋体" w:eastAsia="宋体" w:hint="default"/>
          <w:sz w:val="18"/>
          <w:szCs w:val="18"/>
        </w:rPr>
        <w:t>深圳市中小</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奖励</w:t>
      </w:r>
    </w:p>
    <w:p>
      <w:pPr>
        <w:spacing w:line="196" w:lineRule="exact" w:before="0"/>
        <w:ind w:left="125" w:right="-19" w:firstLine="0"/>
        <w:jc w:val="left"/>
        <w:rPr>
          <w:rFonts w:ascii="宋体" w:hAnsi="宋体" w:cs="宋体" w:eastAsia="宋体" w:hint="default"/>
          <w:sz w:val="18"/>
          <w:szCs w:val="18"/>
        </w:rPr>
      </w:pPr>
      <w:r>
        <w:rPr>
          <w:rFonts w:ascii="宋体" w:hAnsi="宋体" w:cs="宋体" w:eastAsia="宋体" w:hint="default"/>
          <w:sz w:val="18"/>
          <w:szCs w:val="18"/>
        </w:rPr>
        <w:t>企业服务署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6"/>
          <w:szCs w:val="26"/>
        </w:rPr>
      </w:pPr>
    </w:p>
    <w:p>
      <w:pPr>
        <w:spacing w:line="316" w:lineRule="auto" w:before="0"/>
        <w:ind w:left="181" w:right="0" w:firstLine="0"/>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tabs>
          <w:tab w:pos="1186" w:val="left" w:leader="none"/>
          <w:tab w:pos="2941" w:val="left" w:leader="none"/>
          <w:tab w:pos="3507" w:val="left" w:leader="none"/>
        </w:tabs>
        <w:spacing w:before="0"/>
        <w:ind w:left="123"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pacing w:val="-1"/>
          <w:sz w:val="18"/>
          <w:szCs w:val="18"/>
        </w:rPr>
        <w:t>0.00</w:t>
        <w:tab/>
        <w:t>500,000.00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1060" w:bottom="1160" w:left="980" w:right="0"/>
          <w:cols w:num="4" w:equalWidth="0">
            <w:col w:w="1082" w:space="40"/>
            <w:col w:w="1550" w:space="522"/>
            <w:col w:w="1082" w:space="40"/>
            <w:col w:w="6614"/>
          </w:cols>
        </w:sect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spacing w:line="314"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秦淮区科技 局高企补助</w:t>
      </w:r>
    </w:p>
    <w:p>
      <w:pPr>
        <w:spacing w:line="240" w:lineRule="auto" w:before="5"/>
        <w:rPr>
          <w:rFonts w:ascii="宋体" w:hAnsi="宋体" w:cs="宋体" w:eastAsia="宋体" w:hint="default"/>
          <w:sz w:val="20"/>
          <w:szCs w:val="20"/>
        </w:rPr>
      </w:pPr>
      <w:r>
        <w:rPr/>
        <w:br w:type="column"/>
      </w:r>
      <w:r>
        <w:rPr>
          <w:rFonts w:ascii="宋体"/>
          <w:sz w:val="20"/>
        </w:rPr>
      </w:r>
    </w:p>
    <w:p>
      <w:pPr>
        <w:spacing w:line="316" w:lineRule="auto" w:before="0"/>
        <w:ind w:left="125" w:right="-19" w:firstLine="0"/>
        <w:jc w:val="left"/>
        <w:rPr>
          <w:rFonts w:ascii="宋体" w:hAnsi="宋体" w:cs="宋体" w:eastAsia="宋体" w:hint="default"/>
          <w:sz w:val="18"/>
          <w:szCs w:val="18"/>
        </w:rPr>
      </w:pPr>
      <w:r>
        <w:rPr>
          <w:rFonts w:ascii="宋体" w:hAnsi="宋体" w:cs="宋体" w:eastAsia="宋体" w:hint="default"/>
          <w:sz w:val="18"/>
          <w:szCs w:val="18"/>
        </w:rPr>
        <w:t>南京市秦淮 区科学技术</w:t>
      </w:r>
      <w:r>
        <w:rPr>
          <w:rFonts w:ascii="宋体" w:hAnsi="宋体" w:cs="宋体" w:eastAsia="宋体" w:hint="default"/>
          <w:spacing w:val="73"/>
          <w:sz w:val="18"/>
          <w:szCs w:val="18"/>
        </w:rPr>
        <w:t> </w:t>
      </w:r>
      <w:r>
        <w:rPr>
          <w:rFonts w:ascii="宋体" w:hAnsi="宋体" w:cs="宋体" w:eastAsia="宋体" w:hint="default"/>
          <w:sz w:val="18"/>
          <w:szCs w:val="18"/>
        </w:rPr>
        <w:t>补助</w:t>
      </w:r>
      <w:r>
        <w:rPr>
          <w:rFonts w:ascii="宋体" w:hAnsi="宋体" w:cs="宋体" w:eastAsia="宋体" w:hint="default"/>
          <w:sz w:val="18"/>
          <w:szCs w:val="18"/>
        </w:rPr>
        <w:t> 局</w:t>
      </w:r>
    </w:p>
    <w:p>
      <w:pPr>
        <w:spacing w:line="310" w:lineRule="atLeast" w:before="35"/>
        <w:ind w:left="181" w:right="645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7" w:val="left" w:leader="none"/>
          <w:tab w:pos="4062" w:val="left" w:leader="none"/>
          <w:tab w:pos="4629" w:val="left" w:leader="none"/>
        </w:tabs>
        <w:spacing w:line="124"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pacing w:val="-1"/>
          <w:sz w:val="18"/>
          <w:szCs w:val="18"/>
        </w:rPr>
        <w:t>0.00</w:t>
        <w:tab/>
        <w:t>100,000.00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与收益相关</w:t>
      </w:r>
    </w:p>
    <w:p>
      <w:pPr>
        <w:spacing w:line="188" w:lineRule="exact" w:before="0"/>
        <w:ind w:left="181" w:right="645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1" w:right="663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1082" w:space="40"/>
            <w:col w:w="1550" w:space="522"/>
            <w:col w:w="773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12" w:lineRule="exact" w:before="121"/>
        <w:ind w:left="181" w:right="-19" w:firstLine="0"/>
        <w:jc w:val="left"/>
        <w:rPr>
          <w:rFonts w:ascii="宋体" w:hAnsi="宋体" w:cs="宋体" w:eastAsia="宋体" w:hint="default"/>
          <w:sz w:val="18"/>
          <w:szCs w:val="18"/>
        </w:rPr>
      </w:pPr>
      <w:r>
        <w:rPr>
          <w:rFonts w:ascii="宋体" w:hAnsi="宋体" w:cs="宋体" w:eastAsia="宋体" w:hint="default"/>
          <w:sz w:val="18"/>
          <w:szCs w:val="18"/>
        </w:rPr>
        <w:t>国家自主创</w:t>
      </w:r>
    </w:p>
    <w:p>
      <w:pPr>
        <w:spacing w:line="240" w:lineRule="auto" w:before="4"/>
        <w:rPr>
          <w:rFonts w:ascii="宋体" w:hAnsi="宋体" w:cs="宋体" w:eastAsia="宋体" w:hint="default"/>
          <w:sz w:val="15"/>
          <w:szCs w:val="15"/>
        </w:rPr>
      </w:pPr>
      <w:r>
        <w:rPr/>
        <w:br w:type="column"/>
      </w:r>
      <w:r>
        <w:rPr>
          <w:rFonts w:ascii="宋体"/>
          <w:sz w:val="15"/>
        </w:rPr>
      </w:r>
    </w:p>
    <w:p>
      <w:pPr>
        <w:spacing w:before="0"/>
        <w:ind w:left="125" w:right="-20" w:firstLine="0"/>
        <w:jc w:val="left"/>
        <w:rPr>
          <w:rFonts w:ascii="宋体" w:hAnsi="宋体" w:cs="宋体" w:eastAsia="宋体" w:hint="default"/>
          <w:sz w:val="18"/>
          <w:szCs w:val="18"/>
        </w:rPr>
      </w:pPr>
      <w:r>
        <w:rPr>
          <w:rFonts w:ascii="宋体" w:hAnsi="宋体" w:cs="宋体" w:eastAsia="宋体" w:hint="default"/>
          <w:sz w:val="18"/>
          <w:szCs w:val="18"/>
        </w:rPr>
        <w:t>中国（南京）</w:t>
      </w:r>
    </w:p>
    <w:p>
      <w:pPr>
        <w:spacing w:line="312" w:lineRule="exact" w:before="5"/>
        <w:ind w:left="181" w:right="645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spacing w:after="0" w:line="312" w:lineRule="exact"/>
        <w:jc w:val="left"/>
        <w:rPr>
          <w:rFonts w:ascii="宋体" w:hAnsi="宋体" w:cs="宋体" w:eastAsia="宋体" w:hint="default"/>
          <w:sz w:val="18"/>
          <w:szCs w:val="18"/>
        </w:rPr>
        <w:sectPr>
          <w:type w:val="continuous"/>
          <w:pgSz w:w="11910" w:h="16840"/>
          <w:pgMar w:top="1060" w:bottom="1160" w:left="980" w:right="0"/>
          <w:cols w:num="3" w:equalWidth="0">
            <w:col w:w="1083" w:space="40"/>
            <w:col w:w="1206" w:space="865"/>
            <w:col w:w="7736"/>
          </w:cols>
        </w:sectPr>
      </w:pPr>
    </w:p>
    <w:p>
      <w:pPr>
        <w:spacing w:before="39"/>
        <w:ind w:left="181" w:right="-20" w:firstLine="0"/>
        <w:jc w:val="left"/>
        <w:rPr>
          <w:rFonts w:ascii="宋体" w:hAnsi="宋体" w:cs="宋体" w:eastAsia="宋体" w:hint="default"/>
          <w:sz w:val="18"/>
          <w:szCs w:val="18"/>
        </w:rPr>
      </w:pPr>
      <w:r>
        <w:rPr>
          <w:rFonts w:ascii="宋体" w:hAnsi="宋体" w:cs="宋体" w:eastAsia="宋体" w:hint="default"/>
          <w:sz w:val="18"/>
          <w:szCs w:val="18"/>
        </w:rPr>
        <w:t>新奖励</w:t>
      </w:r>
    </w:p>
    <w:p>
      <w:pPr>
        <w:spacing w:line="119" w:lineRule="exact" w:before="0"/>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软件谷管理</w:t>
      </w:r>
      <w:r>
        <w:rPr>
          <w:rFonts w:ascii="宋体" w:hAnsi="宋体" w:cs="宋体" w:eastAsia="宋体" w:hint="default"/>
          <w:spacing w:val="73"/>
          <w:sz w:val="18"/>
          <w:szCs w:val="18"/>
        </w:rPr>
        <w:t> </w:t>
      </w:r>
      <w:r>
        <w:rPr>
          <w:rFonts w:ascii="宋体" w:hAnsi="宋体" w:cs="宋体" w:eastAsia="宋体" w:hint="default"/>
          <w:sz w:val="18"/>
          <w:szCs w:val="18"/>
        </w:rPr>
        <w:t>奖励</w:t>
      </w:r>
    </w:p>
    <w:p>
      <w:pPr>
        <w:spacing w:before="76"/>
        <w:ind w:left="181" w:right="-20" w:firstLine="0"/>
        <w:jc w:val="left"/>
        <w:rPr>
          <w:rFonts w:ascii="宋体" w:hAnsi="宋体" w:cs="宋体" w:eastAsia="宋体" w:hint="default"/>
          <w:sz w:val="18"/>
          <w:szCs w:val="18"/>
        </w:rPr>
      </w:pPr>
      <w:r>
        <w:rPr>
          <w:rFonts w:ascii="宋体" w:hAnsi="宋体" w:cs="宋体" w:eastAsia="宋体" w:hint="default"/>
          <w:sz w:val="18"/>
          <w:szCs w:val="18"/>
        </w:rPr>
        <w:t>委员会</w:t>
      </w:r>
    </w:p>
    <w:p>
      <w:pPr>
        <w:spacing w:line="316" w:lineRule="auto" w:before="39"/>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改造等获得 的补助</w:t>
      </w:r>
    </w:p>
    <w:p>
      <w:pPr>
        <w:tabs>
          <w:tab w:pos="1186" w:val="left" w:leader="none"/>
          <w:tab w:pos="2941" w:val="left" w:leader="none"/>
          <w:tab w:pos="3507" w:val="left" w:leader="none"/>
        </w:tabs>
        <w:spacing w:line="133" w:lineRule="exact" w:before="0"/>
        <w:ind w:left="12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否</w:t>
        <w:tab/>
        <w:t>否</w:t>
        <w:tab/>
      </w:r>
      <w:r>
        <w:rPr>
          <w:rFonts w:ascii="Times New Roman" w:hAnsi="Times New Roman" w:cs="Times New Roman" w:eastAsia="Times New Roman" w:hint="default"/>
          <w:spacing w:val="-1"/>
          <w:sz w:val="18"/>
          <w:szCs w:val="18"/>
        </w:rPr>
        <w:t>0.00</w:t>
        <w:tab/>
        <w:t>100,000.00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与收益相关</w:t>
      </w:r>
    </w:p>
    <w:p>
      <w:pPr>
        <w:spacing w:after="0" w:line="133" w:lineRule="exact"/>
        <w:jc w:val="left"/>
        <w:rPr>
          <w:rFonts w:ascii="宋体" w:hAnsi="宋体" w:cs="宋体" w:eastAsia="宋体" w:hint="default"/>
          <w:sz w:val="18"/>
          <w:szCs w:val="18"/>
        </w:rPr>
        <w:sectPr>
          <w:type w:val="continuous"/>
          <w:pgSz w:w="11910" w:h="16840"/>
          <w:pgMar w:top="1060" w:bottom="1160" w:left="980" w:right="0"/>
          <w:cols w:num="4" w:equalWidth="0">
            <w:col w:w="722" w:space="344"/>
            <w:col w:w="1605" w:space="522"/>
            <w:col w:w="1082" w:space="40"/>
            <w:col w:w="6615"/>
          </w:cols>
        </w:sectPr>
      </w:pPr>
    </w:p>
    <w:p>
      <w:pPr>
        <w:spacing w:line="312" w:lineRule="auto" w:before="110"/>
        <w:ind w:left="181" w:right="-18" w:firstLine="0"/>
        <w:jc w:val="left"/>
        <w:rPr>
          <w:rFonts w:ascii="宋体" w:hAnsi="宋体" w:cs="宋体" w:eastAsia="宋体" w:hint="default"/>
          <w:sz w:val="18"/>
          <w:szCs w:val="18"/>
        </w:rPr>
      </w:pPr>
      <w:r>
        <w:rPr>
          <w:rFonts w:ascii="宋体" w:hAnsi="宋体" w:cs="宋体" w:eastAsia="宋体" w:hint="default"/>
          <w:sz w:val="18"/>
          <w:szCs w:val="18"/>
        </w:rPr>
        <w:t>广西区科学 技术厅</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认定高新技 术企业奖励 性后补助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6"/>
          <w:szCs w:val="26"/>
        </w:rPr>
      </w:pPr>
    </w:p>
    <w:p>
      <w:pPr>
        <w:spacing w:line="196" w:lineRule="exact" w:before="0"/>
        <w:ind w:left="31" w:right="0" w:firstLine="0"/>
        <w:jc w:val="left"/>
        <w:rPr>
          <w:rFonts w:ascii="宋体" w:hAnsi="宋体" w:cs="宋体" w:eastAsia="宋体" w:hint="default"/>
          <w:sz w:val="18"/>
          <w:szCs w:val="18"/>
        </w:rPr>
      </w:pPr>
      <w:r>
        <w:rPr>
          <w:rFonts w:ascii="宋体" w:hAnsi="宋体" w:cs="宋体" w:eastAsia="宋体" w:hint="default"/>
          <w:sz w:val="18"/>
          <w:szCs w:val="18"/>
        </w:rPr>
        <w:t>广西壮族自</w:t>
      </w:r>
    </w:p>
    <w:p>
      <w:pPr>
        <w:spacing w:line="15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奖励</w:t>
      </w:r>
    </w:p>
    <w:p>
      <w:pPr>
        <w:spacing w:line="195" w:lineRule="exact" w:before="0"/>
        <w:ind w:left="31" w:right="0" w:firstLine="0"/>
        <w:jc w:val="left"/>
        <w:rPr>
          <w:rFonts w:ascii="宋体" w:hAnsi="宋体" w:cs="宋体" w:eastAsia="宋体" w:hint="default"/>
          <w:sz w:val="18"/>
          <w:szCs w:val="18"/>
        </w:rPr>
      </w:pPr>
      <w:r>
        <w:rPr>
          <w:rFonts w:ascii="宋体" w:hAnsi="宋体" w:cs="宋体" w:eastAsia="宋体" w:hint="default"/>
          <w:sz w:val="18"/>
          <w:szCs w:val="18"/>
        </w:rPr>
        <w:t>治区科技厅</w:t>
      </w:r>
    </w:p>
    <w:p>
      <w:pPr>
        <w:spacing w:line="240" w:lineRule="auto" w:before="8"/>
        <w:rPr>
          <w:rFonts w:ascii="宋体" w:hAnsi="宋体" w:cs="宋体" w:eastAsia="宋体" w:hint="default"/>
          <w:sz w:val="14"/>
          <w:szCs w:val="14"/>
        </w:rPr>
      </w:pPr>
      <w:r>
        <w:rPr/>
        <w:br w:type="column"/>
      </w:r>
      <w:r>
        <w:rPr>
          <w:rFonts w:ascii="宋体"/>
          <w:sz w:val="14"/>
        </w:rPr>
      </w:r>
    </w:p>
    <w:p>
      <w:pPr>
        <w:spacing w:line="310" w:lineRule="atLeast" w:before="0"/>
        <w:ind w:left="181" w:right="6452" w:firstLine="0"/>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tabs>
          <w:tab w:pos="2307" w:val="left" w:leader="none"/>
          <w:tab w:pos="4062" w:val="left" w:leader="none"/>
          <w:tab w:pos="4720" w:val="left" w:leader="none"/>
        </w:tabs>
        <w:spacing w:line="124"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pacing w:val="-1"/>
          <w:sz w:val="18"/>
          <w:szCs w:val="18"/>
        </w:rPr>
        <w:t>0.00</w:t>
        <w:tab/>
        <w:t>50,000.00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与收益相关</w:t>
      </w:r>
    </w:p>
    <w:p>
      <w:pPr>
        <w:spacing w:line="188" w:lineRule="exact" w:before="0"/>
        <w:ind w:left="181" w:right="645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1" w:right="663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1176" w:space="40"/>
            <w:col w:w="1456" w:space="522"/>
            <w:col w:w="7736"/>
          </w:cols>
        </w:sectPr>
      </w:pPr>
    </w:p>
    <w:p>
      <w:pPr>
        <w:spacing w:line="312" w:lineRule="auto" w:before="113"/>
        <w:ind w:left="181" w:right="0" w:firstLine="0"/>
        <w:jc w:val="both"/>
        <w:rPr>
          <w:rFonts w:ascii="宋体" w:hAnsi="宋体" w:cs="宋体" w:eastAsia="宋体" w:hint="default"/>
          <w:sz w:val="18"/>
          <w:szCs w:val="18"/>
        </w:rPr>
      </w:pPr>
      <w:r>
        <w:rPr>
          <w:rFonts w:ascii="宋体" w:hAnsi="宋体" w:cs="宋体" w:eastAsia="宋体" w:hint="default"/>
          <w:sz w:val="18"/>
          <w:szCs w:val="18"/>
        </w:rPr>
        <w:t>商务局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年第一批北 海电子商务 发展基金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4"/>
          <w:szCs w:val="14"/>
        </w:rPr>
      </w:pPr>
    </w:p>
    <w:p>
      <w:pPr>
        <w:spacing w:line="196" w:lineRule="exact" w:before="0"/>
        <w:ind w:left="79" w:right="0" w:firstLine="0"/>
        <w:jc w:val="left"/>
        <w:rPr>
          <w:rFonts w:ascii="宋体" w:hAnsi="宋体" w:cs="宋体" w:eastAsia="宋体" w:hint="default"/>
          <w:sz w:val="18"/>
          <w:szCs w:val="18"/>
        </w:rPr>
      </w:pPr>
      <w:r>
        <w:rPr>
          <w:rFonts w:ascii="宋体" w:hAnsi="宋体" w:cs="宋体" w:eastAsia="宋体" w:hint="default"/>
          <w:sz w:val="18"/>
          <w:szCs w:val="18"/>
        </w:rPr>
        <w:t>北海市商务</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6" w:lineRule="exact" w:before="0"/>
        <w:ind w:left="79" w:right="0" w:firstLine="0"/>
        <w:jc w:val="left"/>
        <w:rPr>
          <w:rFonts w:ascii="宋体" w:hAnsi="宋体" w:cs="宋体" w:eastAsia="宋体" w:hint="default"/>
          <w:sz w:val="18"/>
          <w:szCs w:val="18"/>
        </w:rPr>
      </w:pPr>
      <w:r>
        <w:rPr>
          <w:rFonts w:ascii="宋体" w:hAnsi="宋体" w:cs="宋体" w:eastAsia="宋体" w:hint="default"/>
          <w:sz w:val="18"/>
          <w:szCs w:val="18"/>
        </w:rPr>
        <w:t>局</w:t>
      </w:r>
    </w:p>
    <w:p>
      <w:pPr>
        <w:spacing w:line="310" w:lineRule="atLeast" w:before="39"/>
        <w:ind w:left="181" w:right="645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7" w:val="left" w:leader="none"/>
          <w:tab w:pos="4062" w:val="left" w:leader="none"/>
          <w:tab w:pos="4720" w:val="left" w:leader="none"/>
        </w:tabs>
        <w:spacing w:line="123"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pacing w:val="-1"/>
          <w:sz w:val="18"/>
          <w:szCs w:val="18"/>
        </w:rPr>
        <w:t>0.00</w:t>
        <w:tab/>
        <w:t>50,000.00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与收益相关</w:t>
      </w:r>
    </w:p>
    <w:p>
      <w:pPr>
        <w:spacing w:line="189" w:lineRule="exact" w:before="0"/>
        <w:ind w:left="181" w:right="645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1" w:right="663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1129" w:space="40"/>
            <w:col w:w="1503" w:space="522"/>
            <w:col w:w="7736"/>
          </w:cols>
        </w:sectPr>
      </w:pPr>
    </w:p>
    <w:p>
      <w:pPr>
        <w:tabs>
          <w:tab w:pos="3374" w:val="left" w:leader="none"/>
          <w:tab w:pos="5500" w:val="left" w:leader="none"/>
          <w:tab w:pos="7255" w:val="left" w:leader="none"/>
          <w:tab w:pos="7913" w:val="left" w:leader="none"/>
        </w:tabs>
        <w:spacing w:before="112"/>
        <w:ind w:left="181" w:right="1133" w:firstLine="0"/>
        <w:jc w:val="left"/>
        <w:rPr>
          <w:rFonts w:ascii="宋体" w:hAnsi="宋体" w:cs="宋体" w:eastAsia="宋体" w:hint="default"/>
          <w:sz w:val="18"/>
          <w:szCs w:val="18"/>
        </w:rPr>
      </w:pPr>
      <w:r>
        <w:rPr/>
        <w:pict>
          <v:group style="position:absolute;margin-left:56.400002pt;margin-top:71.759979pt;width:479.05pt;height:685.7pt;mso-position-horizontal-relative:page;mso-position-vertical-relative:page;z-index:-1382560" coordorigin="1128,1435" coordsize="9581,13714">
            <v:group style="position:absolute;left:5394;top:1450;width:1054;height:469" coordorigin="5394,1450" coordsize="1054,469">
              <v:shape style="position:absolute;left:5394;top:1450;width:1054;height:469" coordorigin="5394,1450" coordsize="1054,469" path="m5394,1918l6447,1918,6447,1450,5394,1450,5394,1918xe" filled="true" fillcolor="#ffffff" stroked="false">
                <v:path arrowok="t"/>
                <v:fill type="solid"/>
              </v:shape>
            </v:group>
            <v:group style="position:absolute;left:1138;top:1445;width:1057;height:2" coordorigin="1138,1445" coordsize="1057,2">
              <v:shape style="position:absolute;left:1138;top:1445;width:1057;height:2" coordorigin="1138,1445" coordsize="1057,0" path="m1138,1445l2194,1445e" filled="false" stroked="true" strokeweight=".48pt" strokecolor="#000000">
                <v:path arrowok="t"/>
              </v:shape>
            </v:group>
            <v:group style="position:absolute;left:2204;top:1445;width:1054;height:2" coordorigin="2204,1445" coordsize="1054,2">
              <v:shape style="position:absolute;left:2204;top:1445;width:1054;height:2" coordorigin="2204,1445" coordsize="1054,0" path="m2204,1445l3257,1445e" filled="false" stroked="true" strokeweight=".48pt" strokecolor="#000000">
                <v:path arrowok="t"/>
              </v:shape>
            </v:group>
            <v:group style="position:absolute;left:3267;top:1445;width:1055;height:2" coordorigin="3267,1445" coordsize="1055,2">
              <v:shape style="position:absolute;left:3267;top:1445;width:1055;height:2" coordorigin="3267,1445" coordsize="1055,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5;height:2" coordorigin="6455,1445" coordsize="1055,2">
              <v:shape style="position:absolute;left:6455;top:1445;width:1055;height:2" coordorigin="6455,1445" coordsize="1055,0" path="m6455,1445l7509,1445e" filled="false" stroked="true" strokeweight=".48pt" strokecolor="#000000">
                <v:path arrowok="t"/>
              </v:shape>
            </v:group>
            <v:group style="position:absolute;left:7518;top:1445;width:1054;height:2" coordorigin="7518,1445" coordsize="1054,2">
              <v:shape style="position:absolute;left:7518;top:1445;width:1054;height:2" coordorigin="7518,1445" coordsize="1054,0" path="m7518,1445l8572,1445e" filled="false" stroked="true" strokeweight=".48pt" strokecolor="#000000">
                <v:path arrowok="t"/>
              </v:shape>
            </v:group>
            <v:group style="position:absolute;left:8581;top:1445;width:1055;height:2" coordorigin="8581,1445" coordsize="1055,2">
              <v:shape style="position:absolute;left:8581;top:1445;width:1055;height:2" coordorigin="8581,1445" coordsize="1055,0" path="m8581,1445l9635,1445e" filled="false" stroked="true" strokeweight=".48pt" strokecolor="#000000">
                <v:path arrowok="t"/>
              </v:shape>
            </v:group>
            <v:group style="position:absolute;left:9645;top:1445;width:1054;height:2" coordorigin="9645,1445" coordsize="1054,2">
              <v:shape style="position:absolute;left:9645;top:1445;width:1054;height:2" coordorigin="9645,1445" coordsize="1054,0" path="m9645,1445l10699,1445e" filled="false" stroked="true" strokeweight=".48pt" strokecolor="#000000">
                <v:path arrowok="t"/>
              </v:shape>
            </v:group>
            <v:group style="position:absolute;left:5394;top:2789;width:1054;height:468" coordorigin="5394,2789" coordsize="1054,468">
              <v:shape style="position:absolute;left:5394;top:2789;width:1054;height:468" coordorigin="5394,2789" coordsize="1054,468" path="m5394,3257l6447,3257,6447,2789,5394,2789,5394,3257xe" filled="true" fillcolor="#ffffff" stroked="false">
                <v:path arrowok="t"/>
                <v:fill type="solid"/>
              </v:shape>
            </v:group>
            <v:group style="position:absolute;left:1138;top:2782;width:1057;height:2" coordorigin="1138,2782" coordsize="1057,2">
              <v:shape style="position:absolute;left:1138;top:2782;width:1057;height:2" coordorigin="1138,2782" coordsize="1057,0" path="m1138,2782l2194,2782e" filled="false" stroked="true" strokeweight=".48pt" strokecolor="#000000">
                <v:path arrowok="t"/>
              </v:shape>
            </v:group>
            <v:group style="position:absolute;left:2204;top:2782;width:1054;height:2" coordorigin="2204,2782" coordsize="1054,2">
              <v:shape style="position:absolute;left:2204;top:2782;width:1054;height:2" coordorigin="2204,2782" coordsize="1054,0" path="m2204,2782l3257,2782e" filled="false" stroked="true" strokeweight=".48pt" strokecolor="#000000">
                <v:path arrowok="t"/>
              </v:shape>
            </v:group>
            <v:group style="position:absolute;left:3267;top:2782;width:1055;height:2" coordorigin="3267,2782" coordsize="1055,2">
              <v:shape style="position:absolute;left:3267;top:2782;width:1055;height:2" coordorigin="3267,2782" coordsize="1055,0" path="m3267,2782l4321,2782e" filled="false" stroked="true" strokeweight=".48pt" strokecolor="#000000">
                <v:path arrowok="t"/>
              </v:shape>
            </v:group>
            <v:group style="position:absolute;left:4331;top:2782;width:1054;height:2" coordorigin="4331,2782" coordsize="1054,2">
              <v:shape style="position:absolute;left:4331;top:2782;width:1054;height:2" coordorigin="4331,2782" coordsize="1054,0" path="m4331,2782l5384,2782e" filled="false" stroked="true" strokeweight=".48pt" strokecolor="#000000">
                <v:path arrowok="t"/>
              </v:shape>
            </v:group>
            <v:group style="position:absolute;left:5394;top:2782;width:1052;height:2" coordorigin="5394,2782" coordsize="1052,2">
              <v:shape style="position:absolute;left:5394;top:2782;width:1052;height:2" coordorigin="5394,2782" coordsize="1052,0" path="m5394,2782l6445,2782e" filled="false" stroked="true" strokeweight=".48pt" strokecolor="#000000">
                <v:path arrowok="t"/>
              </v:shape>
            </v:group>
            <v:group style="position:absolute;left:6455;top:2782;width:1055;height:2" coordorigin="6455,2782" coordsize="1055,2">
              <v:shape style="position:absolute;left:6455;top:2782;width:1055;height:2" coordorigin="6455,2782" coordsize="1055,0" path="m6455,2782l7509,2782e" filled="false" stroked="true" strokeweight=".48pt" strokecolor="#000000">
                <v:path arrowok="t"/>
              </v:shape>
            </v:group>
            <v:group style="position:absolute;left:7518;top:2782;width:1054;height:2" coordorigin="7518,2782" coordsize="1054,2">
              <v:shape style="position:absolute;left:7518;top:2782;width:1054;height:2" coordorigin="7518,2782" coordsize="1054,0" path="m7518,2782l8572,2782e" filled="false" stroked="true" strokeweight=".48pt" strokecolor="#000000">
                <v:path arrowok="t"/>
              </v:shape>
            </v:group>
            <v:group style="position:absolute;left:8581;top:2782;width:1055;height:2" coordorigin="8581,2782" coordsize="1055,2">
              <v:shape style="position:absolute;left:8581;top:2782;width:1055;height:2" coordorigin="8581,2782" coordsize="1055,0" path="m8581,2782l9635,2782e" filled="false" stroked="true" strokeweight=".48pt" strokecolor="#000000">
                <v:path arrowok="t"/>
              </v:shape>
            </v:group>
            <v:group style="position:absolute;left:9645;top:2782;width:1054;height:2" coordorigin="9645,2782" coordsize="1054,2">
              <v:shape style="position:absolute;left:9645;top:2782;width:1054;height:2" coordorigin="9645,2782" coordsize="1054,0" path="m9645,2782l10699,2782e" filled="false" stroked="true" strokeweight=".48pt" strokecolor="#000000">
                <v:path arrowok="t"/>
              </v:shape>
            </v:group>
            <v:group style="position:absolute;left:5394;top:4126;width:1054;height:468" coordorigin="5394,4126" coordsize="1054,468">
              <v:shape style="position:absolute;left:5394;top:4126;width:1054;height:468" coordorigin="5394,4126" coordsize="1054,468" path="m5394,4594l6447,4594,6447,4126,5394,4126,5394,4594xe" filled="true" fillcolor="#ffffff" stroked="false">
                <v:path arrowok="t"/>
                <v:fill type="solid"/>
              </v:shape>
            </v:group>
            <v:group style="position:absolute;left:1138;top:4121;width:1057;height:2" coordorigin="1138,4121" coordsize="1057,2">
              <v:shape style="position:absolute;left:1138;top:4121;width:1057;height:2" coordorigin="1138,4121" coordsize="1057,0" path="m1138,4121l2194,4121e" filled="false" stroked="true" strokeweight=".48pt" strokecolor="#000000">
                <v:path arrowok="t"/>
              </v:shape>
            </v:group>
            <v:group style="position:absolute;left:2204;top:4121;width:1054;height:2" coordorigin="2204,4121" coordsize="1054,2">
              <v:shape style="position:absolute;left:2204;top:4121;width:1054;height:2" coordorigin="2204,4121" coordsize="1054,0" path="m2204,4121l3257,4121e" filled="false" stroked="true" strokeweight=".48pt" strokecolor="#000000">
                <v:path arrowok="t"/>
              </v:shape>
            </v:group>
            <v:group style="position:absolute;left:3267;top:4121;width:1055;height:2" coordorigin="3267,4121" coordsize="1055,2">
              <v:shape style="position:absolute;left:3267;top:4121;width:1055;height:2" coordorigin="3267,4121" coordsize="1055,0" path="m3267,4121l4321,4121e" filled="false" stroked="true" strokeweight=".48pt" strokecolor="#000000">
                <v:path arrowok="t"/>
              </v:shape>
            </v:group>
            <v:group style="position:absolute;left:4331;top:4121;width:1054;height:2" coordorigin="4331,4121" coordsize="1054,2">
              <v:shape style="position:absolute;left:4331;top:4121;width:1054;height:2" coordorigin="4331,4121" coordsize="1054,0" path="m4331,4121l5384,4121e" filled="false" stroked="true" strokeweight=".48pt" strokecolor="#000000">
                <v:path arrowok="t"/>
              </v:shape>
            </v:group>
            <v:group style="position:absolute;left:5394;top:4121;width:1052;height:2" coordorigin="5394,4121" coordsize="1052,2">
              <v:shape style="position:absolute;left:5394;top:4121;width:1052;height:2" coordorigin="5394,4121" coordsize="1052,0" path="m5394,4121l6445,4121e" filled="false" stroked="true" strokeweight=".48pt" strokecolor="#000000">
                <v:path arrowok="t"/>
              </v:shape>
            </v:group>
            <v:group style="position:absolute;left:6455;top:4121;width:1055;height:2" coordorigin="6455,4121" coordsize="1055,2">
              <v:shape style="position:absolute;left:6455;top:4121;width:1055;height:2" coordorigin="6455,4121" coordsize="1055,0" path="m6455,4121l7509,4121e" filled="false" stroked="true" strokeweight=".48pt" strokecolor="#000000">
                <v:path arrowok="t"/>
              </v:shape>
            </v:group>
            <v:group style="position:absolute;left:7518;top:4121;width:1054;height:2" coordorigin="7518,4121" coordsize="1054,2">
              <v:shape style="position:absolute;left:7518;top:4121;width:1054;height:2" coordorigin="7518,4121" coordsize="1054,0" path="m7518,4121l8572,4121e" filled="false" stroked="true" strokeweight=".48pt" strokecolor="#000000">
                <v:path arrowok="t"/>
              </v:shape>
            </v:group>
            <v:group style="position:absolute;left:8581;top:4121;width:1055;height:2" coordorigin="8581,4121" coordsize="1055,2">
              <v:shape style="position:absolute;left:8581;top:4121;width:1055;height:2" coordorigin="8581,4121" coordsize="1055,0" path="m8581,4121l9635,4121e" filled="false" stroked="true" strokeweight=".48pt" strokecolor="#000000">
                <v:path arrowok="t"/>
              </v:shape>
            </v:group>
            <v:group style="position:absolute;left:9645;top:4121;width:1054;height:2" coordorigin="9645,4121" coordsize="1054,2">
              <v:shape style="position:absolute;left:9645;top:4121;width:1054;height:2" coordorigin="9645,4121" coordsize="1054,0" path="m9645,4121l10699,4121e" filled="false" stroked="true" strokeweight=".48pt" strokecolor="#000000">
                <v:path arrowok="t"/>
              </v:shape>
            </v:group>
            <v:group style="position:absolute;left:3267;top:5465;width:1055;height:625" coordorigin="3267,5465" coordsize="1055,625">
              <v:shape style="position:absolute;left:3267;top:5465;width:1055;height:625" coordorigin="3267,5465" coordsize="1055,625" path="m3267,6090l4321,6090,4321,5465,3267,5465,3267,6090xe" filled="true" fillcolor="#ffffff" stroked="false">
                <v:path arrowok="t"/>
                <v:fill type="solid"/>
              </v:shape>
            </v:group>
            <v:group style="position:absolute;left:1138;top:5458;width:1057;height:2" coordorigin="1138,5458" coordsize="1057,2">
              <v:shape style="position:absolute;left:1138;top:5458;width:1057;height:2" coordorigin="1138,5458" coordsize="1057,0" path="m1138,5458l2194,5458e" filled="false" stroked="true" strokeweight=".48001pt" strokecolor="#000000">
                <v:path arrowok="t"/>
              </v:shape>
            </v:group>
            <v:group style="position:absolute;left:2204;top:5458;width:1054;height:2" coordorigin="2204,5458" coordsize="1054,2">
              <v:shape style="position:absolute;left:2204;top:5458;width:1054;height:2" coordorigin="2204,5458" coordsize="1054,0" path="m2204,5458l3257,5458e" filled="false" stroked="true" strokeweight=".48001pt" strokecolor="#000000">
                <v:path arrowok="t"/>
              </v:shape>
            </v:group>
            <v:group style="position:absolute;left:3267;top:5458;width:1055;height:2" coordorigin="3267,5458" coordsize="1055,2">
              <v:shape style="position:absolute;left:3267;top:5458;width:1055;height:2" coordorigin="3267,5458" coordsize="1055,0" path="m3267,5458l4321,5458e" filled="false" stroked="true" strokeweight=".48001pt" strokecolor="#000000">
                <v:path arrowok="t"/>
              </v:shape>
            </v:group>
            <v:group style="position:absolute;left:4331;top:5458;width:1054;height:2" coordorigin="4331,5458" coordsize="1054,2">
              <v:shape style="position:absolute;left:4331;top:5458;width:1054;height:2" coordorigin="4331,5458" coordsize="1054,0" path="m4331,5458l5384,5458e" filled="false" stroked="true" strokeweight=".48001pt" strokecolor="#000000">
                <v:path arrowok="t"/>
              </v:shape>
            </v:group>
            <v:group style="position:absolute;left:5394;top:5458;width:1052;height:2" coordorigin="5394,5458" coordsize="1052,2">
              <v:shape style="position:absolute;left:5394;top:5458;width:1052;height:2" coordorigin="5394,5458" coordsize="1052,0" path="m5394,5458l6445,5458e" filled="false" stroked="true" strokeweight=".48001pt" strokecolor="#000000">
                <v:path arrowok="t"/>
              </v:shape>
            </v:group>
            <v:group style="position:absolute;left:6455;top:5458;width:1055;height:2" coordorigin="6455,5458" coordsize="1055,2">
              <v:shape style="position:absolute;left:6455;top:5458;width:1055;height:2" coordorigin="6455,5458" coordsize="1055,0" path="m6455,5458l7509,5458e" filled="false" stroked="true" strokeweight=".48001pt" strokecolor="#000000">
                <v:path arrowok="t"/>
              </v:shape>
            </v:group>
            <v:group style="position:absolute;left:7518;top:5458;width:1054;height:2" coordorigin="7518,5458" coordsize="1054,2">
              <v:shape style="position:absolute;left:7518;top:5458;width:1054;height:2" coordorigin="7518,5458" coordsize="1054,0" path="m7518,5458l8572,5458e" filled="false" stroked="true" strokeweight=".48001pt" strokecolor="#000000">
                <v:path arrowok="t"/>
              </v:shape>
            </v:group>
            <v:group style="position:absolute;left:8581;top:5458;width:1055;height:2" coordorigin="8581,5458" coordsize="1055,2">
              <v:shape style="position:absolute;left:8581;top:5458;width:1055;height:2" coordorigin="8581,5458" coordsize="1055,0" path="m8581,5458l9635,5458e" filled="false" stroked="true" strokeweight=".48001pt" strokecolor="#000000">
                <v:path arrowok="t"/>
              </v:shape>
            </v:group>
            <v:group style="position:absolute;left:9645;top:5458;width:1054;height:2" coordorigin="9645,5458" coordsize="1054,2">
              <v:shape style="position:absolute;left:9645;top:5458;width:1054;height:2" coordorigin="9645,5458" coordsize="1054,0" path="m9645,5458l10699,5458e" filled="false" stroked="true" strokeweight=".48001pt" strokecolor="#000000">
                <v:path arrowok="t"/>
              </v:shape>
            </v:group>
            <v:group style="position:absolute;left:1138;top:7110;width:1057;height:2" coordorigin="1138,7110" coordsize="1057,2">
              <v:shape style="position:absolute;left:1138;top:7110;width:1057;height:2" coordorigin="1138,7110" coordsize="1057,0" path="m1138,7110l2194,7110e" filled="false" stroked="true" strokeweight=".47998pt" strokecolor="#000000">
                <v:path arrowok="t"/>
              </v:shape>
            </v:group>
            <v:group style="position:absolute;left:2204;top:7110;width:1054;height:2" coordorigin="2204,7110" coordsize="1054,2">
              <v:shape style="position:absolute;left:2204;top:7110;width:1054;height:2" coordorigin="2204,7110" coordsize="1054,0" path="m2204,7110l3257,7110e" filled="false" stroked="true" strokeweight=".47998pt" strokecolor="#000000">
                <v:path arrowok="t"/>
              </v:shape>
            </v:group>
            <v:group style="position:absolute;left:3267;top:7110;width:1055;height:2" coordorigin="3267,7110" coordsize="1055,2">
              <v:shape style="position:absolute;left:3267;top:7110;width:1055;height:2" coordorigin="3267,7110" coordsize="1055,0" path="m3267,7110l4321,7110e" filled="false" stroked="true" strokeweight=".47998pt" strokecolor="#000000">
                <v:path arrowok="t"/>
              </v:shape>
            </v:group>
            <v:group style="position:absolute;left:4331;top:7110;width:1054;height:2" coordorigin="4331,7110" coordsize="1054,2">
              <v:shape style="position:absolute;left:4331;top:7110;width:1054;height:2" coordorigin="4331,7110" coordsize="1054,0" path="m4331,7110l5384,7110e" filled="false" stroked="true" strokeweight=".47998pt" strokecolor="#000000">
                <v:path arrowok="t"/>
              </v:shape>
            </v:group>
            <v:group style="position:absolute;left:5394;top:7110;width:1052;height:2" coordorigin="5394,7110" coordsize="1052,2">
              <v:shape style="position:absolute;left:5394;top:7110;width:1052;height:2" coordorigin="5394,7110" coordsize="1052,0" path="m5394,7110l6445,7110e" filled="false" stroked="true" strokeweight=".47998pt" strokecolor="#000000">
                <v:path arrowok="t"/>
              </v:shape>
            </v:group>
            <v:group style="position:absolute;left:6455;top:7110;width:1055;height:2" coordorigin="6455,7110" coordsize="1055,2">
              <v:shape style="position:absolute;left:6455;top:7110;width:1055;height:2" coordorigin="6455,7110" coordsize="1055,0" path="m6455,7110l7509,7110e" filled="false" stroked="true" strokeweight=".47998pt" strokecolor="#000000">
                <v:path arrowok="t"/>
              </v:shape>
            </v:group>
            <v:group style="position:absolute;left:7518;top:7110;width:1054;height:2" coordorigin="7518,7110" coordsize="1054,2">
              <v:shape style="position:absolute;left:7518;top:7110;width:1054;height:2" coordorigin="7518,7110" coordsize="1054,0" path="m7518,7110l8572,7110e" filled="false" stroked="true" strokeweight=".47998pt" strokecolor="#000000">
                <v:path arrowok="t"/>
              </v:shape>
            </v:group>
            <v:group style="position:absolute;left:8581;top:7110;width:1055;height:2" coordorigin="8581,7110" coordsize="1055,2">
              <v:shape style="position:absolute;left:8581;top:7110;width:1055;height:2" coordorigin="8581,7110" coordsize="1055,0" path="m8581,7110l9635,7110e" filled="false" stroked="true" strokeweight=".47998pt" strokecolor="#000000">
                <v:path arrowok="t"/>
              </v:shape>
            </v:group>
            <v:group style="position:absolute;left:9645;top:7110;width:1054;height:2" coordorigin="9645,7110" coordsize="1054,2">
              <v:shape style="position:absolute;left:9645;top:7110;width:1054;height:2" coordorigin="9645,7110" coordsize="1054,0" path="m9645,7110l10699,7110e" filled="false" stroked="true" strokeweight=".47998pt" strokecolor="#000000">
                <v:path arrowok="t"/>
              </v:shape>
            </v:group>
            <v:group style="position:absolute;left:5394;top:9078;width:1054;height:469" coordorigin="5394,9078" coordsize="1054,469">
              <v:shape style="position:absolute;left:5394;top:9078;width:1054;height:469" coordorigin="5394,9078" coordsize="1054,469" path="m5394,9546l6447,9546,6447,9078,5394,9078,5394,9546xe" filled="true" fillcolor="#ffffff" stroked="false">
                <v:path arrowok="t"/>
                <v:fill type="solid"/>
              </v:shape>
            </v:group>
            <v:group style="position:absolute;left:1138;top:9071;width:1057;height:2" coordorigin="1138,9071" coordsize="1057,2">
              <v:shape style="position:absolute;left:1138;top:9071;width:1057;height:2" coordorigin="1138,9071" coordsize="1057,0" path="m1138,9071l2194,9071e" filled="false" stroked="true" strokeweight=".48001pt" strokecolor="#000000">
                <v:path arrowok="t"/>
              </v:shape>
            </v:group>
            <v:group style="position:absolute;left:2204;top:9071;width:1054;height:2" coordorigin="2204,9071" coordsize="1054,2">
              <v:shape style="position:absolute;left:2204;top:9071;width:1054;height:2" coordorigin="2204,9071" coordsize="1054,0" path="m2204,9071l3257,9071e" filled="false" stroked="true" strokeweight=".48001pt" strokecolor="#000000">
                <v:path arrowok="t"/>
              </v:shape>
            </v:group>
            <v:group style="position:absolute;left:3267;top:9071;width:1055;height:2" coordorigin="3267,9071" coordsize="1055,2">
              <v:shape style="position:absolute;left:3267;top:9071;width:1055;height:2" coordorigin="3267,9071" coordsize="1055,0" path="m3267,9071l4321,9071e" filled="false" stroked="true" strokeweight=".48001pt" strokecolor="#000000">
                <v:path arrowok="t"/>
              </v:shape>
            </v:group>
            <v:group style="position:absolute;left:4331;top:9071;width:1054;height:2" coordorigin="4331,9071" coordsize="1054,2">
              <v:shape style="position:absolute;left:4331;top:9071;width:1054;height:2" coordorigin="4331,9071" coordsize="1054,0" path="m4331,9071l5384,9071e" filled="false" stroked="true" strokeweight=".48001pt" strokecolor="#000000">
                <v:path arrowok="t"/>
              </v:shape>
            </v:group>
            <v:group style="position:absolute;left:5394;top:9071;width:1052;height:2" coordorigin="5394,9071" coordsize="1052,2">
              <v:shape style="position:absolute;left:5394;top:9071;width:1052;height:2" coordorigin="5394,9071" coordsize="1052,0" path="m5394,9071l6445,9071e" filled="false" stroked="true" strokeweight=".48001pt" strokecolor="#000000">
                <v:path arrowok="t"/>
              </v:shape>
            </v:group>
            <v:group style="position:absolute;left:6455;top:9071;width:1055;height:2" coordorigin="6455,9071" coordsize="1055,2">
              <v:shape style="position:absolute;left:6455;top:9071;width:1055;height:2" coordorigin="6455,9071" coordsize="1055,0" path="m6455,9071l7509,9071e" filled="false" stroked="true" strokeweight=".48001pt" strokecolor="#000000">
                <v:path arrowok="t"/>
              </v:shape>
            </v:group>
            <v:group style="position:absolute;left:7518;top:9071;width:1054;height:2" coordorigin="7518,9071" coordsize="1054,2">
              <v:shape style="position:absolute;left:7518;top:9071;width:1054;height:2" coordorigin="7518,9071" coordsize="1054,0" path="m7518,9071l8572,9071e" filled="false" stroked="true" strokeweight=".48001pt" strokecolor="#000000">
                <v:path arrowok="t"/>
              </v:shape>
            </v:group>
            <v:group style="position:absolute;left:8581;top:9071;width:1055;height:2" coordorigin="8581,9071" coordsize="1055,2">
              <v:shape style="position:absolute;left:8581;top:9071;width:1055;height:2" coordorigin="8581,9071" coordsize="1055,0" path="m8581,9071l9635,9071e" filled="false" stroked="true" strokeweight=".48001pt" strokecolor="#000000">
                <v:path arrowok="t"/>
              </v:shape>
            </v:group>
            <v:group style="position:absolute;left:9645;top:9071;width:1054;height:2" coordorigin="9645,9071" coordsize="1054,2">
              <v:shape style="position:absolute;left:9645;top:9071;width:1054;height:2" coordorigin="9645,9071" coordsize="1054,0" path="m9645,9071l10699,9071e" filled="false" stroked="true" strokeweight=".48001pt" strokecolor="#000000">
                <v:path arrowok="t"/>
              </v:shape>
            </v:group>
            <v:group style="position:absolute;left:3267;top:10415;width:1055;height:468" coordorigin="3267,10415" coordsize="1055,468">
              <v:shape style="position:absolute;left:3267;top:10415;width:1055;height:468" coordorigin="3267,10415" coordsize="1055,468" path="m3267,10883l4321,10883,4321,10415,3267,10415,3267,10883xe" filled="true" fillcolor="#ffffff" stroked="false">
                <v:path arrowok="t"/>
                <v:fill type="solid"/>
              </v:shape>
            </v:group>
            <v:group style="position:absolute;left:1138;top:10410;width:1057;height:2" coordorigin="1138,10410" coordsize="1057,2">
              <v:shape style="position:absolute;left:1138;top:10410;width:1057;height:2" coordorigin="1138,10410" coordsize="1057,0" path="m1138,10410l2194,10410e" filled="false" stroked="true" strokeweight=".47998pt" strokecolor="#000000">
                <v:path arrowok="t"/>
              </v:shape>
            </v:group>
            <v:group style="position:absolute;left:2204;top:10410;width:1054;height:2" coordorigin="2204,10410" coordsize="1054,2">
              <v:shape style="position:absolute;left:2204;top:10410;width:1054;height:2" coordorigin="2204,10410" coordsize="1054,0" path="m2204,10410l3257,10410e" filled="false" stroked="true" strokeweight=".47998pt" strokecolor="#000000">
                <v:path arrowok="t"/>
              </v:shape>
            </v:group>
            <v:group style="position:absolute;left:3267;top:10410;width:1055;height:2" coordorigin="3267,10410" coordsize="1055,2">
              <v:shape style="position:absolute;left:3267;top:10410;width:1055;height:2" coordorigin="3267,10410" coordsize="1055,0" path="m3267,10410l4321,10410e" filled="false" stroked="true" strokeweight=".47998pt" strokecolor="#000000">
                <v:path arrowok="t"/>
              </v:shape>
            </v:group>
            <v:group style="position:absolute;left:5394;top:10415;width:1054;height:468" coordorigin="5394,10415" coordsize="1054,468">
              <v:shape style="position:absolute;left:5394;top:10415;width:1054;height:468" coordorigin="5394,10415" coordsize="1054,468" path="m5394,10883l6447,10883,6447,10415,5394,10415,5394,10883xe" filled="true" fillcolor="#ffffff" stroked="false">
                <v:path arrowok="t"/>
                <v:fill type="solid"/>
              </v:shape>
            </v:group>
            <v:group style="position:absolute;left:4331;top:10410;width:1054;height:2" coordorigin="4331,10410" coordsize="1054,2">
              <v:shape style="position:absolute;left:4331;top:10410;width:1054;height:2" coordorigin="4331,10410" coordsize="1054,0" path="m4331,10410l5384,10410e" filled="false" stroked="true" strokeweight=".47998pt" strokecolor="#000000">
                <v:path arrowok="t"/>
              </v:shape>
            </v:group>
            <v:group style="position:absolute;left:5394;top:10410;width:1052;height:2" coordorigin="5394,10410" coordsize="1052,2">
              <v:shape style="position:absolute;left:5394;top:10410;width:1052;height:2" coordorigin="5394,10410" coordsize="1052,0" path="m5394,10410l6445,10410e" filled="false" stroked="true" strokeweight=".47998pt" strokecolor="#000000">
                <v:path arrowok="t"/>
              </v:shape>
            </v:group>
            <v:group style="position:absolute;left:6455;top:10410;width:1055;height:2" coordorigin="6455,10410" coordsize="1055,2">
              <v:shape style="position:absolute;left:6455;top:10410;width:1055;height:2" coordorigin="6455,10410" coordsize="1055,0" path="m6455,10410l7509,10410e" filled="false" stroked="true" strokeweight=".47998pt" strokecolor="#000000">
                <v:path arrowok="t"/>
              </v:shape>
            </v:group>
            <v:group style="position:absolute;left:7518;top:10410;width:1054;height:2" coordorigin="7518,10410" coordsize="1054,2">
              <v:shape style="position:absolute;left:7518;top:10410;width:1054;height:2" coordorigin="7518,10410" coordsize="1054,0" path="m7518,10410l8572,10410e" filled="false" stroked="true" strokeweight=".47998pt" strokecolor="#000000">
                <v:path arrowok="t"/>
              </v:shape>
            </v:group>
            <v:group style="position:absolute;left:8581;top:10410;width:1055;height:2" coordorigin="8581,10410" coordsize="1055,2">
              <v:shape style="position:absolute;left:8581;top:10410;width:1055;height:2" coordorigin="8581,10410" coordsize="1055,0" path="m8581,10410l9635,10410e" filled="false" stroked="true" strokeweight=".47998pt" strokecolor="#000000">
                <v:path arrowok="t"/>
              </v:shape>
            </v:group>
            <v:group style="position:absolute;left:9645;top:10410;width:1054;height:2" coordorigin="9645,10410" coordsize="1054,2">
              <v:shape style="position:absolute;left:9645;top:10410;width:1054;height:2" coordorigin="9645,10410" coordsize="1054,0" path="m9645,10410l10699,10410e" filled="false" stroked="true" strokeweight=".47998pt" strokecolor="#000000">
                <v:path arrowok="t"/>
              </v:shape>
            </v:group>
            <v:group style="position:absolute;left:5394;top:11754;width:1054;height:624" coordorigin="5394,11754" coordsize="1054,624">
              <v:shape style="position:absolute;left:5394;top:11754;width:1054;height:624" coordorigin="5394,11754" coordsize="1054,624" path="m5394,12378l6447,12378,6447,11754,5394,11754,5394,12378xe" filled="true" fillcolor="#ffffff" stroked="false">
                <v:path arrowok="t"/>
                <v:fill type="solid"/>
              </v:shape>
            </v:group>
            <v:group style="position:absolute;left:1138;top:11747;width:1057;height:2" coordorigin="1138,11747" coordsize="1057,2">
              <v:shape style="position:absolute;left:1138;top:11747;width:1057;height:2" coordorigin="1138,11747" coordsize="1057,0" path="m1138,11747l2194,11747e" filled="false" stroked="true" strokeweight=".47998pt" strokecolor="#000000">
                <v:path arrowok="t"/>
              </v:shape>
            </v:group>
            <v:group style="position:absolute;left:2204;top:11747;width:1054;height:2" coordorigin="2204,11747" coordsize="1054,2">
              <v:shape style="position:absolute;left:2204;top:11747;width:1054;height:2" coordorigin="2204,11747" coordsize="1054,0" path="m2204,11747l3257,11747e" filled="false" stroked="true" strokeweight=".47998pt" strokecolor="#000000">
                <v:path arrowok="t"/>
              </v:shape>
            </v:group>
            <v:group style="position:absolute;left:3267;top:11747;width:1055;height:2" coordorigin="3267,11747" coordsize="1055,2">
              <v:shape style="position:absolute;left:3267;top:11747;width:1055;height:2" coordorigin="3267,11747" coordsize="1055,0" path="m3267,11747l4321,11747e" filled="false" stroked="true" strokeweight=".47998pt" strokecolor="#000000">
                <v:path arrowok="t"/>
              </v:shape>
            </v:group>
            <v:group style="position:absolute;left:4331;top:11747;width:1054;height:2" coordorigin="4331,11747" coordsize="1054,2">
              <v:shape style="position:absolute;left:4331;top:11747;width:1054;height:2" coordorigin="4331,11747" coordsize="1054,0" path="m4331,11747l5384,11747e" filled="false" stroked="true" strokeweight=".47998pt" strokecolor="#000000">
                <v:path arrowok="t"/>
              </v:shape>
            </v:group>
            <v:group style="position:absolute;left:5394;top:11747;width:1052;height:2" coordorigin="5394,11747" coordsize="1052,2">
              <v:shape style="position:absolute;left:5394;top:11747;width:1052;height:2" coordorigin="5394,11747" coordsize="1052,0" path="m5394,11747l6445,11747e" filled="false" stroked="true" strokeweight=".47998pt" strokecolor="#000000">
                <v:path arrowok="t"/>
              </v:shape>
            </v:group>
            <v:group style="position:absolute;left:6455;top:11747;width:1055;height:2" coordorigin="6455,11747" coordsize="1055,2">
              <v:shape style="position:absolute;left:6455;top:11747;width:1055;height:2" coordorigin="6455,11747" coordsize="1055,0" path="m6455,11747l7509,11747e" filled="false" stroked="true" strokeweight=".47998pt" strokecolor="#000000">
                <v:path arrowok="t"/>
              </v:shape>
            </v:group>
            <v:group style="position:absolute;left:7518;top:11747;width:1054;height:2" coordorigin="7518,11747" coordsize="1054,2">
              <v:shape style="position:absolute;left:7518;top:11747;width:1054;height:2" coordorigin="7518,11747" coordsize="1054,0" path="m7518,11747l8572,11747e" filled="false" stroked="true" strokeweight=".47998pt" strokecolor="#000000">
                <v:path arrowok="t"/>
              </v:shape>
            </v:group>
            <v:group style="position:absolute;left:8581;top:11747;width:1055;height:2" coordorigin="8581,11747" coordsize="1055,2">
              <v:shape style="position:absolute;left:8581;top:11747;width:1055;height:2" coordorigin="8581,11747" coordsize="1055,0" path="m8581,11747l9635,11747e" filled="false" stroked="true" strokeweight=".47998pt" strokecolor="#000000">
                <v:path arrowok="t"/>
              </v:shape>
            </v:group>
            <v:group style="position:absolute;left:9645;top:11747;width:1054;height:2" coordorigin="9645,11747" coordsize="1054,2">
              <v:shape style="position:absolute;left:9645;top:11747;width:1054;height:2" coordorigin="9645,11747" coordsize="1054,0" path="m9645,11747l10699,11747e" filled="false" stroked="true" strokeweight=".47998pt" strokecolor="#000000">
                <v:path arrowok="t"/>
              </v:shape>
            </v:group>
            <v:group style="position:absolute;left:5394;top:13404;width:1054;height:468" coordorigin="5394,13404" coordsize="1054,468">
              <v:shape style="position:absolute;left:5394;top:13404;width:1054;height:468" coordorigin="5394,13404" coordsize="1054,468" path="m5394,13872l6447,13872,6447,13404,5394,13404,5394,13872xe" filled="true" fillcolor="#ffffff" stroked="false">
                <v:path arrowok="t"/>
                <v:fill type="solid"/>
              </v:shape>
            </v:group>
            <v:group style="position:absolute;left:1138;top:13399;width:1057;height:2" coordorigin="1138,13399" coordsize="1057,2">
              <v:shape style="position:absolute;left:1138;top:13399;width:1057;height:2" coordorigin="1138,13399" coordsize="1057,0" path="m1138,13399l2194,13399e" filled="false" stroked="true" strokeweight=".48004pt" strokecolor="#000000">
                <v:path arrowok="t"/>
              </v:shape>
            </v:group>
            <v:group style="position:absolute;left:2204;top:13399;width:1054;height:2" coordorigin="2204,13399" coordsize="1054,2">
              <v:shape style="position:absolute;left:2204;top:13399;width:1054;height:2" coordorigin="2204,13399" coordsize="1054,0" path="m2204,13399l3257,13399e" filled="false" stroked="true" strokeweight=".48004pt" strokecolor="#000000">
                <v:path arrowok="t"/>
              </v:shape>
            </v:group>
            <v:group style="position:absolute;left:3267;top:13399;width:1055;height:2" coordorigin="3267,13399" coordsize="1055,2">
              <v:shape style="position:absolute;left:3267;top:13399;width:1055;height:2" coordorigin="3267,13399" coordsize="1055,0" path="m3267,13399l4321,13399e" filled="false" stroked="true" strokeweight=".48004pt" strokecolor="#000000">
                <v:path arrowok="t"/>
              </v:shape>
            </v:group>
            <v:group style="position:absolute;left:4331;top:13399;width:1054;height:2" coordorigin="4331,13399" coordsize="1054,2">
              <v:shape style="position:absolute;left:4331;top:13399;width:1054;height:2" coordorigin="4331,13399" coordsize="1054,0" path="m4331,13399l5384,13399e" filled="false" stroked="true" strokeweight=".48004pt" strokecolor="#000000">
                <v:path arrowok="t"/>
              </v:shape>
            </v:group>
            <v:group style="position:absolute;left:5394;top:13399;width:1052;height:2" coordorigin="5394,13399" coordsize="1052,2">
              <v:shape style="position:absolute;left:5394;top:13399;width:1052;height:2" coordorigin="5394,13399" coordsize="1052,0" path="m5394,13399l6445,13399e" filled="false" stroked="true" strokeweight=".48004pt" strokecolor="#000000">
                <v:path arrowok="t"/>
              </v:shape>
            </v:group>
            <v:group style="position:absolute;left:6455;top:13399;width:1055;height:2" coordorigin="6455,13399" coordsize="1055,2">
              <v:shape style="position:absolute;left:6455;top:13399;width:1055;height:2" coordorigin="6455,13399" coordsize="1055,0" path="m6455,13399l7509,13399e" filled="false" stroked="true" strokeweight=".48004pt" strokecolor="#000000">
                <v:path arrowok="t"/>
              </v:shape>
            </v:group>
            <v:group style="position:absolute;left:7518;top:13399;width:1054;height:2" coordorigin="7518,13399" coordsize="1054,2">
              <v:shape style="position:absolute;left:7518;top:13399;width:1054;height:2" coordorigin="7518,13399" coordsize="1054,0" path="m7518,13399l8572,13399e" filled="false" stroked="true" strokeweight=".48004pt" strokecolor="#000000">
                <v:path arrowok="t"/>
              </v:shape>
            </v:group>
            <v:group style="position:absolute;left:8581;top:13399;width:1055;height:2" coordorigin="8581,13399" coordsize="1055,2">
              <v:shape style="position:absolute;left:8581;top:13399;width:1055;height:2" coordorigin="8581,13399" coordsize="1055,0" path="m8581,13399l9635,13399e" filled="false" stroked="true" strokeweight=".48004pt" strokecolor="#000000">
                <v:path arrowok="t"/>
              </v:shape>
            </v:group>
            <v:group style="position:absolute;left:9645;top:13399;width:1054;height:2" coordorigin="9645,13399" coordsize="1054,2">
              <v:shape style="position:absolute;left:9645;top:13399;width:1054;height:2" coordorigin="9645,13399" coordsize="1054,0" path="m9645,13399l10699,13399e" filled="false" stroked="true" strokeweight=".48004pt" strokecolor="#000000">
                <v:path arrowok="t"/>
              </v:shape>
            </v:group>
            <v:group style="position:absolute;left:1138;top:14736;width:1057;height:2" coordorigin="1138,14736" coordsize="1057,2">
              <v:shape style="position:absolute;left:1138;top:14736;width:1057;height:2" coordorigin="1138,14736" coordsize="1057,0" path="m1138,14736l2194,14736e" filled="false" stroked="true" strokeweight=".47998pt" strokecolor="#000000">
                <v:path arrowok="t"/>
              </v:shape>
            </v:group>
            <v:group style="position:absolute;left:2204;top:14736;width:1054;height:2" coordorigin="2204,14736" coordsize="1054,2">
              <v:shape style="position:absolute;left:2204;top:14736;width:1054;height:2" coordorigin="2204,14736" coordsize="1054,0" path="m2204,14736l3257,14736e" filled="false" stroked="true" strokeweight=".47998pt" strokecolor="#000000">
                <v:path arrowok="t"/>
              </v:shape>
            </v:group>
            <v:group style="position:absolute;left:3267;top:14736;width:1055;height:2" coordorigin="3267,14736" coordsize="1055,2">
              <v:shape style="position:absolute;left:3267;top:14736;width:1055;height:2" coordorigin="3267,14736" coordsize="1055,0" path="m3267,14736l4321,14736e" filled="false" stroked="true" strokeweight=".47998pt" strokecolor="#000000">
                <v:path arrowok="t"/>
              </v:shape>
            </v:group>
            <v:group style="position:absolute;left:4331;top:14736;width:1054;height:2" coordorigin="4331,14736" coordsize="1054,2">
              <v:shape style="position:absolute;left:4331;top:14736;width:1054;height:2" coordorigin="4331,14736" coordsize="1054,0" path="m4331,14736l5384,14736e" filled="false" stroked="true" strokeweight=".47998pt" strokecolor="#000000">
                <v:path arrowok="t"/>
              </v:shape>
            </v:group>
            <v:group style="position:absolute;left:5394;top:14736;width:1052;height:2" coordorigin="5394,14736" coordsize="1052,2">
              <v:shape style="position:absolute;left:5394;top:14736;width:1052;height:2" coordorigin="5394,14736" coordsize="1052,0" path="m5394,14736l6445,14736e" filled="false" stroked="true" strokeweight=".47998pt" strokecolor="#000000">
                <v:path arrowok="t"/>
              </v:shape>
            </v:group>
            <v:group style="position:absolute;left:6455;top:14736;width:1055;height:2" coordorigin="6455,14736" coordsize="1055,2">
              <v:shape style="position:absolute;left:6455;top:14736;width:1055;height:2" coordorigin="6455,14736" coordsize="1055,0" path="m6455,14736l7509,14736e" filled="false" stroked="true" strokeweight=".47998pt" strokecolor="#000000">
                <v:path arrowok="t"/>
              </v:shape>
            </v:group>
            <v:group style="position:absolute;left:7518;top:14736;width:1054;height:2" coordorigin="7518,14736" coordsize="1054,2">
              <v:shape style="position:absolute;left:7518;top:14736;width:1054;height:2" coordorigin="7518,14736" coordsize="1054,0" path="m7518,14736l8572,14736e" filled="false" stroked="true" strokeweight=".47998pt" strokecolor="#000000">
                <v:path arrowok="t"/>
              </v:shape>
            </v:group>
            <v:group style="position:absolute;left:8581;top:14736;width:1055;height:2" coordorigin="8581,14736" coordsize="1055,2">
              <v:shape style="position:absolute;left:8581;top:14736;width:1055;height:2" coordorigin="8581,14736" coordsize="1055,0" path="m8581,14736l9635,14736e" filled="false" stroked="true" strokeweight=".47998pt" strokecolor="#000000">
                <v:path arrowok="t"/>
              </v:shape>
            </v:group>
            <v:group style="position:absolute;left:9645;top:14736;width:1054;height:2" coordorigin="9645,14736" coordsize="1054,2">
              <v:shape style="position:absolute;left:9645;top:14736;width:1054;height:2" coordorigin="9645,14736" coordsize="1054,0" path="m9645,14736l10699,14736e" filled="false" stroked="true" strokeweight=".47998pt" strokecolor="#000000">
                <v:path arrowok="t"/>
              </v:shape>
            </v:group>
            <v:group style="position:absolute;left:1133;top:1440;width:2;height:13704" coordorigin="1133,1440" coordsize="2,13704">
              <v:shape style="position:absolute;left:1133;top:1440;width:2;height:13704" coordorigin="1133,1440" coordsize="0,13704" path="m1133,1440l1133,15144e" filled="false" stroked="true" strokeweight=".48pt" strokecolor="#000000">
                <v:path arrowok="t"/>
              </v:shape>
            </v:group>
            <v:group style="position:absolute;left:1138;top:15139;width:1057;height:2" coordorigin="1138,15139" coordsize="1057,2">
              <v:shape style="position:absolute;left:1138;top:15139;width:1057;height:2" coordorigin="1138,15139" coordsize="1057,0" path="m1138,15139l2194,15139e" filled="false" stroked="true" strokeweight=".48004pt" strokecolor="#000000">
                <v:path arrowok="t"/>
              </v:shape>
            </v:group>
            <v:group style="position:absolute;left:2199;top:1440;width:2;height:13704" coordorigin="2199,1440" coordsize="2,13704">
              <v:shape style="position:absolute;left:2199;top:1440;width:2;height:13704" coordorigin="2199,1440" coordsize="0,13704" path="m2199,1440l2199,15144e" filled="false" stroked="true" strokeweight=".48pt" strokecolor="#000000">
                <v:path arrowok="t"/>
              </v:shape>
            </v:group>
            <v:group style="position:absolute;left:2204;top:15139;width:1054;height:2" coordorigin="2204,15139" coordsize="1054,2">
              <v:shape style="position:absolute;left:2204;top:15139;width:1054;height:2" coordorigin="2204,15139" coordsize="1054,0" path="m2204,15139l3257,15139e" filled="false" stroked="true" strokeweight=".48004pt" strokecolor="#000000">
                <v:path arrowok="t"/>
              </v:shape>
            </v:group>
            <v:group style="position:absolute;left:3262;top:1440;width:2;height:13704" coordorigin="3262,1440" coordsize="2,13704">
              <v:shape style="position:absolute;left:3262;top:1440;width:2;height:13704" coordorigin="3262,1440" coordsize="0,13704" path="m3262,1440l3262,15144e" filled="false" stroked="true" strokeweight=".48pt" strokecolor="#000000">
                <v:path arrowok="t"/>
              </v:shape>
            </v:group>
            <v:group style="position:absolute;left:3267;top:15139;width:1055;height:2" coordorigin="3267,15139" coordsize="1055,2">
              <v:shape style="position:absolute;left:3267;top:15139;width:1055;height:2" coordorigin="3267,15139" coordsize="1055,0" path="m3267,15139l4321,15139e" filled="false" stroked="true" strokeweight=".48004pt" strokecolor="#000000">
                <v:path arrowok="t"/>
              </v:shape>
            </v:group>
            <v:group style="position:absolute;left:4326;top:1440;width:2;height:13704" coordorigin="4326,1440" coordsize="2,13704">
              <v:shape style="position:absolute;left:4326;top:1440;width:2;height:13704" coordorigin="4326,1440" coordsize="0,13704" path="m4326,1440l4326,15144e" filled="false" stroked="true" strokeweight=".48pt" strokecolor="#000000">
                <v:path arrowok="t"/>
              </v:shape>
            </v:group>
            <v:group style="position:absolute;left:4331;top:15139;width:1054;height:2" coordorigin="4331,15139" coordsize="1054,2">
              <v:shape style="position:absolute;left:4331;top:15139;width:1054;height:2" coordorigin="4331,15139" coordsize="1054,0" path="m4331,15139l5384,15139e" filled="false" stroked="true" strokeweight=".48004pt" strokecolor="#000000">
                <v:path arrowok="t"/>
              </v:shape>
            </v:group>
            <v:group style="position:absolute;left:5389;top:1440;width:2;height:13704" coordorigin="5389,1440" coordsize="2,13704">
              <v:shape style="position:absolute;left:5389;top:1440;width:2;height:13704" coordorigin="5389,1440" coordsize="0,13704" path="m5389,1440l5389,15144e" filled="false" stroked="true" strokeweight=".47998pt" strokecolor="#000000">
                <v:path arrowok="t"/>
              </v:shape>
            </v:group>
            <v:group style="position:absolute;left:5394;top:15139;width:1052;height:2" coordorigin="5394,15139" coordsize="1052,2">
              <v:shape style="position:absolute;left:5394;top:15139;width:1052;height:2" coordorigin="5394,15139" coordsize="1052,0" path="m5394,15139l6445,15139e" filled="false" stroked="true" strokeweight=".48004pt" strokecolor="#000000">
                <v:path arrowok="t"/>
              </v:shape>
            </v:group>
            <v:group style="position:absolute;left:6450;top:1440;width:2;height:13704" coordorigin="6450,1440" coordsize="2,13704">
              <v:shape style="position:absolute;left:6450;top:1440;width:2;height:13704" coordorigin="6450,1440" coordsize="0,13704" path="m6450,1440l6450,15144e" filled="false" stroked="true" strokeweight=".47998pt" strokecolor="#000000">
                <v:path arrowok="t"/>
              </v:shape>
            </v:group>
            <v:group style="position:absolute;left:6455;top:15139;width:1055;height:2" coordorigin="6455,15139" coordsize="1055,2">
              <v:shape style="position:absolute;left:6455;top:15139;width:1055;height:2" coordorigin="6455,15139" coordsize="1055,0" path="m6455,15139l7509,15139e" filled="false" stroked="true" strokeweight=".48004pt" strokecolor="#000000">
                <v:path arrowok="t"/>
              </v:shape>
            </v:group>
            <v:group style="position:absolute;left:7513;top:1440;width:2;height:13704" coordorigin="7513,1440" coordsize="2,13704">
              <v:shape style="position:absolute;left:7513;top:1440;width:2;height:13704" coordorigin="7513,1440" coordsize="0,13704" path="m7513,1440l7513,15144e" filled="false" stroked="true" strokeweight=".48001pt" strokecolor="#000000">
                <v:path arrowok="t"/>
              </v:shape>
            </v:group>
            <v:group style="position:absolute;left:7518;top:15139;width:1054;height:2" coordorigin="7518,15139" coordsize="1054,2">
              <v:shape style="position:absolute;left:7518;top:15139;width:1054;height:2" coordorigin="7518,15139" coordsize="1054,0" path="m7518,15139l8572,15139e" filled="false" stroked="true" strokeweight=".48004pt" strokecolor="#000000">
                <v:path arrowok="t"/>
              </v:shape>
            </v:group>
            <v:group style="position:absolute;left:8577;top:1440;width:2;height:13704" coordorigin="8577,1440" coordsize="2,13704">
              <v:shape style="position:absolute;left:8577;top:1440;width:2;height:13704" coordorigin="8577,1440" coordsize="0,13704" path="m8577,1440l8577,15144e" filled="false" stroked="true" strokeweight=".47998pt" strokecolor="#000000">
                <v:path arrowok="t"/>
              </v:shape>
            </v:group>
            <v:group style="position:absolute;left:8581;top:15139;width:1055;height:2" coordorigin="8581,15139" coordsize="1055,2">
              <v:shape style="position:absolute;left:8581;top:15139;width:1055;height:2" coordorigin="8581,15139" coordsize="1055,0" path="m8581,15139l9635,15139e" filled="false" stroked="true" strokeweight=".48004pt" strokecolor="#000000">
                <v:path arrowok="t"/>
              </v:shape>
            </v:group>
            <v:group style="position:absolute;left:9640;top:1440;width:2;height:13704" coordorigin="9640,1440" coordsize="2,13704">
              <v:shape style="position:absolute;left:9640;top:1440;width:2;height:13704" coordorigin="9640,1440" coordsize="0,13704" path="m9640,1440l9640,15144e" filled="false" stroked="true" strokeweight=".48001pt" strokecolor="#000000">
                <v:path arrowok="t"/>
              </v:shape>
            </v:group>
            <v:group style="position:absolute;left:9645;top:15139;width:1054;height:2" coordorigin="9645,15139" coordsize="1054,2">
              <v:shape style="position:absolute;left:9645;top:15139;width:1054;height:2" coordorigin="9645,15139" coordsize="1054,0" path="m9645,15139l10699,15139e" filled="false" stroked="true" strokeweight=".48004pt" strokecolor="#000000">
                <v:path arrowok="t"/>
              </v:shape>
            </v:group>
            <v:group style="position:absolute;left:10704;top:1440;width:2;height:13704" coordorigin="10704,1440" coordsize="2,13704">
              <v:shape style="position:absolute;left:10704;top:1440;width:2;height:13704" coordorigin="10704,1440" coordsize="0,13704" path="m10704,1440l10704,15144e" filled="false" stroked="true" strokeweight=".47998pt" strokecolor="#000000">
                <v:path arrowok="t"/>
              </v:shape>
            </v:group>
            <w10:wrap type="none"/>
          </v:group>
        </w:pict>
      </w:r>
      <w:r>
        <w:rPr>
          <w:rFonts w:ascii="宋体" w:hAnsi="宋体" w:cs="宋体" w:eastAsia="宋体" w:hint="default"/>
          <w:sz w:val="18"/>
          <w:szCs w:val="18"/>
        </w:rPr>
        <w:t>工业创新大  北海工业和</w:t>
      </w:r>
      <w:r>
        <w:rPr>
          <w:rFonts w:ascii="宋体" w:hAnsi="宋体" w:cs="宋体" w:eastAsia="宋体" w:hint="default"/>
          <w:spacing w:val="59"/>
          <w:sz w:val="18"/>
          <w:szCs w:val="18"/>
        </w:rPr>
        <w:t> </w:t>
      </w:r>
      <w:r>
        <w:rPr>
          <w:rFonts w:ascii="宋体" w:hAnsi="宋体" w:cs="宋体" w:eastAsia="宋体" w:hint="default"/>
          <w:position w:val="2"/>
          <w:sz w:val="18"/>
          <w:szCs w:val="18"/>
        </w:rPr>
        <w:t>奖励</w:t>
        <w:tab/>
      </w:r>
      <w:r>
        <w:rPr>
          <w:rFonts w:ascii="宋体" w:hAnsi="宋体" w:cs="宋体" w:eastAsia="宋体" w:hint="default"/>
          <w:sz w:val="18"/>
          <w:szCs w:val="18"/>
        </w:rPr>
        <w:t>因符合地方</w:t>
      </w:r>
      <w:r>
        <w:rPr>
          <w:rFonts w:ascii="宋体" w:hAnsi="宋体" w:cs="宋体" w:eastAsia="宋体" w:hint="default"/>
          <w:spacing w:val="73"/>
          <w:sz w:val="18"/>
          <w:szCs w:val="18"/>
        </w:rPr>
        <w:t> </w:t>
      </w:r>
      <w:r>
        <w:rPr>
          <w:rFonts w:ascii="宋体" w:hAnsi="宋体" w:cs="宋体" w:eastAsia="宋体" w:hint="default"/>
          <w:position w:val="2"/>
          <w:sz w:val="18"/>
          <w:szCs w:val="18"/>
        </w:rPr>
        <w:t>否</w:t>
        <w:tab/>
        <w:t>否</w:t>
        <w:tab/>
      </w:r>
      <w:r>
        <w:rPr>
          <w:rFonts w:ascii="Times New Roman" w:hAnsi="Times New Roman" w:cs="Times New Roman" w:eastAsia="Times New Roman" w:hint="default"/>
          <w:spacing w:val="-1"/>
          <w:position w:val="2"/>
          <w:sz w:val="18"/>
          <w:szCs w:val="18"/>
        </w:rPr>
        <w:t>0.00</w:t>
        <w:tab/>
        <w:t>20,000.00</w:t>
      </w:r>
      <w:r>
        <w:rPr>
          <w:rFonts w:ascii="Times New Roman" w:hAnsi="Times New Roman" w:cs="Times New Roman" w:eastAsia="Times New Roman" w:hint="default"/>
          <w:spacing w:val="17"/>
          <w:position w:val="2"/>
          <w:sz w:val="18"/>
          <w:szCs w:val="18"/>
        </w:rPr>
        <w:t> </w:t>
      </w:r>
      <w:r>
        <w:rPr>
          <w:rFonts w:ascii="宋体" w:hAnsi="宋体" w:cs="宋体" w:eastAsia="宋体" w:hint="default"/>
          <w:position w:val="2"/>
          <w:sz w:val="18"/>
          <w:szCs w:val="18"/>
        </w:rPr>
        <w:t>与收益相关</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4"/>
        <w:gridCol w:w="1063"/>
        <w:gridCol w:w="1064"/>
        <w:gridCol w:w="1063"/>
      </w:tblGrid>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30"/>
              <w:jc w:val="left"/>
              <w:rPr>
                <w:rFonts w:ascii="宋体" w:hAnsi="宋体" w:cs="宋体" w:eastAsia="宋体" w:hint="default"/>
                <w:sz w:val="18"/>
                <w:szCs w:val="18"/>
              </w:rPr>
            </w:pPr>
            <w:r>
              <w:rPr>
                <w:rFonts w:ascii="宋体" w:hAnsi="宋体" w:cs="宋体" w:eastAsia="宋体" w:hint="default"/>
                <w:sz w:val="18"/>
                <w:szCs w:val="18"/>
              </w:rPr>
              <w:t>赛优胜奖奖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27"/>
              <w:jc w:val="left"/>
              <w:rPr>
                <w:rFonts w:ascii="宋体" w:hAnsi="宋体" w:cs="宋体" w:eastAsia="宋体" w:hint="default"/>
                <w:sz w:val="18"/>
                <w:szCs w:val="18"/>
              </w:rPr>
            </w:pPr>
            <w:r>
              <w:rPr>
                <w:rFonts w:ascii="宋体" w:hAnsi="宋体" w:cs="宋体" w:eastAsia="宋体" w:hint="default"/>
                <w:sz w:val="18"/>
                <w:szCs w:val="18"/>
              </w:rPr>
              <w:t>信息化委员 会</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1,483,310.00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1,137,500.00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1142" w:firstLine="0"/>
        <w:jc w:val="right"/>
      </w:pPr>
      <w:r>
        <w:rPr>
          <w:spacing w:val="2"/>
        </w:rPr>
        <w:t>注：其他主要包括本公司收到的所属子公司杭州西软原股东杨明魁违反竞业禁止协议的违约金</w:t>
      </w:r>
    </w:p>
    <w:p>
      <w:pPr>
        <w:pStyle w:val="Heading6"/>
        <w:spacing w:line="240" w:lineRule="auto" w:before="21"/>
        <w:ind w:right="1133" w:firstLine="0"/>
        <w:jc w:val="left"/>
      </w:pPr>
      <w:r>
        <w:rPr>
          <w:rFonts w:ascii="Times New Roman" w:hAnsi="Times New Roman" w:cs="Times New Roman" w:eastAsia="Times New Roman" w:hint="default"/>
        </w:rPr>
        <w:t>5,400,000.00</w:t>
      </w:r>
      <w:r>
        <w:rPr/>
        <w:t>元，稳岗补贴及社保补贴</w:t>
      </w:r>
      <w:r>
        <w:rPr>
          <w:rFonts w:ascii="Times New Roman" w:hAnsi="Times New Roman" w:cs="Times New Roman" w:eastAsia="Times New Roman" w:hint="default"/>
        </w:rPr>
        <w:t>585,197.58</w:t>
      </w:r>
      <w:r>
        <w:rPr/>
        <w:t>元，无需退回押金以及无需支付款项</w:t>
      </w:r>
      <w:r>
        <w:rPr>
          <w:rFonts w:ascii="Times New Roman" w:hAnsi="Times New Roman" w:cs="Times New Roman" w:eastAsia="Times New Roman" w:hint="default"/>
        </w:rPr>
        <w:t>210,164.07</w:t>
      </w:r>
      <w:r>
        <w:rPr/>
        <w:t>元。</w:t>
      </w:r>
    </w:p>
    <w:p>
      <w:pPr>
        <w:spacing w:line="240" w:lineRule="auto" w:before="3"/>
        <w:rPr>
          <w:rFonts w:ascii="宋体" w:hAnsi="宋体" w:cs="宋体" w:eastAsia="宋体" w:hint="default"/>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46</w:t>
      </w:r>
      <w:r>
        <w:rPr/>
        <w:t>、营业外支出</w:t>
      </w:r>
      <w:r>
        <w:rPr>
          <w:b w:val="0"/>
          <w:bCs w:val="0"/>
        </w:rPr>
      </w:r>
    </w:p>
    <w:p>
      <w:pPr>
        <w:spacing w:line="240" w:lineRule="auto" w:before="4"/>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67,807.26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13,569,123.43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67,807.26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税款滞纳金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20,244.78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20,244.78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499,640.40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2,610.59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499,640.40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2,376,703.19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3,764,138.47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2,376,703.19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2,964,395.63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17,336,291.26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2,964,395.63</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6"/>
        <w:spacing w:line="259" w:lineRule="auto"/>
        <w:ind w:right="1133"/>
        <w:jc w:val="left"/>
      </w:pPr>
      <w:r>
        <w:rPr>
          <w:spacing w:val="-2"/>
        </w:rPr>
        <w:t>注：其他主要包括本公司本年支付给子公司上海时运原股东按照对赌协议约定的业绩承诺应支付</w:t>
      </w:r>
      <w:r>
        <w:rPr>
          <w:w w:val="100"/>
        </w:rPr>
        <w:t> </w:t>
      </w:r>
      <w:r>
        <w:rPr/>
        <w:t>的股权转让款</w:t>
      </w:r>
      <w:r>
        <w:rPr>
          <w:rFonts w:ascii="Times New Roman" w:hAnsi="Times New Roman" w:cs="Times New Roman" w:eastAsia="Times New Roman" w:hint="default"/>
        </w:rPr>
        <w:t>2,320,312.50</w:t>
      </w:r>
      <w:r>
        <w:rPr/>
        <w:t>元。</w:t>
      </w:r>
    </w:p>
    <w:p>
      <w:pPr>
        <w:spacing w:line="240" w:lineRule="auto" w:before="9"/>
        <w:rPr>
          <w:rFonts w:ascii="宋体" w:hAnsi="宋体" w:cs="宋体" w:eastAsia="宋体" w:hint="default"/>
          <w:sz w:val="22"/>
          <w:szCs w:val="22"/>
        </w:rPr>
      </w:pPr>
    </w:p>
    <w:p>
      <w:pPr>
        <w:pStyle w:val="Heading7"/>
        <w:spacing w:line="240" w:lineRule="auto"/>
        <w:ind w:right="1133"/>
        <w:jc w:val="left"/>
        <w:rPr>
          <w:b w:val="0"/>
          <w:bCs w:val="0"/>
        </w:rPr>
      </w:pPr>
      <w:r>
        <w:rPr>
          <w:rFonts w:ascii="Times New Roman" w:hAnsi="Times New Roman" w:cs="Times New Roman" w:eastAsia="Times New Roman" w:hint="default"/>
        </w:rPr>
        <w:t>47</w:t>
      </w:r>
      <w:r>
        <w:rPr/>
        <w:t>、所得税费用</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2"/>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77,646,139.45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74,062,367.43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-13,177,441.54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-14,671,788.34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64,468,697.91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59,390,579.09</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607,129,723.83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91,069,458.57</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-16,124,927.91</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2,027,749.61</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-1,756,230.90</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7,360,991.01</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-5,082,547.59</w:t>
            </w:r>
          </w:p>
        </w:tc>
      </w:tr>
      <w:tr>
        <w:trPr>
          <w:trHeight w:val="71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3,995,695.25</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-14,869,286.64</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因税收优惠期间税率调整导致确认递延所得税事项影响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-2,152,203.49</w:t>
            </w:r>
          </w:p>
        </w:tc>
      </w:tr>
      <w:tr>
        <w:trPr>
          <w:trHeight w:val="404"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64,468,697.91</w:t>
            </w:r>
          </w:p>
        </w:tc>
      </w:tr>
    </w:tbl>
    <w:p>
      <w:pPr>
        <w:spacing w:line="357" w:lineRule="auto" w:before="49"/>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spacing w:line="547" w:lineRule="auto" w:before="0"/>
        <w:ind w:left="152" w:right="85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32.</w:t>
      </w:r>
      <w:r>
        <w:rPr>
          <w:rFonts w:ascii="宋体" w:hAnsi="宋体" w:cs="宋体" w:eastAsia="宋体" w:hint="default"/>
          <w:sz w:val="18"/>
          <w:szCs w:val="18"/>
        </w:rPr>
        <w:t>其他综合收益。 </w:t>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7"/>
        <w:spacing w:line="240" w:lineRule="auto" w:before="26"/>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87,349,210.27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37,722,562.95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2,488,287.54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6,510,038.09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押金保证金及备用金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7,179,835.08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5,024,412.68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1,661,544.88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891,936.88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2,441,261.38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房产税、土地使用税退回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1,180,140.19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2,356,834.22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417,118.97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5,912,358.05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755,902.74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106,178,462.04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55,712,981.88</w:t>
            </w:r>
          </w:p>
        </w:tc>
      </w:tr>
    </w:tbl>
    <w:p>
      <w:pPr>
        <w:spacing w:line="357" w:lineRule="auto" w:before="49"/>
        <w:ind w:left="152" w:right="7514"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 无</w:t>
      </w:r>
    </w:p>
    <w:p>
      <w:pPr>
        <w:spacing w:after="0" w:line="357"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73,783,934.49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74,325,219.40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45,604,686.29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35,885,440.40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18,010,026.40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7,634,676.44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11,013,704.77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11,130,401.91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13,279,018.70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13,284,548.94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12,657,420.71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15,147,484.96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9,256,968.71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9,889,432.24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6,466,964.56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7,461,744.23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22,335,362.92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7,872,372.88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上市公司维护费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28,054.49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693,800.10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3,254,377.27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7,147,580.65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物业水电费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3,586,347.47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3,493,445.20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员工借款、备用金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1,909,083.27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2,640,620.40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财务手续费用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5,308,264.46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2,970,934.87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车辆使用、保险、维修费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2,870,170.01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5,878,708.32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3,155,324.81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4,762,220.95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234,435,709.33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210,218,631.89</w:t>
            </w:r>
          </w:p>
        </w:tc>
      </w:tr>
    </w:tbl>
    <w:p>
      <w:pPr>
        <w:spacing w:line="357" w:lineRule="auto" w:before="49"/>
        <w:ind w:left="152" w:right="7514"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深圳盒子信息科技有限公司支付的迅付 信息科技有限公司股权转让款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123,750,000.00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上海环迅股权收购意向金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4,700,000.00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4,700,000.00</w:t>
            </w:r>
          </w:p>
        </w:tc>
      </w:tr>
    </w:tbl>
    <w:p>
      <w:pPr>
        <w:spacing w:line="357" w:lineRule="auto" w:before="49"/>
        <w:ind w:left="152" w:right="7514"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 无</w:t>
      </w:r>
    </w:p>
    <w:p>
      <w:pPr>
        <w:spacing w:after="0" w:line="357"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返还诚意金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pStyle w:val="Heading7"/>
        <w:spacing w:line="240" w:lineRule="auto" w:before="118"/>
        <w:ind w:right="113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集团内保外贷保证金收回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222,487,253.75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石基香港处置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shiji</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retail38%</w:t>
            </w:r>
            <w:r>
              <w:rPr>
                <w:rFonts w:ascii="宋体" w:hAnsi="宋体" w:cs="宋体" w:eastAsia="宋体" w:hint="default"/>
                <w:sz w:val="18"/>
                <w:szCs w:val="18"/>
              </w:rPr>
              <w:t>股权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3,063,091,913.26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3,285,579,167.01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7514"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支付的发行股票的审计费、律师费等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支付的融资性保函保证金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222,487,253.75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222,767,253.75</w:t>
            </w:r>
          </w:p>
        </w:tc>
      </w:tr>
    </w:tbl>
    <w:p>
      <w:pPr>
        <w:spacing w:line="357" w:lineRule="auto" w:before="49"/>
        <w:ind w:left="152" w:right="7514"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50</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542,661,025.92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424,964,145.31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45,042,709.92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42,767,728.72</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33,756,416.15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35,686,608.08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r>
        <w:rPr/>
        <w:pict>
          <v:group style="position:absolute;margin-left:223.369995pt;margin-top:228.319977pt;width:151.25pt;height:40.7pt;mso-position-horizontal-relative:page;mso-position-vertical-relative:page;z-index:-1382536" coordorigin="4467,4566" coordsize="3025,814">
            <v:group style="position:absolute;left:4478;top:4577;width:2;height:392" coordorigin="4478,4577" coordsize="2,392">
              <v:shape style="position:absolute;left:4478;top:4577;width:2;height:392" coordorigin="4478,4577" coordsize="0,392" path="m4478,4577l4478,4968e" filled="false" stroked="true" strokeweight="1.08pt" strokecolor="#ffffff">
                <v:path arrowok="t"/>
              </v:shape>
            </v:group>
            <v:group style="position:absolute;left:4489;top:4577;width:3003;height:392" coordorigin="4489,4577" coordsize="3003,392">
              <v:shape style="position:absolute;left:4489;top:4577;width:3003;height:392" coordorigin="4489,4577" coordsize="3003,392" path="m4489,4968l7492,4968,7492,4577,4489,4577,4489,4968xe" filled="true" fillcolor="#ffffff" stroked="false">
                <v:path arrowok="t"/>
                <v:fill type="solid"/>
              </v:shape>
            </v:group>
            <v:group style="position:absolute;left:4478;top:4978;width:2;height:392" coordorigin="4478,4978" coordsize="2,392">
              <v:shape style="position:absolute;left:4478;top:4978;width:2;height:392" coordorigin="4478,4978" coordsize="0,392" path="m4478,4978l4478,5369e" filled="false" stroked="true" strokeweight="1.08pt" strokecolor="#ffffff">
                <v:path arrowok="t"/>
              </v:shape>
            </v:group>
            <v:group style="position:absolute;left:4489;top:4978;width:3003;height:392" coordorigin="4489,4978" coordsize="3003,392">
              <v:shape style="position:absolute;left:4489;top:4978;width:3003;height:392" coordorigin="4489,4978" coordsize="3003,392" path="m4489,5369l7492,5369,7492,4978,4489,4978,4489,5369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3"/>
        <w:gridCol w:w="2016"/>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89,178,386.65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61,666,630.61</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2,085,463.90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2,309,490.90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-142,972.55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13,551,953.46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67,499.57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33" w:right="0"/>
              <w:jc w:val="left"/>
              <w:rPr>
                <w:rFonts w:ascii="Times New Roman" w:hAnsi="Times New Roman" w:cs="Times New Roman" w:eastAsia="Times New Roman" w:hint="default"/>
                <w:sz w:val="18"/>
                <w:szCs w:val="18"/>
              </w:rPr>
            </w:pPr>
            <w:r>
              <w:rPr>
                <w:rFonts w:ascii="Times New Roman"/>
                <w:sz w:val="18"/>
              </w:rPr>
              <w:t>-10,421,380.00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31,300,815.76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-57,312,272.19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-52,277,471.11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-7,838,392.40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-5,809,543.01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-5,339,049.14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-8,862,245.33</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33" w:right="0"/>
              <w:jc w:val="left"/>
              <w:rPr>
                <w:rFonts w:ascii="Times New Roman" w:hAnsi="Times New Roman" w:cs="Times New Roman" w:eastAsia="Times New Roman" w:hint="default"/>
                <w:sz w:val="18"/>
                <w:szCs w:val="18"/>
              </w:rPr>
            </w:pPr>
            <w:r>
              <w:rPr>
                <w:rFonts w:ascii="Times New Roman"/>
                <w:sz w:val="18"/>
              </w:rPr>
              <w:t>-64,243,266.34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-11,829,842.32</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-45,354,395.64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-166,364,410.37</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-22,800,265.38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145,958,369.52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499,339,508.47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513,062,230.22</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67" w:right="0"/>
              <w:jc w:val="left"/>
              <w:rPr>
                <w:rFonts w:ascii="Times New Roman" w:hAnsi="Times New Roman" w:cs="Times New Roman" w:eastAsia="Times New Roman" w:hint="default"/>
                <w:sz w:val="18"/>
                <w:szCs w:val="18"/>
              </w:rPr>
            </w:pPr>
            <w:r>
              <w:rPr>
                <w:rFonts w:ascii="Times New Roman"/>
                <w:sz w:val="18"/>
              </w:rPr>
              <w:t>5,758,940,106.05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1,453,842,343.47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767" w:right="0"/>
              <w:jc w:val="left"/>
              <w:rPr>
                <w:rFonts w:ascii="Times New Roman" w:hAnsi="Times New Roman" w:cs="Times New Roman" w:eastAsia="Times New Roman" w:hint="default"/>
                <w:sz w:val="18"/>
                <w:szCs w:val="18"/>
              </w:rPr>
            </w:pPr>
            <w:r>
              <w:rPr>
                <w:rFonts w:ascii="Times New Roman"/>
                <w:sz w:val="18"/>
              </w:rPr>
              <w:t>1,453,842,343.47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2,625,078,705.40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67" w:right="0"/>
              <w:jc w:val="left"/>
              <w:rPr>
                <w:rFonts w:ascii="Times New Roman" w:hAnsi="Times New Roman" w:cs="Times New Roman" w:eastAsia="Times New Roman" w:hint="default"/>
                <w:sz w:val="18"/>
                <w:szCs w:val="18"/>
              </w:rPr>
            </w:pPr>
            <w:r>
              <w:rPr>
                <w:rFonts w:ascii="Times New Roman"/>
                <w:sz w:val="18"/>
              </w:rPr>
              <w:t>4,305,097,762.58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-1,171,236,361.93</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318,340,833.51</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北京宝库在线技术有限公司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广州合光信息科技有限公司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7,664,000.00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南京客至软件有限公司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4,400,000.00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Stayntouch</w:t>
            </w:r>
            <w:r>
              <w:rPr>
                <w:rFonts w:ascii="Times New Roman"/>
                <w:spacing w:val="-5"/>
                <w:sz w:val="18"/>
              </w:rPr>
              <w:t> </w:t>
            </w:r>
            <w:r>
              <w:rPr>
                <w:rFonts w:ascii="Times New Roman"/>
                <w:sz w:val="18"/>
              </w:rPr>
              <w:t>Inc</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208,524,775.03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hAnsi="Times New Roman"/>
                <w:sz w:val="18"/>
              </w:rPr>
              <w:t>CONCEPTEK- SISTEMAS DE INFORMAÇÃO</w:t>
            </w:r>
            <w:r>
              <w:rPr>
                <w:rFonts w:ascii="Times New Roman" w:hAnsi="Times New Roman"/>
                <w:spacing w:val="-11"/>
                <w:sz w:val="18"/>
              </w:rPr>
              <w:t> </w:t>
            </w:r>
            <w:r>
              <w:rPr>
                <w:rFonts w:ascii="Times New Roman" w:hAnsi="Times New Roman"/>
                <w:sz w:val="18"/>
              </w:rPr>
              <w:t>S.A.</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37,752,058.48</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23,267,285.88</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北京宝库在线技术有限公司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10,741,482.89</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广州合光信息科技有限公司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2,004,742.96</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南京客至软件有限公司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3,992,688.44</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Stayntouch</w:t>
            </w:r>
            <w:r>
              <w:rPr>
                <w:rFonts w:ascii="Times New Roman"/>
                <w:spacing w:val="-5"/>
                <w:sz w:val="18"/>
              </w:rPr>
              <w:t> </w:t>
            </w:r>
            <w:r>
              <w:rPr>
                <w:rFonts w:ascii="Times New Roman"/>
                <w:sz w:val="18"/>
              </w:rPr>
              <w:t>Inc</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5,576,041.97</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hAnsi="Times New Roman"/>
                <w:sz w:val="18"/>
              </w:rPr>
              <w:t>CONCEPTEK- SISTEMAS DE INFORMAÇÃO</w:t>
            </w:r>
            <w:r>
              <w:rPr>
                <w:rFonts w:ascii="Times New Roman" w:hAnsi="Times New Roman"/>
                <w:spacing w:val="-11"/>
                <w:sz w:val="18"/>
              </w:rPr>
              <w:t> </w:t>
            </w:r>
            <w:r>
              <w:rPr>
                <w:rFonts w:ascii="Times New Roman" w:hAnsi="Times New Roman"/>
                <w:sz w:val="18"/>
              </w:rPr>
              <w:t>S.A.</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952,329.62</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33,820,312.50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北京长京益康信息科技有限公司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上海时运信息技术有限公司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2,320,312.50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328,893,860.13</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5,758,940,106.05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1,453,842,343.47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172,385.48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254,112.44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5,756,886,989.62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1,451,492,872.37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1,880,730.95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2,095,358.66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5,758,940,106.05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1,453,842,343.47</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line="360"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5"/>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51</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7,033,497.80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票据及保函保证金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第三方支付业务的风险保证金</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471,200.00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共管账户</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9,468,813.97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抵押担保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18,173,511.77</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52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496,056,205.95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3,404,532,952.70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7,973,603.66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62,571,260.04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5,708,559.74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5,001,840.04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46,862.95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8.6762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406,592.30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2,824,807.16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14,141,549.60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1.6479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4.8250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1,268,828.68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8,708,224.99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3,378,142.22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26,509,295.44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4,934,449.15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4,323,564.35</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8.6762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2,661,718.08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13,325,093.06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1.6479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4.8250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24,473.50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192,051.65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568,828.41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3,903,983.16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1,510,201.54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11,851,004.56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3,236,219.17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2,835,575.23</w:t>
            </w:r>
          </w:p>
        </w:tc>
      </w:tr>
    </w:tbl>
    <w:p>
      <w:pPr>
        <w:spacing w:after="0" w:line="240" w:lineRule="auto"/>
        <w:jc w:val="right"/>
        <w:rPr>
          <w:rFonts w:ascii="Times New Roman" w:hAnsi="Times New Roman" w:cs="Times New Roman" w:eastAsia="Times New Roman" w:hint="default"/>
          <w:sz w:val="18"/>
          <w:szCs w:val="18"/>
        </w:rPr>
        <w:sectPr>
          <w:footerReference w:type="default" r:id="rId45"/>
          <w:pgSz w:w="11910" w:h="16840"/>
          <w:pgMar w:footer="980" w:header="877"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8.6762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27,437.84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1.6479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45,214.82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372,084.95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4.8250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1,795,309.90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9,402,809.72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64,533,363.67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20,785.56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163,110.52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1,860,871.16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1,630,495.31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8.6762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98,328.26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492,250.94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193,675.02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1.6479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319,157.07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4.8250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292,930.39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2,010,439.85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762,641.84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5,984,679.31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83,076,131.58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72,791,306.49</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8.6762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1.6479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4.8250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59" w:lineRule="auto" w:before="118"/>
        <w:ind w:right="11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546"/>
        <w:gridCol w:w="1843"/>
        <w:gridCol w:w="1700"/>
        <w:gridCol w:w="2413"/>
      </w:tblGrid>
      <w:tr>
        <w:trPr>
          <w:trHeight w:val="329"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境外主要经营地</w:t>
            </w:r>
          </w:p>
        </w:tc>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24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00" w:right="0"/>
              <w:jc w:val="left"/>
              <w:rPr>
                <w:rFonts w:ascii="宋体" w:hAnsi="宋体" w:cs="宋体" w:eastAsia="宋体" w:hint="default"/>
                <w:sz w:val="18"/>
                <w:szCs w:val="18"/>
              </w:rPr>
            </w:pPr>
            <w:r>
              <w:rPr>
                <w:rFonts w:ascii="宋体" w:hAnsi="宋体" w:cs="宋体" w:eastAsia="宋体" w:hint="default"/>
                <w:sz w:val="18"/>
                <w:szCs w:val="18"/>
              </w:rPr>
              <w:t>记账本位币的选择依据</w:t>
            </w:r>
          </w:p>
        </w:tc>
      </w:tr>
      <w:tr>
        <w:trPr>
          <w:trHeight w:val="365" w:hRule="exact"/>
        </w:trPr>
        <w:tc>
          <w:tcPr>
            <w:tcW w:w="354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石基（香港）有限公司</w:t>
            </w:r>
          </w:p>
        </w:tc>
        <w:tc>
          <w:tcPr>
            <w:tcW w:w="184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70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41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346"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Shiji Information Technology (Hong Kong)</w:t>
            </w:r>
            <w:r>
              <w:rPr>
                <w:rFonts w:ascii="Times New Roman"/>
                <w:spacing w:val="-15"/>
                <w:sz w:val="18"/>
              </w:rPr>
              <w:t> </w:t>
            </w:r>
            <w:r>
              <w:rPr>
                <w:rFonts w:ascii="Times New Roman"/>
                <w:sz w:val="18"/>
              </w:rPr>
              <w:t>Ltd</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Infrasys Singapore Pte</w:t>
            </w:r>
            <w:r>
              <w:rPr>
                <w:rFonts w:ascii="Times New Roman"/>
                <w:spacing w:val="-8"/>
                <w:sz w:val="18"/>
              </w:rPr>
              <w:t> </w:t>
            </w:r>
            <w:r>
              <w:rPr>
                <w:rFonts w:ascii="Times New Roman"/>
                <w:sz w:val="18"/>
              </w:rPr>
              <w:t>Ltd</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新加坡元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主要经营业务位于新加坡</w:t>
            </w:r>
          </w:p>
        </w:tc>
      </w:tr>
      <w:tr>
        <w:trPr>
          <w:trHeight w:val="346"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Infrasys Malaysia Sdn</w:t>
            </w:r>
            <w:r>
              <w:rPr>
                <w:rFonts w:ascii="Times New Roman"/>
                <w:spacing w:val="-8"/>
                <w:sz w:val="18"/>
              </w:rPr>
              <w:t> </w:t>
            </w:r>
            <w:r>
              <w:rPr>
                <w:rFonts w:ascii="Times New Roman"/>
                <w:sz w:val="18"/>
              </w:rPr>
              <w:t>Bhd</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马来西亚</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林吉特元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主要经营业务位于马来西亚</w:t>
            </w:r>
          </w:p>
        </w:tc>
      </w:tr>
      <w:tr>
        <w:trPr>
          <w:trHeight w:val="349"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sz w:val="18"/>
              </w:rPr>
              <w:t>Pos Master</w:t>
            </w:r>
            <w:r>
              <w:rPr>
                <w:rFonts w:ascii="Times New Roman"/>
                <w:spacing w:val="-4"/>
                <w:sz w:val="18"/>
              </w:rPr>
              <w:t> </w:t>
            </w:r>
            <w:r>
              <w:rPr>
                <w:rFonts w:ascii="Times New Roman"/>
                <w:sz w:val="18"/>
              </w:rPr>
              <w:t>Ltd</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Infrasys (HK)</w:t>
            </w:r>
            <w:r>
              <w:rPr>
                <w:rFonts w:ascii="Times New Roman"/>
                <w:spacing w:val="-7"/>
                <w:sz w:val="18"/>
              </w:rPr>
              <w:t> </w:t>
            </w:r>
            <w:r>
              <w:rPr>
                <w:rFonts w:ascii="Times New Roman"/>
                <w:sz w:val="18"/>
              </w:rPr>
              <w:t>Ltd</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346"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香港精密模具有限公司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浩华管理顾问（亚太）有限公司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SnapShot</w:t>
            </w:r>
            <w:r>
              <w:rPr>
                <w:rFonts w:ascii="Times New Roman"/>
                <w:spacing w:val="-5"/>
                <w:sz w:val="18"/>
              </w:rPr>
              <w:t> </w:t>
            </w:r>
            <w:r>
              <w:rPr>
                <w:rFonts w:ascii="Times New Roman"/>
                <w:sz w:val="18"/>
              </w:rPr>
              <w:t>GmbH</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奥地利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主要经营业务位于欧洲</w:t>
            </w:r>
          </w:p>
        </w:tc>
      </w:tr>
    </w:tbl>
    <w:p>
      <w:pPr>
        <w:spacing w:after="0" w:line="240" w:lineRule="auto"/>
        <w:jc w:val="left"/>
        <w:rPr>
          <w:rFonts w:ascii="宋体" w:hAnsi="宋体" w:cs="宋体" w:eastAsia="宋体" w:hint="default"/>
          <w:sz w:val="18"/>
          <w:szCs w:val="18"/>
        </w:rPr>
        <w:sectPr>
          <w:footerReference w:type="default" r:id="rId46"/>
          <w:pgSz w:w="11910" w:h="16840"/>
          <w:pgMar w:footer="980" w:header="877" w:top="1100" w:bottom="1160" w:left="980" w:right="0"/>
          <w:pgNumType w:start="201"/>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546"/>
        <w:gridCol w:w="1843"/>
        <w:gridCol w:w="1700"/>
        <w:gridCol w:w="2413"/>
      </w:tblGrid>
      <w:tr>
        <w:trPr>
          <w:trHeight w:val="427"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Hetras Deutschland</w:t>
            </w:r>
            <w:r>
              <w:rPr>
                <w:rFonts w:ascii="Times New Roman"/>
                <w:spacing w:val="-7"/>
                <w:sz w:val="18"/>
              </w:rPr>
              <w:t> </w:t>
            </w:r>
            <w:r>
              <w:rPr>
                <w:rFonts w:ascii="Times New Roman"/>
                <w:sz w:val="18"/>
              </w:rPr>
              <w:t>GmbH</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德国</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主要经营业务位于欧洲</w:t>
            </w:r>
          </w:p>
        </w:tc>
      </w:tr>
      <w:tr>
        <w:trPr>
          <w:trHeight w:val="42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ACProject</w:t>
            </w:r>
            <w:r>
              <w:rPr>
                <w:rFonts w:ascii="Times New Roman"/>
                <w:spacing w:val="-6"/>
                <w:sz w:val="18"/>
              </w:rPr>
              <w:t> </w:t>
            </w:r>
            <w:r>
              <w:rPr>
                <w:rFonts w:ascii="Times New Roman"/>
                <w:sz w:val="18"/>
              </w:rPr>
              <w:t>GmbH</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奥地利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6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主要经营业务位于欧洲</w:t>
            </w:r>
          </w:p>
        </w:tc>
      </w:tr>
      <w:tr>
        <w:trPr>
          <w:trHeight w:val="346"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ReviewRankS.A</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西班牙</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主要经营业务位于欧洲</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GalasysPlc</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英国</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62" w:right="0"/>
              <w:jc w:val="left"/>
              <w:rPr>
                <w:rFonts w:ascii="宋体" w:hAnsi="宋体" w:cs="宋体" w:eastAsia="宋体" w:hint="default"/>
                <w:sz w:val="18"/>
                <w:szCs w:val="18"/>
              </w:rPr>
            </w:pPr>
            <w:r>
              <w:rPr>
                <w:rFonts w:ascii="宋体" w:hAnsi="宋体" w:cs="宋体" w:eastAsia="宋体" w:hint="default"/>
                <w:sz w:val="18"/>
                <w:szCs w:val="18"/>
              </w:rPr>
              <w:t>英磅</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主要经营业务位于欧洲</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7"/>
        <w:spacing w:line="240" w:lineRule="auto" w:before="36"/>
        <w:ind w:right="1133"/>
        <w:jc w:val="left"/>
        <w:rPr>
          <w:b w:val="0"/>
          <w:bCs w:val="0"/>
        </w:rPr>
      </w:pPr>
      <w:r>
        <w:rPr>
          <w:rFonts w:ascii="Times New Roman" w:hAnsi="Times New Roman" w:cs="Times New Roman" w:eastAsia="Times New Roman" w:hint="default"/>
        </w:rPr>
        <w:t>53</w:t>
      </w:r>
      <w:r>
        <w:rPr/>
        <w:t>、政府补助</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康桥云酒店管理系统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百货商业信息管理系统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166,666.67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北海市高新技术产业开发区 管理委员会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年物流扶持 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高企培育奖励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年度科技创新奖励经费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石基信用卡收单系统研发补 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年度高新技术企业认定 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政府产业奖励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116,310.00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116,310.00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南山区国家高新技术企业专 项资助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软件产业专项扶持资金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项目配套、系统集成资质奖 励、企业创新新载体建设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年第一批新增规模以上 其他营利性服务业企业奖励 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百货商业信息管理系统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年省科技发展专项资金</w:t>
            </w:r>
          </w:p>
          <w:p>
            <w:pPr>
              <w:pStyle w:val="TableParagraph"/>
              <w:spacing w:line="316"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（企业研究开发补助资金）项 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年国家高新技术企业认 定奖补资金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科技创新成果奖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15"/>
              <w:jc w:val="left"/>
              <w:rPr>
                <w:rFonts w:ascii="宋体" w:hAnsi="宋体" w:cs="宋体" w:eastAsia="宋体" w:hint="default"/>
                <w:sz w:val="18"/>
                <w:szCs w:val="18"/>
              </w:rPr>
            </w:pPr>
            <w:r>
              <w:rPr>
                <w:rFonts w:ascii="Times New Roman" w:hAnsi="Times New Roman" w:cs="Times New Roman" w:eastAsia="Times New Roman" w:hint="default"/>
                <w:sz w:val="18"/>
                <w:szCs w:val="18"/>
              </w:rPr>
              <w:t>CMMI </w:t>
            </w:r>
            <w:r>
              <w:rPr>
                <w:rFonts w:ascii="宋体" w:hAnsi="宋体" w:cs="宋体" w:eastAsia="宋体" w:hint="default"/>
                <w:sz w:val="18"/>
                <w:szCs w:val="18"/>
              </w:rPr>
              <w:t>资质奖励、</w:t>
            </w:r>
            <w:r>
              <w:rPr>
                <w:rFonts w:ascii="Times New Roman" w:hAnsi="Times New Roman" w:cs="Times New Roman" w:eastAsia="Times New Roman" w:hint="default"/>
                <w:sz w:val="18"/>
                <w:szCs w:val="18"/>
              </w:rPr>
              <w:t>iso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资质奖 励、软件著作权奖励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股权融资专项补贴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4,500.00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软件产品增值税即 征即退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96,622,079.81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96,622,079.81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2,356,834.22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2,356,834.22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所得税返还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2,209,583.83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2,209,583.83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附加税返还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809,977.54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809,977.54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研发资助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235,000.00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104,783,452.07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103,716,785.40</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before="41"/>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3"/>
        <w:spacing w:line="240" w:lineRule="auto"/>
        <w:ind w:right="1133"/>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3"/>
        <w:gridCol w:w="1066"/>
        <w:gridCol w:w="1061"/>
        <w:gridCol w:w="1064"/>
        <w:gridCol w:w="1061"/>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20"/>
              <w:jc w:val="left"/>
              <w:rPr>
                <w:rFonts w:ascii="Times New Roman" w:hAnsi="Times New Roman" w:cs="Times New Roman" w:eastAsia="Times New Roman" w:hint="default"/>
                <w:sz w:val="18"/>
                <w:szCs w:val="18"/>
              </w:rPr>
            </w:pPr>
            <w:r>
              <w:rPr>
                <w:rFonts w:ascii="Times New Roman"/>
                <w:sz w:val="18"/>
              </w:rPr>
              <w:t>Stayntouch 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241,239,612.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11,665,761.6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-11,327,890.0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67"/>
              <w:jc w:val="left"/>
              <w:rPr>
                <w:rFonts w:ascii="Times New Roman" w:hAnsi="Times New Roman" w:cs="Times New Roman" w:eastAsia="Times New Roman" w:hint="default"/>
                <w:sz w:val="18"/>
                <w:szCs w:val="18"/>
              </w:rPr>
            </w:pPr>
            <w:r>
              <w:rPr>
                <w:rFonts w:ascii="Times New Roman" w:hAnsi="Times New Roman"/>
                <w:sz w:val="18"/>
              </w:rPr>
              <w:t>CONCEPTE K-SISTEMA</w:t>
            </w:r>
            <w:r>
              <w:rPr>
                <w:rFonts w:ascii="Times New Roman" w:hAnsi="Times New Roman"/>
                <w:w w:val="99"/>
                <w:sz w:val="18"/>
              </w:rPr>
              <w:t> </w:t>
            </w:r>
            <w:r>
              <w:rPr>
                <w:rFonts w:ascii="Times New Roman" w:hAnsi="Times New Roman"/>
                <w:sz w:val="18"/>
              </w:rPr>
              <w:t>S DE</w:t>
            </w:r>
            <w:r>
              <w:rPr>
                <w:rFonts w:ascii="Times New Roman" w:hAnsi="Times New Roman"/>
                <w:w w:val="99"/>
                <w:sz w:val="18"/>
              </w:rPr>
              <w:t> </w:t>
            </w:r>
            <w:r>
              <w:rPr>
                <w:rFonts w:ascii="Times New Roman" w:hAnsi="Times New Roman"/>
                <w:sz w:val="18"/>
              </w:rPr>
              <w:t>INFORMAÇ</w:t>
            </w:r>
            <w:r>
              <w:rPr>
                <w:rFonts w:ascii="Times New Roman" w:hAnsi="Times New Roman"/>
                <w:sz w:val="18"/>
              </w:rPr>
              <w:t> ÃO</w:t>
            </w:r>
            <w:r>
              <w:rPr>
                <w:rFonts w:ascii="Times New Roman" w:hAnsi="Times New Roman"/>
                <w:spacing w:val="-6"/>
                <w:sz w:val="18"/>
              </w:rPr>
              <w:t> </w:t>
            </w:r>
            <w:r>
              <w:rPr>
                <w:rFonts w:ascii="Times New Roman" w:hAnsi="Times New Roman"/>
                <w:sz w:val="18"/>
              </w:rPr>
              <w:t>S.A.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37,752,058.4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2,731,171.37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-361,652.71</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9"/>
              <w:jc w:val="both"/>
              <w:rPr>
                <w:rFonts w:ascii="宋体" w:hAnsi="宋体" w:cs="宋体" w:eastAsia="宋体" w:hint="default"/>
                <w:sz w:val="18"/>
                <w:szCs w:val="18"/>
              </w:rPr>
            </w:pPr>
            <w:r>
              <w:rPr>
                <w:rFonts w:ascii="宋体" w:hAnsi="宋体" w:cs="宋体" w:eastAsia="宋体" w:hint="default"/>
                <w:sz w:val="18"/>
                <w:szCs w:val="18"/>
              </w:rPr>
              <w:t>广州合光信 息技术有限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股权实际交 </w:t>
            </w:r>
            <w:r>
              <w:rPr>
                <w:rFonts w:ascii="宋体" w:hAnsi="宋体" w:cs="宋体" w:eastAsia="宋体" w:hint="default"/>
                <w:spacing w:val="-13"/>
                <w:sz w:val="18"/>
                <w:szCs w:val="18"/>
              </w:rPr>
              <w:t>割、并且已办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理完成工商 变更登记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4,438,444.43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238,247.45</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南京客至软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12,400,000.0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股权实际交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3,571,644.58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-1,568,892.29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3"/>
        <w:gridCol w:w="1066"/>
        <w:gridCol w:w="1061"/>
        <w:gridCol w:w="1064"/>
        <w:gridCol w:w="1061"/>
      </w:tblGrid>
      <w:tr>
        <w:trPr>
          <w:trHeight w:val="98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
              <w:jc w:val="left"/>
              <w:rPr>
                <w:rFonts w:ascii="宋体" w:hAnsi="宋体" w:cs="宋体" w:eastAsia="宋体" w:hint="default"/>
                <w:sz w:val="18"/>
                <w:szCs w:val="18"/>
              </w:rPr>
            </w:pPr>
            <w:r>
              <w:rPr>
                <w:rFonts w:ascii="宋体" w:hAnsi="宋体" w:cs="宋体" w:eastAsia="宋体" w:hint="default"/>
                <w:spacing w:val="-13"/>
                <w:sz w:val="18"/>
                <w:szCs w:val="18"/>
              </w:rPr>
              <w:t>割、并且已办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理完成工商 变更登记</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9"/>
              <w:jc w:val="both"/>
              <w:rPr>
                <w:rFonts w:ascii="宋体" w:hAnsi="宋体" w:cs="宋体" w:eastAsia="宋体" w:hint="default"/>
                <w:sz w:val="18"/>
                <w:szCs w:val="18"/>
              </w:rPr>
            </w:pPr>
            <w:r>
              <w:rPr>
                <w:rFonts w:ascii="宋体" w:hAnsi="宋体" w:cs="宋体" w:eastAsia="宋体" w:hint="default"/>
                <w:sz w:val="18"/>
                <w:szCs w:val="18"/>
              </w:rPr>
              <w:t>北京宝库在 线网络技术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85.00%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股权实际交 </w:t>
            </w:r>
            <w:r>
              <w:rPr>
                <w:rFonts w:ascii="宋体" w:hAnsi="宋体" w:cs="宋体" w:eastAsia="宋体" w:hint="default"/>
                <w:spacing w:val="-13"/>
                <w:sz w:val="18"/>
                <w:szCs w:val="18"/>
              </w:rPr>
              <w:t>割、并且已办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理完成工商 变更登记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6,233,227.85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-4,264,532.04</w:t>
            </w:r>
          </w:p>
        </w:tc>
      </w:tr>
    </w:tbl>
    <w:p>
      <w:pPr>
        <w:spacing w:line="360"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7"/>
        <w:spacing w:line="240" w:lineRule="auto"/>
        <w:ind w:right="113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1339"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Stayntouch</w:t>
            </w:r>
            <w:r>
              <w:rPr>
                <w:rFonts w:ascii="Times New Roman"/>
                <w:spacing w:val="-5"/>
                <w:sz w:val="18"/>
              </w:rPr>
              <w:t> </w:t>
            </w:r>
            <w:r>
              <w:rPr>
                <w:rFonts w:ascii="Times New Roman"/>
                <w:sz w:val="18"/>
              </w:rPr>
              <w:t>Inc</w:t>
            </w:r>
          </w:p>
        </w:tc>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2" w:lineRule="auto" w:before="91"/>
              <w:ind w:left="189" w:right="187" w:hanging="1"/>
              <w:jc w:val="center"/>
              <w:rPr>
                <w:rFonts w:ascii="Times New Roman" w:hAnsi="Times New Roman" w:cs="Times New Roman" w:eastAsia="Times New Roman" w:hint="default"/>
                <w:sz w:val="18"/>
                <w:szCs w:val="18"/>
              </w:rPr>
            </w:pPr>
            <w:r>
              <w:rPr>
                <w:rFonts w:ascii="Times New Roman" w:hAnsi="Times New Roman"/>
                <w:sz w:val="18"/>
              </w:rPr>
              <w:t>CONCEPTEK-</w:t>
            </w:r>
            <w:r>
              <w:rPr>
                <w:rFonts w:ascii="Times New Roman" w:hAnsi="Times New Roman"/>
                <w:w w:val="99"/>
                <w:sz w:val="18"/>
              </w:rPr>
              <w:t> </w:t>
            </w:r>
            <w:r>
              <w:rPr>
                <w:rFonts w:ascii="Times New Roman" w:hAnsi="Times New Roman"/>
                <w:sz w:val="18"/>
              </w:rPr>
              <w:t>SISTEMAS</w:t>
            </w:r>
            <w:r>
              <w:rPr>
                <w:rFonts w:ascii="Times New Roman" w:hAnsi="Times New Roman"/>
                <w:spacing w:val="-3"/>
                <w:sz w:val="18"/>
              </w:rPr>
              <w:t> </w:t>
            </w:r>
            <w:r>
              <w:rPr>
                <w:rFonts w:ascii="Times New Roman" w:hAnsi="Times New Roman"/>
                <w:sz w:val="18"/>
              </w:rPr>
              <w:t>DE</w:t>
            </w:r>
            <w:r>
              <w:rPr>
                <w:rFonts w:ascii="Times New Roman" w:hAnsi="Times New Roman"/>
                <w:w w:val="99"/>
                <w:sz w:val="18"/>
              </w:rPr>
              <w:t> </w:t>
            </w:r>
            <w:r>
              <w:rPr>
                <w:rFonts w:ascii="Times New Roman" w:hAnsi="Times New Roman"/>
                <w:w w:val="95"/>
                <w:sz w:val="18"/>
              </w:rPr>
              <w:t>INFORMAÇÃO</w:t>
            </w:r>
            <w:r>
              <w:rPr>
                <w:rFonts w:ascii="Times New Roman" w:hAnsi="Times New Roman"/>
                <w:spacing w:val="4"/>
                <w:w w:val="95"/>
                <w:sz w:val="18"/>
              </w:rPr>
              <w:t> </w:t>
            </w:r>
            <w:r>
              <w:rPr>
                <w:rFonts w:ascii="Times New Roman" w:hAnsi="Times New Roman"/>
                <w:spacing w:val="4"/>
                <w:w w:val="95"/>
                <w:sz w:val="18"/>
              </w:rPr>
            </w:r>
            <w:r>
              <w:rPr>
                <w:rFonts w:ascii="Times New Roman" w:hAnsi="Times New Roman"/>
                <w:sz w:val="18"/>
              </w:rPr>
              <w:t>S.A.</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1" w:right="70" w:hanging="360"/>
              <w:jc w:val="left"/>
              <w:rPr>
                <w:rFonts w:ascii="宋体" w:hAnsi="宋体" w:cs="宋体" w:eastAsia="宋体" w:hint="default"/>
                <w:sz w:val="18"/>
                <w:szCs w:val="18"/>
              </w:rPr>
            </w:pPr>
            <w:r>
              <w:rPr>
                <w:rFonts w:ascii="宋体" w:hAnsi="宋体" w:cs="宋体" w:eastAsia="宋体" w:hint="default"/>
                <w:sz w:val="18"/>
                <w:szCs w:val="18"/>
              </w:rPr>
              <w:t>广州合光信息技术 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12" w:right="71" w:hanging="540"/>
              <w:jc w:val="left"/>
              <w:rPr>
                <w:rFonts w:ascii="宋体" w:hAnsi="宋体" w:cs="宋体" w:eastAsia="宋体" w:hint="default"/>
                <w:sz w:val="18"/>
                <w:szCs w:val="18"/>
              </w:rPr>
            </w:pPr>
            <w:r>
              <w:rPr>
                <w:rFonts w:ascii="宋体" w:hAnsi="宋体" w:cs="宋体" w:eastAsia="宋体" w:hint="default"/>
                <w:sz w:val="18"/>
                <w:szCs w:val="18"/>
              </w:rPr>
              <w:t>南京客至软件有限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2" w:right="70" w:hanging="361"/>
              <w:jc w:val="left"/>
              <w:rPr>
                <w:rFonts w:ascii="宋体" w:hAnsi="宋体" w:cs="宋体" w:eastAsia="宋体" w:hint="default"/>
                <w:sz w:val="18"/>
                <w:szCs w:val="18"/>
              </w:rPr>
            </w:pPr>
            <w:r>
              <w:rPr>
                <w:rFonts w:ascii="宋体" w:hAnsi="宋体" w:cs="宋体" w:eastAsia="宋体" w:hint="default"/>
                <w:sz w:val="18"/>
                <w:szCs w:val="18"/>
              </w:rPr>
              <w:t>北京宝库在线技术 有限公司</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208,524,775.03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37,752,058.48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w:t>
            </w:r>
            <w:r>
              <w:rPr>
                <w:rFonts w:ascii="宋体" w:hAnsi="宋体" w:cs="宋体" w:eastAsia="宋体" w:hint="default"/>
                <w:w w:val="99"/>
                <w:sz w:val="18"/>
                <w:szCs w:val="18"/>
              </w:rPr>
              <w:t> </w:t>
            </w:r>
            <w:r>
              <w:rPr>
                <w:rFonts w:ascii="宋体" w:hAnsi="宋体" w:cs="宋体" w:eastAsia="宋体" w:hint="default"/>
                <w:sz w:val="18"/>
                <w:szCs w:val="18"/>
              </w:rPr>
              <w:t>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22"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w:t>
            </w:r>
            <w:r>
              <w:rPr>
                <w:rFonts w:ascii="宋体" w:hAnsi="宋体" w:cs="宋体" w:eastAsia="宋体" w:hint="default"/>
                <w:w w:val="99"/>
                <w:sz w:val="18"/>
                <w:szCs w:val="18"/>
              </w:rPr>
              <w:t> </w:t>
            </w:r>
            <w:r>
              <w:rPr>
                <w:rFonts w:ascii="宋体" w:hAnsi="宋体" w:cs="宋体" w:eastAsia="宋体" w:hint="default"/>
                <w:sz w:val="18"/>
                <w:szCs w:val="18"/>
              </w:rPr>
              <w:t>的股权于购买日的</w:t>
            </w:r>
            <w:r>
              <w:rPr>
                <w:rFonts w:ascii="宋体" w:hAnsi="宋体" w:cs="宋体" w:eastAsia="宋体" w:hint="default"/>
                <w:w w:val="99"/>
                <w:sz w:val="18"/>
                <w:szCs w:val="18"/>
              </w:rPr>
              <w:t> </w:t>
            </w:r>
            <w:r>
              <w:rPr>
                <w:rFonts w:ascii="宋体" w:hAnsi="宋体" w:cs="宋体" w:eastAsia="宋体" w:hint="default"/>
                <w:sz w:val="18"/>
                <w:szCs w:val="18"/>
              </w:rPr>
              <w:t>公允价值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32,714,837.40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241,239,612.43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37,752,058.48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9"/>
              <w:jc w:val="left"/>
              <w:rPr>
                <w:rFonts w:ascii="宋体" w:hAnsi="宋体" w:cs="宋体" w:eastAsia="宋体" w:hint="default"/>
                <w:sz w:val="18"/>
                <w:szCs w:val="18"/>
              </w:rPr>
            </w:pPr>
            <w:r>
              <w:rPr>
                <w:rFonts w:ascii="宋体" w:hAnsi="宋体" w:cs="宋体" w:eastAsia="宋体" w:hint="default"/>
                <w:spacing w:val="-10"/>
                <w:sz w:val="18"/>
                <w:szCs w:val="18"/>
              </w:rPr>
              <w:t>减：取得的可辨认净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资产公允价值份额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33,576,561.90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6,998,620.36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6,510,960.76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7,354,468.87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14,507,274.13</w:t>
            </w:r>
          </w:p>
        </w:tc>
      </w:tr>
      <w:tr>
        <w:trPr>
          <w:trHeight w:val="1339"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67"/>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 取得的可辨认净资 产公允价值份额的 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207,663,050.53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30,753,438.12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12,649,039.24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5,045,531.13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45,492,725.87</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w:t>
      </w:r>
    </w:p>
    <w:p>
      <w:pPr>
        <w:pStyle w:val="BodyText"/>
        <w:spacing w:line="266" w:lineRule="auto" w:before="94"/>
        <w:ind w:right="1133" w:firstLine="480"/>
        <w:jc w:val="left"/>
      </w:pPr>
      <w:r>
        <w:rPr>
          <w:spacing w:val="-4"/>
          <w:w w:val="100"/>
        </w:rPr>
        <w:t>对于非同一控制下的企业合并取得的长期股权投资，在购买日按照合并成本作为长期股权投资的初始</w:t>
      </w:r>
      <w:r>
        <w:rPr>
          <w:w w:val="100"/>
        </w:rPr>
        <w:t> </w:t>
      </w:r>
      <w:r>
        <w:rPr>
          <w:spacing w:val="-2"/>
        </w:rPr>
        <w:t>投资成本，合并成本包括购买方付出的资产、发生或承担的负债、发行的权益性证券的公允价值之和。通</w:t>
      </w:r>
      <w:r>
        <w:rPr>
          <w:spacing w:val="-47"/>
        </w:rPr>
        <w:t> </w:t>
      </w:r>
      <w:r>
        <w:rPr>
          <w:spacing w:val="-47"/>
        </w:rPr>
      </w:r>
      <w:r>
        <w:rPr/>
        <w:t>过多次交易分步取得被购买方的股权，最终形成非同一控制下的企业合并的，应分别是否属于</w:t>
      </w:r>
      <w:r>
        <w:rPr>
          <w:rFonts w:ascii="Times New Roman" w:hAnsi="Times New Roman" w:cs="Times New Roman" w:eastAsia="Times New Roman" w:hint="default"/>
        </w:rPr>
        <w:t>“</w:t>
      </w:r>
      <w:r>
        <w:rPr/>
        <w:t>一揽子交</w:t>
      </w:r>
      <w:r>
        <w:rPr>
          <w:w w:val="100"/>
        </w:rPr>
        <w:t> </w:t>
      </w:r>
      <w:r>
        <w:rPr>
          <w:spacing w:val="-2"/>
        </w:rPr>
        <w:t>易</w:t>
      </w:r>
      <w:r>
        <w:rPr>
          <w:rFonts w:ascii="Times New Roman" w:hAnsi="Times New Roman" w:cs="Times New Roman" w:eastAsia="Times New Roman" w:hint="default"/>
          <w:spacing w:val="-2"/>
        </w:rPr>
        <w:t>”</w:t>
      </w:r>
      <w:r>
        <w:rPr>
          <w:spacing w:val="-2"/>
        </w:rPr>
        <w:t>进行处理：属于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的，将各项交易作为一项取得控制权的交易进行会计处理。不属于</w:t>
      </w:r>
      <w:r>
        <w:rPr>
          <w:rFonts w:ascii="Times New Roman" w:hAnsi="Times New Roman" w:cs="Times New Roman" w:eastAsia="Times New Roman" w:hint="default"/>
          <w:spacing w:val="-2"/>
        </w:rPr>
        <w:t>“</w:t>
      </w:r>
      <w:r>
        <w:rPr>
          <w:spacing w:val="-2"/>
        </w:rPr>
        <w:t>一揽</w:t>
      </w:r>
      <w:r>
        <w:rPr>
          <w:spacing w:val="-26"/>
        </w:rPr>
        <w:t> </w:t>
      </w:r>
      <w:r>
        <w:rPr/>
        <w:t>子交易</w:t>
      </w:r>
      <w:r>
        <w:rPr>
          <w:rFonts w:ascii="Times New Roman" w:hAnsi="Times New Roman" w:cs="Times New Roman" w:eastAsia="Times New Roman" w:hint="default"/>
        </w:rPr>
        <w:t>”</w:t>
      </w:r>
      <w:r>
        <w:rPr/>
        <w:t>的，按照原持有被购买方的股权投资账面价值加上新增投资成本之和，作为改按成本法核算的长</w:t>
      </w:r>
      <w:r>
        <w:rPr>
          <w:w w:val="100"/>
        </w:rPr>
        <w:t> </w:t>
      </w:r>
      <w:r>
        <w:rPr>
          <w:spacing w:val="-2"/>
        </w:rPr>
        <w:t>期股权投资的初始投资成本。原持有的股权采用权益法核算的，相关其他综合收益暂不进行会计处理。原</w:t>
      </w:r>
      <w:r>
        <w:rPr>
          <w:spacing w:val="-42"/>
        </w:rPr>
        <w:t> </w:t>
      </w:r>
      <w:r>
        <w:rPr>
          <w:spacing w:val="-42"/>
        </w:rPr>
      </w:r>
      <w:r>
        <w:rPr>
          <w:spacing w:val="-2"/>
        </w:rPr>
        <w:t>持有股权投资为可供出售金融资产的，其公允价值与账面价值之间的差额，以及原计入其他综合收益的累</w:t>
      </w:r>
      <w:r>
        <w:rPr>
          <w:spacing w:val="-43"/>
        </w:rPr>
        <w:t> </w:t>
      </w:r>
      <w:r>
        <w:rPr>
          <w:spacing w:val="-43"/>
        </w:rPr>
      </w:r>
      <w:r>
        <w:rPr/>
        <w:t>计公允价值变动转入当期损益。</w:t>
      </w:r>
    </w:p>
    <w:p>
      <w:pPr>
        <w:pStyle w:val="BodyText"/>
        <w:spacing w:line="273" w:lineRule="auto" w:before="14"/>
        <w:ind w:right="1133" w:firstLine="480"/>
        <w:jc w:val="left"/>
      </w:pPr>
      <w:r>
        <w:rPr>
          <w:spacing w:val="-4"/>
        </w:rPr>
        <w:t>合并方或购买方为企业合并发生的审计、法律服务、评估咨询等中介费用以及其他相关管理费用，于</w:t>
      </w:r>
      <w:r>
        <w:rPr>
          <w:w w:val="100"/>
        </w:rPr>
        <w:t> </w:t>
      </w:r>
      <w:r>
        <w:rPr/>
        <w:t>发生时计入当期损益。</w:t>
      </w:r>
    </w:p>
    <w:p>
      <w:pPr>
        <w:spacing w:after="0" w:line="273"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大额商誉形成的主要原因：</w:t>
      </w:r>
    </w:p>
    <w:p>
      <w:pPr>
        <w:pStyle w:val="BodyText"/>
        <w:spacing w:line="256" w:lineRule="auto" w:before="97"/>
        <w:ind w:right="0" w:firstLine="420"/>
        <w:jc w:val="left"/>
      </w:pPr>
      <w:r>
        <w:rPr/>
        <w:t>注</w:t>
      </w:r>
      <w:r>
        <w:rPr>
          <w:rFonts w:ascii="Times New Roman" w:hAnsi="Times New Roman" w:cs="Times New Roman" w:eastAsia="Times New Roman" w:hint="default"/>
        </w:rPr>
        <w:t>1 </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13</w:t>
      </w:r>
      <w:r>
        <w:rPr>
          <w:spacing w:val="-3"/>
        </w:rPr>
        <w:t>日 </w:t>
      </w:r>
      <w:r>
        <w:rPr/>
        <w:t>，公司下属子公司香港石基公司完成了</w:t>
      </w:r>
      <w:r>
        <w:rPr>
          <w:rFonts w:ascii="Times New Roman" w:hAnsi="Times New Roman" w:cs="Times New Roman" w:eastAsia="Times New Roman" w:hint="default"/>
        </w:rPr>
        <w:t>StayNTouch Inc.</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3"/>
        </w:rPr>
        <w:t>100%</w:t>
      </w:r>
      <w:r>
        <w:rPr>
          <w:spacing w:val="-3"/>
        </w:rPr>
        <w:t>的股权收购，合并</w:t>
      </w:r>
      <w:r>
        <w:rPr>
          <w:w w:val="100"/>
        </w:rPr>
        <w:t> </w:t>
      </w:r>
      <w:r>
        <w:rPr/>
        <w:t>成本与对方可辨认净资产公允价值之间的差额</w:t>
      </w:r>
      <w:r>
        <w:rPr>
          <w:rFonts w:ascii="Times New Roman" w:hAnsi="Times New Roman" w:cs="Times New Roman" w:eastAsia="Times New Roman" w:hint="default"/>
          <w:sz w:val="22"/>
          <w:szCs w:val="22"/>
        </w:rPr>
        <w:t>207,663,050.53</w:t>
      </w:r>
      <w:r>
        <w:rPr/>
        <w:t>元计入商誉。</w:t>
      </w:r>
    </w:p>
    <w:p>
      <w:pPr>
        <w:spacing w:line="252" w:lineRule="auto" w:before="2"/>
        <w:ind w:left="152" w:right="1148" w:firstLine="420"/>
        <w:jc w:val="left"/>
        <w:rPr>
          <w:rFonts w:ascii="宋体" w:hAnsi="宋体" w:cs="宋体" w:eastAsia="宋体" w:hint="default"/>
          <w:sz w:val="22"/>
          <w:szCs w:val="22"/>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 ，公司下属子公司香港石基公司完成了</w:t>
      </w:r>
      <w:r>
        <w:rPr>
          <w:rFonts w:ascii="Times New Roman" w:hAnsi="Times New Roman" w:cs="Times New Roman" w:eastAsia="Times New Roman" w:hint="default"/>
          <w:sz w:val="22"/>
          <w:szCs w:val="22"/>
        </w:rPr>
        <w:t>CONCEPTEK- SISTEMAS</w:t>
      </w:r>
      <w:r>
        <w:rPr>
          <w:rFonts w:ascii="Times New Roman" w:hAnsi="Times New Roman" w:cs="Times New Roman" w:eastAsia="Times New Roman" w:hint="default"/>
          <w:spacing w:val="-29"/>
          <w:sz w:val="22"/>
          <w:szCs w:val="22"/>
        </w:rPr>
        <w:t> </w:t>
      </w:r>
      <w:r>
        <w:rPr>
          <w:rFonts w:ascii="Times New Roman" w:hAnsi="Times New Roman" w:cs="Times New Roman" w:eastAsia="Times New Roman" w:hint="default"/>
          <w:sz w:val="22"/>
          <w:szCs w:val="22"/>
        </w:rPr>
        <w:t>DE</w:t>
      </w:r>
      <w:r>
        <w:rPr>
          <w:rFonts w:ascii="Times New Roman" w:hAnsi="Times New Roman" w:cs="Times New Roman" w:eastAsia="Times New Roman" w:hint="default"/>
          <w:w w:val="100"/>
          <w:sz w:val="22"/>
          <w:szCs w:val="22"/>
        </w:rPr>
        <w:t> </w:t>
      </w:r>
      <w:r>
        <w:rPr>
          <w:rFonts w:ascii="Times New Roman" w:hAnsi="Times New Roman" w:cs="Times New Roman" w:eastAsia="Times New Roman" w:hint="default"/>
          <w:sz w:val="22"/>
          <w:szCs w:val="22"/>
        </w:rPr>
        <w:t>INFORMAÇÃO S.A.</w:t>
      </w:r>
      <w:r>
        <w:rPr>
          <w:rFonts w:ascii="Times New Roman" w:hAnsi="Times New Roman" w:cs="Times New Roman" w:eastAsia="Times New Roman" w:hint="default"/>
          <w:spacing w:val="-9"/>
          <w:sz w:val="22"/>
          <w:szCs w:val="22"/>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的股权收购，合并成本与对方可辨认净资产公允价值之间的差额</w:t>
      </w:r>
      <w:r>
        <w:rPr>
          <w:rFonts w:ascii="Times New Roman" w:hAnsi="Times New Roman" w:cs="Times New Roman" w:eastAsia="Times New Roman" w:hint="default"/>
          <w:sz w:val="22"/>
          <w:szCs w:val="22"/>
        </w:rPr>
        <w:t>30,753,438.12</w:t>
      </w:r>
      <w:r>
        <w:rPr>
          <w:rFonts w:ascii="Times New Roman" w:hAnsi="Times New Roman" w:cs="Times New Roman" w:eastAsia="Times New Roman" w:hint="default"/>
          <w:w w:val="100"/>
          <w:sz w:val="22"/>
          <w:szCs w:val="22"/>
        </w:rPr>
        <w:t> </w:t>
      </w:r>
      <w:r>
        <w:rPr>
          <w:rFonts w:ascii="宋体" w:hAnsi="宋体" w:cs="宋体" w:eastAsia="宋体" w:hint="default"/>
          <w:sz w:val="22"/>
          <w:szCs w:val="22"/>
        </w:rPr>
        <w:t>元计入商誉。</w:t>
      </w:r>
    </w:p>
    <w:p>
      <w:pPr>
        <w:spacing w:line="247" w:lineRule="auto" w:before="13"/>
        <w:ind w:left="152" w:right="1141" w:firstLine="420"/>
        <w:jc w:val="left"/>
        <w:rPr>
          <w:rFonts w:ascii="宋体" w:hAnsi="宋体" w:cs="宋体" w:eastAsia="宋体" w:hint="default"/>
          <w:sz w:val="22"/>
          <w:szCs w:val="22"/>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w:t>
      </w:r>
      <w:r>
        <w:rPr>
          <w:rFonts w:ascii="宋体" w:hAnsi="宋体" w:cs="宋体" w:eastAsia="宋体" w:hint="default"/>
          <w:spacing w:val="-27"/>
          <w:sz w:val="21"/>
          <w:szCs w:val="21"/>
        </w:rPr>
        <w:t> </w:t>
      </w:r>
      <w:r>
        <w:rPr>
          <w:rFonts w:ascii="宋体" w:hAnsi="宋体" w:cs="宋体" w:eastAsia="宋体" w:hint="default"/>
          <w:sz w:val="21"/>
          <w:szCs w:val="21"/>
        </w:rPr>
        <w:t>，公司下属子公司石基大商信息完成了</w:t>
      </w:r>
      <w:r>
        <w:rPr>
          <w:rFonts w:ascii="宋体" w:hAnsi="宋体" w:cs="宋体" w:eastAsia="宋体" w:hint="default"/>
          <w:sz w:val="22"/>
          <w:szCs w:val="22"/>
        </w:rPr>
        <w:t>广州合光信息技术有限公司</w:t>
      </w:r>
      <w:r>
        <w:rPr>
          <w:rFonts w:ascii="Times New Roman" w:hAnsi="Times New Roman" w:cs="Times New Roman" w:eastAsia="Times New Roman" w:hint="default"/>
          <w:sz w:val="21"/>
          <w:szCs w:val="21"/>
        </w:rPr>
        <w:t>100%</w:t>
      </w:r>
      <w:r>
        <w:rPr>
          <w:rFonts w:ascii="宋体" w:hAnsi="宋体" w:cs="宋体" w:eastAsia="宋体" w:hint="default"/>
          <w:sz w:val="21"/>
          <w:szCs w:val="21"/>
        </w:rPr>
        <w:t>的股权</w:t>
      </w:r>
      <w:r>
        <w:rPr>
          <w:rFonts w:ascii="宋体" w:hAnsi="宋体" w:cs="宋体" w:eastAsia="宋体" w:hint="default"/>
          <w:w w:val="100"/>
          <w:sz w:val="21"/>
          <w:szCs w:val="21"/>
        </w:rPr>
        <w:t> </w:t>
      </w:r>
      <w:r>
        <w:rPr>
          <w:rFonts w:ascii="宋体" w:hAnsi="宋体" w:cs="宋体" w:eastAsia="宋体" w:hint="default"/>
          <w:sz w:val="21"/>
          <w:szCs w:val="21"/>
        </w:rPr>
        <w:t>收购，合并成本与对方可辨认净资产公允价值之间的差额</w:t>
      </w:r>
      <w:r>
        <w:rPr>
          <w:rFonts w:ascii="Times New Roman" w:hAnsi="Times New Roman" w:cs="Times New Roman" w:eastAsia="Times New Roman" w:hint="default"/>
          <w:sz w:val="22"/>
          <w:szCs w:val="22"/>
        </w:rPr>
        <w:t>12,649,039.24</w:t>
      </w:r>
      <w:r>
        <w:rPr>
          <w:rFonts w:ascii="宋体" w:hAnsi="宋体" w:cs="宋体" w:eastAsia="宋体" w:hint="default"/>
          <w:sz w:val="22"/>
          <w:szCs w:val="22"/>
        </w:rPr>
        <w:t>元计入商誉。</w:t>
      </w:r>
    </w:p>
    <w:p>
      <w:pPr>
        <w:spacing w:line="244" w:lineRule="auto" w:before="0"/>
        <w:ind w:left="152" w:right="0" w:firstLine="420"/>
        <w:jc w:val="left"/>
        <w:rPr>
          <w:rFonts w:ascii="宋体" w:hAnsi="宋体" w:cs="宋体" w:eastAsia="宋体" w:hint="default"/>
          <w:sz w:val="22"/>
          <w:szCs w:val="22"/>
        </w:rPr>
      </w:pPr>
      <w:r>
        <w:rPr>
          <w:rFonts w:ascii="宋体" w:hAnsi="宋体" w:cs="宋体" w:eastAsia="宋体" w:hint="default"/>
          <w:spacing w:val="-4"/>
          <w:sz w:val="21"/>
          <w:szCs w:val="21"/>
        </w:rPr>
        <w:t>注</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2018</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7</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31</w:t>
      </w:r>
      <w:r>
        <w:rPr>
          <w:rFonts w:ascii="宋体" w:hAnsi="宋体" w:cs="宋体" w:eastAsia="宋体" w:hint="default"/>
          <w:spacing w:val="-4"/>
          <w:sz w:val="21"/>
          <w:szCs w:val="21"/>
        </w:rPr>
        <w:t>日</w:t>
      </w:r>
      <w:r>
        <w:rPr>
          <w:rFonts w:ascii="宋体" w:hAnsi="宋体" w:cs="宋体" w:eastAsia="宋体" w:hint="default"/>
          <w:spacing w:val="40"/>
          <w:sz w:val="21"/>
          <w:szCs w:val="21"/>
        </w:rPr>
        <w:t> </w:t>
      </w:r>
      <w:r>
        <w:rPr>
          <w:rFonts w:ascii="宋体" w:hAnsi="宋体" w:cs="宋体" w:eastAsia="宋体" w:hint="default"/>
          <w:spacing w:val="-3"/>
          <w:sz w:val="21"/>
          <w:szCs w:val="21"/>
        </w:rPr>
        <w:t>，公司下属子公司深圳思迅公司完成了</w:t>
      </w:r>
      <w:r>
        <w:rPr>
          <w:rFonts w:ascii="宋体" w:hAnsi="宋体" w:cs="宋体" w:eastAsia="宋体" w:hint="default"/>
          <w:spacing w:val="-3"/>
          <w:sz w:val="22"/>
          <w:szCs w:val="22"/>
        </w:rPr>
        <w:t>南京客至软件有限公司</w:t>
      </w:r>
      <w:r>
        <w:rPr>
          <w:rFonts w:ascii="Times New Roman" w:hAnsi="Times New Roman" w:cs="Times New Roman" w:eastAsia="Times New Roman" w:hint="default"/>
          <w:spacing w:val="-3"/>
          <w:sz w:val="22"/>
          <w:szCs w:val="22"/>
        </w:rPr>
        <w:t>55</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的股权收购，</w:t>
      </w:r>
      <w:r>
        <w:rPr>
          <w:rFonts w:ascii="宋体" w:hAnsi="宋体" w:cs="宋体" w:eastAsia="宋体" w:hint="default"/>
          <w:w w:val="100"/>
          <w:sz w:val="21"/>
          <w:szCs w:val="21"/>
        </w:rPr>
        <w:t> </w:t>
      </w:r>
      <w:r>
        <w:rPr>
          <w:rFonts w:ascii="宋体" w:hAnsi="宋体" w:cs="宋体" w:eastAsia="宋体" w:hint="default"/>
          <w:sz w:val="21"/>
          <w:szCs w:val="21"/>
        </w:rPr>
        <w:t>合并成本与对方可辨认净资产公允价值之间的差额</w:t>
      </w:r>
      <w:r>
        <w:rPr>
          <w:rFonts w:ascii="Times New Roman" w:hAnsi="Times New Roman" w:cs="Times New Roman" w:eastAsia="Times New Roman" w:hint="default"/>
          <w:sz w:val="22"/>
          <w:szCs w:val="22"/>
        </w:rPr>
        <w:t>5,045,531.13</w:t>
      </w:r>
      <w:r>
        <w:rPr>
          <w:rFonts w:ascii="宋体" w:hAnsi="宋体" w:cs="宋体" w:eastAsia="宋体" w:hint="default"/>
          <w:sz w:val="22"/>
          <w:szCs w:val="22"/>
        </w:rPr>
        <w:t>元计入商誉。</w:t>
      </w:r>
    </w:p>
    <w:p>
      <w:pPr>
        <w:spacing w:line="244" w:lineRule="auto" w:before="2"/>
        <w:ind w:left="152" w:right="1215" w:firstLine="420"/>
        <w:jc w:val="left"/>
        <w:rPr>
          <w:rFonts w:ascii="宋体" w:hAnsi="宋体" w:cs="宋体" w:eastAsia="宋体" w:hint="default"/>
          <w:sz w:val="22"/>
          <w:szCs w:val="22"/>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r>
        <w:rPr>
          <w:rFonts w:ascii="宋体" w:hAnsi="宋体" w:cs="宋体" w:eastAsia="宋体" w:hint="default"/>
          <w:spacing w:val="-26"/>
          <w:sz w:val="21"/>
          <w:szCs w:val="21"/>
        </w:rPr>
        <w:t> </w:t>
      </w:r>
      <w:r>
        <w:rPr>
          <w:rFonts w:ascii="宋体" w:hAnsi="宋体" w:cs="宋体" w:eastAsia="宋体" w:hint="default"/>
          <w:sz w:val="21"/>
          <w:szCs w:val="21"/>
        </w:rPr>
        <w:t>，公司下属子公司北海石基公司完成了</w:t>
      </w:r>
      <w:r>
        <w:rPr>
          <w:rFonts w:ascii="宋体" w:hAnsi="宋体" w:cs="宋体" w:eastAsia="宋体" w:hint="default"/>
          <w:sz w:val="22"/>
          <w:szCs w:val="22"/>
        </w:rPr>
        <w:t>北京宝库在线网络技术有限公司</w:t>
      </w:r>
      <w:r>
        <w:rPr>
          <w:rFonts w:ascii="Times New Roman" w:hAnsi="Times New Roman" w:cs="Times New Roman" w:eastAsia="Times New Roman" w:hint="default"/>
          <w:sz w:val="22"/>
          <w:szCs w:val="22"/>
        </w:rPr>
        <w:t>85</w:t>
      </w:r>
      <w:r>
        <w:rPr>
          <w:rFonts w:ascii="Times New Roman" w:hAnsi="Times New Roman" w:cs="Times New Roman" w:eastAsia="Times New Roman" w:hint="default"/>
          <w:sz w:val="21"/>
          <w:szCs w:val="21"/>
        </w:rPr>
        <w:t>%</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股权收购，合并成本与对方可辨认净资产公允价值之间的差额</w:t>
      </w:r>
      <w:r>
        <w:rPr>
          <w:rFonts w:ascii="Times New Roman" w:hAnsi="Times New Roman" w:cs="Times New Roman" w:eastAsia="Times New Roman" w:hint="default"/>
          <w:sz w:val="22"/>
          <w:szCs w:val="22"/>
        </w:rPr>
        <w:t>45,492,725.87</w:t>
      </w:r>
      <w:r>
        <w:rPr>
          <w:rFonts w:ascii="宋体" w:hAnsi="宋体" w:cs="宋体" w:eastAsia="宋体" w:hint="default"/>
          <w:sz w:val="22"/>
          <w:szCs w:val="22"/>
        </w:rPr>
        <w:t>元计入商誉。</w:t>
      </w:r>
    </w:p>
    <w:p>
      <w:pPr>
        <w:spacing w:line="357" w:lineRule="auto" w:before="73"/>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846"/>
        <w:gridCol w:w="880"/>
        <w:gridCol w:w="869"/>
        <w:gridCol w:w="869"/>
        <w:gridCol w:w="869"/>
        <w:gridCol w:w="871"/>
        <w:gridCol w:w="869"/>
        <w:gridCol w:w="869"/>
        <w:gridCol w:w="869"/>
        <w:gridCol w:w="869"/>
        <w:gridCol w:w="869"/>
      </w:tblGrid>
      <w:tr>
        <w:trPr>
          <w:trHeight w:val="161" w:hRule="exact"/>
        </w:trPr>
        <w:tc>
          <w:tcPr>
            <w:tcW w:w="846" w:type="dxa"/>
            <w:tcBorders>
              <w:top w:val="single" w:sz="4" w:space="0" w:color="000000"/>
              <w:left w:val="single" w:sz="4" w:space="0" w:color="000000"/>
              <w:bottom w:val="nil" w:sz="6" w:space="0" w:color="auto"/>
              <w:right w:val="single" w:sz="4" w:space="0" w:color="000000"/>
            </w:tcBorders>
            <w:shd w:val="clear" w:color="auto" w:fill="D9D9D9"/>
          </w:tcPr>
          <w:p>
            <w:pPr/>
          </w:p>
        </w:tc>
        <w:tc>
          <w:tcPr>
            <w:tcW w:w="1748" w:type="dxa"/>
            <w:gridSpan w:val="2"/>
            <w:tcBorders>
              <w:top w:val="single" w:sz="4" w:space="0" w:color="000000"/>
              <w:left w:val="single" w:sz="4" w:space="0" w:color="000000"/>
              <w:bottom w:val="nil" w:sz="6" w:space="0" w:color="auto"/>
              <w:right w:val="single" w:sz="4" w:space="0" w:color="000000"/>
            </w:tcBorders>
            <w:shd w:val="clear" w:color="auto" w:fill="D9D9D9"/>
          </w:tcPr>
          <w:p>
            <w:pPr/>
          </w:p>
        </w:tc>
        <w:tc>
          <w:tcPr>
            <w:tcW w:w="1738"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362" w:lineRule="auto" w:before="91"/>
              <w:ind w:left="115" w:right="13" w:hanging="80"/>
              <w:jc w:val="left"/>
              <w:rPr>
                <w:rFonts w:ascii="Times New Roman" w:hAnsi="Times New Roman" w:cs="Times New Roman" w:eastAsia="Times New Roman" w:hint="default"/>
                <w:sz w:val="18"/>
                <w:szCs w:val="18"/>
              </w:rPr>
            </w:pPr>
            <w:r>
              <w:rPr>
                <w:rFonts w:ascii="Times New Roman" w:hAnsi="Times New Roman"/>
                <w:spacing w:val="-18"/>
                <w:sz w:val="18"/>
              </w:rPr>
              <w:t>CONCEPTEK-SISTEMAS</w:t>
            </w:r>
            <w:r>
              <w:rPr>
                <w:rFonts w:ascii="Times New Roman" w:hAnsi="Times New Roman"/>
                <w:w w:val="99"/>
                <w:sz w:val="18"/>
              </w:rPr>
              <w:t> </w:t>
            </w:r>
            <w:r>
              <w:rPr>
                <w:rFonts w:ascii="Times New Roman" w:hAnsi="Times New Roman"/>
                <w:spacing w:val="-16"/>
                <w:sz w:val="18"/>
              </w:rPr>
              <w:t>DEINFORMAÇÃOS.A.</w:t>
            </w:r>
          </w:p>
        </w:tc>
        <w:tc>
          <w:tcPr>
            <w:tcW w:w="1740" w:type="dxa"/>
            <w:gridSpan w:val="2"/>
            <w:tcBorders>
              <w:top w:val="single" w:sz="4" w:space="0" w:color="000000"/>
              <w:left w:val="single" w:sz="4" w:space="0" w:color="000000"/>
              <w:bottom w:val="nil" w:sz="6" w:space="0" w:color="auto"/>
              <w:right w:val="single" w:sz="4" w:space="0" w:color="000000"/>
            </w:tcBorders>
            <w:shd w:val="clear" w:color="auto" w:fill="D9D9D9"/>
          </w:tcPr>
          <w:p>
            <w:pPr/>
          </w:p>
        </w:tc>
        <w:tc>
          <w:tcPr>
            <w:tcW w:w="1738" w:type="dxa"/>
            <w:gridSpan w:val="2"/>
            <w:tcBorders>
              <w:top w:val="single" w:sz="4" w:space="0" w:color="000000"/>
              <w:left w:val="single" w:sz="4" w:space="0" w:color="000000"/>
              <w:bottom w:val="nil" w:sz="6" w:space="0" w:color="auto"/>
              <w:right w:val="single" w:sz="4" w:space="0" w:color="000000"/>
            </w:tcBorders>
            <w:shd w:val="clear" w:color="auto" w:fill="D9D9D9"/>
          </w:tcPr>
          <w:p>
            <w:pPr/>
          </w:p>
        </w:tc>
        <w:tc>
          <w:tcPr>
            <w:tcW w:w="1738" w:type="dxa"/>
            <w:gridSpan w:val="2"/>
            <w:tcBorders>
              <w:top w:val="single" w:sz="4" w:space="0" w:color="000000"/>
              <w:left w:val="single" w:sz="4" w:space="0" w:color="000000"/>
              <w:bottom w:val="nil" w:sz="6" w:space="0" w:color="auto"/>
              <w:right w:val="single" w:sz="4" w:space="0" w:color="000000"/>
            </w:tcBorders>
            <w:shd w:val="clear" w:color="auto" w:fill="D9D9D9"/>
          </w:tcPr>
          <w:p>
            <w:pPr/>
          </w:p>
        </w:tc>
      </w:tr>
      <w:tr>
        <w:trPr>
          <w:trHeight w:val="394" w:hRule="exact"/>
        </w:trPr>
        <w:tc>
          <w:tcPr>
            <w:tcW w:w="846" w:type="dxa"/>
            <w:tcBorders>
              <w:top w:val="nil" w:sz="6" w:space="0" w:color="auto"/>
              <w:left w:val="single" w:sz="4" w:space="0" w:color="000000"/>
              <w:bottom w:val="nil" w:sz="6" w:space="0" w:color="auto"/>
              <w:right w:val="single" w:sz="4" w:space="0" w:color="000000"/>
            </w:tcBorders>
            <w:shd w:val="clear" w:color="auto" w:fill="D9D9D9"/>
          </w:tcPr>
          <w:p>
            <w:pPr/>
          </w:p>
        </w:tc>
        <w:tc>
          <w:tcPr>
            <w:tcW w:w="1748" w:type="dxa"/>
            <w:gridSpan w:val="2"/>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91"/>
              <w:ind w:left="473" w:right="0"/>
              <w:jc w:val="left"/>
              <w:rPr>
                <w:rFonts w:ascii="Times New Roman" w:hAnsi="Times New Roman" w:cs="Times New Roman" w:eastAsia="Times New Roman" w:hint="default"/>
                <w:sz w:val="18"/>
                <w:szCs w:val="18"/>
              </w:rPr>
            </w:pPr>
            <w:r>
              <w:rPr>
                <w:rFonts w:ascii="Times New Roman"/>
                <w:spacing w:val="-17"/>
                <w:sz w:val="18"/>
              </w:rPr>
              <w:t>StayntouchInc</w:t>
            </w:r>
          </w:p>
        </w:tc>
        <w:tc>
          <w:tcPr>
            <w:tcW w:w="1738" w:type="dxa"/>
            <w:gridSpan w:val="2"/>
            <w:vMerge/>
            <w:tcBorders>
              <w:left w:val="single" w:sz="4" w:space="0" w:color="000000"/>
              <w:right w:val="single" w:sz="4" w:space="0" w:color="000000"/>
            </w:tcBorders>
            <w:shd w:val="clear" w:color="auto" w:fill="D9D9D9"/>
          </w:tcPr>
          <w:p>
            <w:pPr/>
          </w:p>
        </w:tc>
        <w:tc>
          <w:tcPr>
            <w:tcW w:w="1740" w:type="dxa"/>
            <w:gridSpan w:val="2"/>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49"/>
              <w:ind w:left="26" w:right="-17"/>
              <w:jc w:val="left"/>
              <w:rPr>
                <w:rFonts w:ascii="宋体" w:hAnsi="宋体" w:cs="宋体" w:eastAsia="宋体" w:hint="default"/>
                <w:sz w:val="18"/>
                <w:szCs w:val="18"/>
              </w:rPr>
            </w:pPr>
            <w:r>
              <w:rPr>
                <w:rFonts w:ascii="宋体" w:hAnsi="宋体" w:cs="宋体" w:eastAsia="宋体" w:hint="default"/>
                <w:spacing w:val="-37"/>
                <w:sz w:val="18"/>
                <w:szCs w:val="18"/>
              </w:rPr>
              <w:t>广州合光信息技术有限公司</w:t>
            </w:r>
          </w:p>
        </w:tc>
        <w:tc>
          <w:tcPr>
            <w:tcW w:w="1738" w:type="dxa"/>
            <w:gridSpan w:val="2"/>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pacing w:val="-37"/>
                <w:sz w:val="18"/>
                <w:szCs w:val="18"/>
              </w:rPr>
              <w:t>南京客至软件有限公司</w:t>
            </w:r>
          </w:p>
        </w:tc>
        <w:tc>
          <w:tcPr>
            <w:tcW w:w="1738" w:type="dxa"/>
            <w:gridSpan w:val="2"/>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49"/>
              <w:ind w:left="23" w:right="-17"/>
              <w:jc w:val="left"/>
              <w:rPr>
                <w:rFonts w:ascii="宋体" w:hAnsi="宋体" w:cs="宋体" w:eastAsia="宋体" w:hint="default"/>
                <w:sz w:val="18"/>
                <w:szCs w:val="18"/>
              </w:rPr>
            </w:pPr>
            <w:r>
              <w:rPr>
                <w:rFonts w:ascii="宋体" w:hAnsi="宋体" w:cs="宋体" w:eastAsia="宋体" w:hint="default"/>
                <w:spacing w:val="-37"/>
                <w:sz w:val="18"/>
                <w:szCs w:val="18"/>
              </w:rPr>
              <w:t>北京宝库在线技术有限公司</w:t>
            </w:r>
          </w:p>
        </w:tc>
      </w:tr>
      <w:tr>
        <w:trPr>
          <w:trHeight w:val="161" w:hRule="exact"/>
        </w:trPr>
        <w:tc>
          <w:tcPr>
            <w:tcW w:w="846" w:type="dxa"/>
            <w:tcBorders>
              <w:top w:val="nil" w:sz="6" w:space="0" w:color="auto"/>
              <w:left w:val="single" w:sz="4" w:space="0" w:color="000000"/>
              <w:bottom w:val="single" w:sz="4" w:space="0" w:color="000000"/>
              <w:right w:val="single" w:sz="4" w:space="0" w:color="000000"/>
            </w:tcBorders>
            <w:shd w:val="clear" w:color="auto" w:fill="D9D9D9"/>
          </w:tcPr>
          <w:p>
            <w:pPr/>
          </w:p>
        </w:tc>
        <w:tc>
          <w:tcPr>
            <w:tcW w:w="1748" w:type="dxa"/>
            <w:gridSpan w:val="2"/>
            <w:tcBorders>
              <w:top w:val="nil" w:sz="6" w:space="0" w:color="auto"/>
              <w:left w:val="single" w:sz="4" w:space="0" w:color="000000"/>
              <w:bottom w:val="single" w:sz="4" w:space="0" w:color="000000"/>
              <w:right w:val="single" w:sz="4" w:space="0" w:color="000000"/>
            </w:tcBorders>
            <w:shd w:val="clear" w:color="auto" w:fill="D9D9D9"/>
          </w:tcPr>
          <w:p>
            <w:pPr/>
          </w:p>
        </w:tc>
        <w:tc>
          <w:tcPr>
            <w:tcW w:w="1738" w:type="dxa"/>
            <w:gridSpan w:val="2"/>
            <w:vMerge/>
            <w:tcBorders>
              <w:left w:val="single" w:sz="4" w:space="0" w:color="000000"/>
              <w:bottom w:val="single" w:sz="4" w:space="0" w:color="000000"/>
              <w:right w:val="single" w:sz="4" w:space="0" w:color="000000"/>
            </w:tcBorders>
            <w:shd w:val="clear" w:color="auto" w:fill="D9D9D9"/>
          </w:tcPr>
          <w:p>
            <w:pPr/>
          </w:p>
        </w:tc>
        <w:tc>
          <w:tcPr>
            <w:tcW w:w="1740" w:type="dxa"/>
            <w:gridSpan w:val="2"/>
            <w:tcBorders>
              <w:top w:val="nil" w:sz="6" w:space="0" w:color="auto"/>
              <w:left w:val="single" w:sz="4" w:space="0" w:color="000000"/>
              <w:bottom w:val="single" w:sz="4" w:space="0" w:color="000000"/>
              <w:right w:val="single" w:sz="4" w:space="0" w:color="000000"/>
            </w:tcBorders>
            <w:shd w:val="clear" w:color="auto" w:fill="D9D9D9"/>
          </w:tcPr>
          <w:p>
            <w:pPr/>
          </w:p>
        </w:tc>
        <w:tc>
          <w:tcPr>
            <w:tcW w:w="1738" w:type="dxa"/>
            <w:gridSpan w:val="2"/>
            <w:tcBorders>
              <w:top w:val="nil" w:sz="6" w:space="0" w:color="auto"/>
              <w:left w:val="single" w:sz="4" w:space="0" w:color="000000"/>
              <w:bottom w:val="single" w:sz="4" w:space="0" w:color="000000"/>
              <w:right w:val="single" w:sz="4" w:space="0" w:color="000000"/>
            </w:tcBorders>
            <w:shd w:val="clear" w:color="auto" w:fill="D9D9D9"/>
          </w:tcPr>
          <w:p>
            <w:pPr/>
          </w:p>
        </w:tc>
        <w:tc>
          <w:tcPr>
            <w:tcW w:w="1738" w:type="dxa"/>
            <w:gridSpan w:val="2"/>
            <w:tcBorders>
              <w:top w:val="nil" w:sz="6" w:space="0" w:color="auto"/>
              <w:left w:val="single" w:sz="4" w:space="0" w:color="000000"/>
              <w:bottom w:val="single" w:sz="4" w:space="0" w:color="000000"/>
              <w:right w:val="single" w:sz="4" w:space="0" w:color="000000"/>
            </w:tcBorders>
            <w:shd w:val="clear" w:color="auto" w:fill="D9D9D9"/>
          </w:tcPr>
          <w:p>
            <w:pPr/>
          </w:p>
        </w:tc>
      </w:tr>
      <w:tr>
        <w:trPr>
          <w:trHeight w:val="161" w:hRule="exact"/>
        </w:trPr>
        <w:tc>
          <w:tcPr>
            <w:tcW w:w="846" w:type="dxa"/>
            <w:tcBorders>
              <w:top w:val="single" w:sz="4" w:space="0" w:color="000000"/>
              <w:left w:val="single" w:sz="4" w:space="0" w:color="000000"/>
              <w:bottom w:val="nil" w:sz="6" w:space="0" w:color="auto"/>
              <w:right w:val="single" w:sz="13" w:space="0" w:color="D2D2D2"/>
            </w:tcBorders>
            <w:shd w:val="clear" w:color="auto" w:fill="D9D9D9"/>
          </w:tcPr>
          <w:p>
            <w:pPr/>
          </w:p>
        </w:tc>
        <w:tc>
          <w:tcPr>
            <w:tcW w:w="880" w:type="dxa"/>
            <w:vMerge w:val="restart"/>
            <w:tcBorders>
              <w:top w:val="single" w:sz="4" w:space="0" w:color="000000"/>
              <w:left w:val="single" w:sz="9" w:space="0" w:color="D9D9D9"/>
              <w:right w:val="single" w:sz="4" w:space="0" w:color="000000"/>
            </w:tcBorders>
            <w:shd w:val="clear" w:color="auto" w:fill="D2D2D2"/>
          </w:tcPr>
          <w:p>
            <w:pPr>
              <w:pStyle w:val="TableParagraph"/>
              <w:spacing w:line="316" w:lineRule="auto" w:before="49"/>
              <w:ind w:left="295" w:right="36" w:hanging="212"/>
              <w:jc w:val="left"/>
              <w:rPr>
                <w:rFonts w:ascii="宋体" w:hAnsi="宋体" w:cs="宋体" w:eastAsia="宋体" w:hint="default"/>
                <w:sz w:val="18"/>
                <w:szCs w:val="18"/>
              </w:rPr>
            </w:pPr>
            <w:r>
              <w:rPr>
                <w:rFonts w:ascii="宋体" w:hAnsi="宋体" w:cs="宋体" w:eastAsia="宋体" w:hint="default"/>
                <w:spacing w:val="-32"/>
                <w:sz w:val="18"/>
                <w:szCs w:val="18"/>
              </w:rPr>
              <w:t>购买日公允</w:t>
            </w:r>
            <w:r>
              <w:rPr>
                <w:rFonts w:ascii="宋体" w:hAnsi="宋体" w:cs="宋体" w:eastAsia="宋体" w:hint="default"/>
                <w:sz w:val="18"/>
                <w:szCs w:val="18"/>
              </w:rPr>
              <w:t> </w:t>
            </w:r>
            <w:r>
              <w:rPr>
                <w:rFonts w:ascii="宋体" w:hAnsi="宋体" w:cs="宋体" w:eastAsia="宋体" w:hint="default"/>
                <w:spacing w:val="-39"/>
                <w:sz w:val="18"/>
                <w:szCs w:val="18"/>
              </w:rPr>
              <w:t>价值</w:t>
            </w:r>
            <w:r>
              <w:rPr>
                <w:rFonts w:ascii="宋体" w:hAnsi="宋体" w:cs="宋体" w:eastAsia="宋体" w:hint="default"/>
                <w:sz w:val="18"/>
                <w:szCs w:val="18"/>
              </w:rPr>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36" w:hanging="212"/>
              <w:jc w:val="left"/>
              <w:rPr>
                <w:rFonts w:ascii="宋体" w:hAnsi="宋体" w:cs="宋体" w:eastAsia="宋体" w:hint="default"/>
                <w:sz w:val="18"/>
                <w:szCs w:val="18"/>
              </w:rPr>
            </w:pPr>
            <w:r>
              <w:rPr>
                <w:rFonts w:ascii="宋体" w:hAnsi="宋体" w:cs="宋体" w:eastAsia="宋体" w:hint="default"/>
                <w:spacing w:val="-32"/>
                <w:sz w:val="18"/>
                <w:szCs w:val="18"/>
              </w:rPr>
              <w:t>购买日账面</w:t>
            </w:r>
            <w:r>
              <w:rPr>
                <w:rFonts w:ascii="宋体" w:hAnsi="宋体" w:cs="宋体" w:eastAsia="宋体" w:hint="default"/>
                <w:sz w:val="18"/>
                <w:szCs w:val="18"/>
              </w:rPr>
              <w:t> </w:t>
            </w:r>
            <w:r>
              <w:rPr>
                <w:rFonts w:ascii="宋体" w:hAnsi="宋体" w:cs="宋体" w:eastAsia="宋体" w:hint="default"/>
                <w:spacing w:val="-39"/>
                <w:sz w:val="18"/>
                <w:szCs w:val="18"/>
              </w:rPr>
              <w:t>价值</w:t>
            </w:r>
            <w:r>
              <w:rPr>
                <w:rFonts w:ascii="宋体" w:hAnsi="宋体" w:cs="宋体" w:eastAsia="宋体" w:hint="default"/>
                <w:sz w:val="18"/>
                <w:szCs w:val="18"/>
              </w:rPr>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38" w:hanging="212"/>
              <w:jc w:val="left"/>
              <w:rPr>
                <w:rFonts w:ascii="宋体" w:hAnsi="宋体" w:cs="宋体" w:eastAsia="宋体" w:hint="default"/>
                <w:sz w:val="18"/>
                <w:szCs w:val="18"/>
              </w:rPr>
            </w:pPr>
            <w:r>
              <w:rPr>
                <w:rFonts w:ascii="宋体" w:hAnsi="宋体" w:cs="宋体" w:eastAsia="宋体" w:hint="default"/>
                <w:spacing w:val="-32"/>
                <w:sz w:val="18"/>
                <w:szCs w:val="18"/>
              </w:rPr>
              <w:t>购买日公允</w:t>
            </w:r>
            <w:r>
              <w:rPr>
                <w:rFonts w:ascii="宋体" w:hAnsi="宋体" w:cs="宋体" w:eastAsia="宋体" w:hint="default"/>
                <w:sz w:val="18"/>
                <w:szCs w:val="18"/>
              </w:rPr>
              <w:t> </w:t>
            </w:r>
            <w:r>
              <w:rPr>
                <w:rFonts w:ascii="宋体" w:hAnsi="宋体" w:cs="宋体" w:eastAsia="宋体" w:hint="default"/>
                <w:spacing w:val="-39"/>
                <w:sz w:val="18"/>
                <w:szCs w:val="18"/>
              </w:rPr>
              <w:t>价值</w:t>
            </w:r>
            <w:r>
              <w:rPr>
                <w:rFonts w:ascii="宋体" w:hAnsi="宋体" w:cs="宋体" w:eastAsia="宋体" w:hint="default"/>
                <w:sz w:val="18"/>
                <w:szCs w:val="18"/>
              </w:rPr>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36" w:hanging="212"/>
              <w:jc w:val="left"/>
              <w:rPr>
                <w:rFonts w:ascii="宋体" w:hAnsi="宋体" w:cs="宋体" w:eastAsia="宋体" w:hint="default"/>
                <w:sz w:val="18"/>
                <w:szCs w:val="18"/>
              </w:rPr>
            </w:pPr>
            <w:r>
              <w:rPr>
                <w:rFonts w:ascii="宋体" w:hAnsi="宋体" w:cs="宋体" w:eastAsia="宋体" w:hint="default"/>
                <w:spacing w:val="-32"/>
                <w:sz w:val="18"/>
                <w:szCs w:val="18"/>
              </w:rPr>
              <w:t>购买日账面</w:t>
            </w:r>
            <w:r>
              <w:rPr>
                <w:rFonts w:ascii="宋体" w:hAnsi="宋体" w:cs="宋体" w:eastAsia="宋体" w:hint="default"/>
                <w:sz w:val="18"/>
                <w:szCs w:val="18"/>
              </w:rPr>
              <w:t> </w:t>
            </w:r>
            <w:r>
              <w:rPr>
                <w:rFonts w:ascii="宋体" w:hAnsi="宋体" w:cs="宋体" w:eastAsia="宋体" w:hint="default"/>
                <w:spacing w:val="-39"/>
                <w:sz w:val="18"/>
                <w:szCs w:val="18"/>
              </w:rPr>
              <w:t>价值</w:t>
            </w:r>
            <w:r>
              <w:rPr>
                <w:rFonts w:ascii="宋体" w:hAnsi="宋体" w:cs="宋体" w:eastAsia="宋体" w:hint="default"/>
                <w:sz w:val="18"/>
                <w:szCs w:val="18"/>
              </w:rPr>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2" w:right="36" w:hanging="212"/>
              <w:jc w:val="left"/>
              <w:rPr>
                <w:rFonts w:ascii="宋体" w:hAnsi="宋体" w:cs="宋体" w:eastAsia="宋体" w:hint="default"/>
                <w:sz w:val="18"/>
                <w:szCs w:val="18"/>
              </w:rPr>
            </w:pPr>
            <w:r>
              <w:rPr>
                <w:rFonts w:ascii="宋体" w:hAnsi="宋体" w:cs="宋体" w:eastAsia="宋体" w:hint="default"/>
                <w:spacing w:val="-32"/>
                <w:sz w:val="18"/>
                <w:szCs w:val="18"/>
              </w:rPr>
              <w:t>购买日公允</w:t>
            </w:r>
            <w:r>
              <w:rPr>
                <w:rFonts w:ascii="宋体" w:hAnsi="宋体" w:cs="宋体" w:eastAsia="宋体" w:hint="default"/>
                <w:sz w:val="18"/>
                <w:szCs w:val="18"/>
              </w:rPr>
              <w:t> </w:t>
            </w:r>
            <w:r>
              <w:rPr>
                <w:rFonts w:ascii="宋体" w:hAnsi="宋体" w:cs="宋体" w:eastAsia="宋体" w:hint="default"/>
                <w:spacing w:val="-39"/>
                <w:sz w:val="18"/>
                <w:szCs w:val="18"/>
              </w:rPr>
              <w:t>价值</w:t>
            </w:r>
            <w:r>
              <w:rPr>
                <w:rFonts w:ascii="宋体" w:hAnsi="宋体" w:cs="宋体" w:eastAsia="宋体" w:hint="default"/>
                <w:sz w:val="18"/>
                <w:szCs w:val="18"/>
              </w:rPr>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36" w:hanging="212"/>
              <w:jc w:val="left"/>
              <w:rPr>
                <w:rFonts w:ascii="宋体" w:hAnsi="宋体" w:cs="宋体" w:eastAsia="宋体" w:hint="default"/>
                <w:sz w:val="18"/>
                <w:szCs w:val="18"/>
              </w:rPr>
            </w:pPr>
            <w:r>
              <w:rPr>
                <w:rFonts w:ascii="宋体" w:hAnsi="宋体" w:cs="宋体" w:eastAsia="宋体" w:hint="default"/>
                <w:spacing w:val="-32"/>
                <w:sz w:val="18"/>
                <w:szCs w:val="18"/>
              </w:rPr>
              <w:t>购买日账面</w:t>
            </w:r>
            <w:r>
              <w:rPr>
                <w:rFonts w:ascii="宋体" w:hAnsi="宋体" w:cs="宋体" w:eastAsia="宋体" w:hint="default"/>
                <w:sz w:val="18"/>
                <w:szCs w:val="18"/>
              </w:rPr>
              <w:t> </w:t>
            </w:r>
            <w:r>
              <w:rPr>
                <w:rFonts w:ascii="宋体" w:hAnsi="宋体" w:cs="宋体" w:eastAsia="宋体" w:hint="default"/>
                <w:spacing w:val="-39"/>
                <w:sz w:val="18"/>
                <w:szCs w:val="18"/>
              </w:rPr>
              <w:t>价值</w:t>
            </w:r>
            <w:r>
              <w:rPr>
                <w:rFonts w:ascii="宋体" w:hAnsi="宋体" w:cs="宋体" w:eastAsia="宋体" w:hint="default"/>
                <w:sz w:val="18"/>
                <w:szCs w:val="18"/>
              </w:rPr>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36" w:hanging="212"/>
              <w:jc w:val="left"/>
              <w:rPr>
                <w:rFonts w:ascii="宋体" w:hAnsi="宋体" w:cs="宋体" w:eastAsia="宋体" w:hint="default"/>
                <w:sz w:val="18"/>
                <w:szCs w:val="18"/>
              </w:rPr>
            </w:pPr>
            <w:r>
              <w:rPr>
                <w:rFonts w:ascii="宋体" w:hAnsi="宋体" w:cs="宋体" w:eastAsia="宋体" w:hint="default"/>
                <w:spacing w:val="-32"/>
                <w:sz w:val="18"/>
                <w:szCs w:val="18"/>
              </w:rPr>
              <w:t>购买日公允</w:t>
            </w:r>
            <w:r>
              <w:rPr>
                <w:rFonts w:ascii="宋体" w:hAnsi="宋体" w:cs="宋体" w:eastAsia="宋体" w:hint="default"/>
                <w:sz w:val="18"/>
                <w:szCs w:val="18"/>
              </w:rPr>
              <w:t> </w:t>
            </w:r>
            <w:r>
              <w:rPr>
                <w:rFonts w:ascii="宋体" w:hAnsi="宋体" w:cs="宋体" w:eastAsia="宋体" w:hint="default"/>
                <w:spacing w:val="-39"/>
                <w:sz w:val="18"/>
                <w:szCs w:val="18"/>
              </w:rPr>
              <w:t>价值</w:t>
            </w:r>
            <w:r>
              <w:rPr>
                <w:rFonts w:ascii="宋体" w:hAnsi="宋体" w:cs="宋体" w:eastAsia="宋体" w:hint="default"/>
                <w:sz w:val="18"/>
                <w:szCs w:val="18"/>
              </w:rPr>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36" w:hanging="212"/>
              <w:jc w:val="left"/>
              <w:rPr>
                <w:rFonts w:ascii="宋体" w:hAnsi="宋体" w:cs="宋体" w:eastAsia="宋体" w:hint="default"/>
                <w:sz w:val="18"/>
                <w:szCs w:val="18"/>
              </w:rPr>
            </w:pPr>
            <w:r>
              <w:rPr>
                <w:rFonts w:ascii="宋体" w:hAnsi="宋体" w:cs="宋体" w:eastAsia="宋体" w:hint="default"/>
                <w:spacing w:val="-32"/>
                <w:sz w:val="18"/>
                <w:szCs w:val="18"/>
              </w:rPr>
              <w:t>购买日账面</w:t>
            </w:r>
            <w:r>
              <w:rPr>
                <w:rFonts w:ascii="宋体" w:hAnsi="宋体" w:cs="宋体" w:eastAsia="宋体" w:hint="default"/>
                <w:sz w:val="18"/>
                <w:szCs w:val="18"/>
              </w:rPr>
              <w:t> </w:t>
            </w:r>
            <w:r>
              <w:rPr>
                <w:rFonts w:ascii="宋体" w:hAnsi="宋体" w:cs="宋体" w:eastAsia="宋体" w:hint="default"/>
                <w:spacing w:val="-39"/>
                <w:sz w:val="18"/>
                <w:szCs w:val="18"/>
              </w:rPr>
              <w:t>价值</w:t>
            </w:r>
            <w:r>
              <w:rPr>
                <w:rFonts w:ascii="宋体" w:hAnsi="宋体" w:cs="宋体" w:eastAsia="宋体" w:hint="default"/>
                <w:sz w:val="18"/>
                <w:szCs w:val="18"/>
              </w:rPr>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38" w:hanging="212"/>
              <w:jc w:val="left"/>
              <w:rPr>
                <w:rFonts w:ascii="宋体" w:hAnsi="宋体" w:cs="宋体" w:eastAsia="宋体" w:hint="default"/>
                <w:sz w:val="18"/>
                <w:szCs w:val="18"/>
              </w:rPr>
            </w:pPr>
            <w:r>
              <w:rPr>
                <w:rFonts w:ascii="宋体" w:hAnsi="宋体" w:cs="宋体" w:eastAsia="宋体" w:hint="default"/>
                <w:spacing w:val="-32"/>
                <w:sz w:val="18"/>
                <w:szCs w:val="18"/>
              </w:rPr>
              <w:t>购买日公允</w:t>
            </w:r>
            <w:r>
              <w:rPr>
                <w:rFonts w:ascii="宋体" w:hAnsi="宋体" w:cs="宋体" w:eastAsia="宋体" w:hint="default"/>
                <w:sz w:val="18"/>
                <w:szCs w:val="18"/>
              </w:rPr>
              <w:t> </w:t>
            </w:r>
            <w:r>
              <w:rPr>
                <w:rFonts w:ascii="宋体" w:hAnsi="宋体" w:cs="宋体" w:eastAsia="宋体" w:hint="default"/>
                <w:spacing w:val="-39"/>
                <w:sz w:val="18"/>
                <w:szCs w:val="18"/>
              </w:rPr>
              <w:t>价值</w:t>
            </w:r>
            <w:r>
              <w:rPr>
                <w:rFonts w:ascii="宋体" w:hAnsi="宋体" w:cs="宋体" w:eastAsia="宋体" w:hint="default"/>
                <w:sz w:val="18"/>
                <w:szCs w:val="18"/>
              </w:rPr>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36" w:hanging="212"/>
              <w:jc w:val="left"/>
              <w:rPr>
                <w:rFonts w:ascii="宋体" w:hAnsi="宋体" w:cs="宋体" w:eastAsia="宋体" w:hint="default"/>
                <w:sz w:val="18"/>
                <w:szCs w:val="18"/>
              </w:rPr>
            </w:pPr>
            <w:r>
              <w:rPr>
                <w:rFonts w:ascii="宋体" w:hAnsi="宋体" w:cs="宋体" w:eastAsia="宋体" w:hint="default"/>
                <w:spacing w:val="-32"/>
                <w:sz w:val="18"/>
                <w:szCs w:val="18"/>
              </w:rPr>
              <w:t>购买日账面</w:t>
            </w:r>
            <w:r>
              <w:rPr>
                <w:rFonts w:ascii="宋体" w:hAnsi="宋体" w:cs="宋体" w:eastAsia="宋体" w:hint="default"/>
                <w:sz w:val="18"/>
                <w:szCs w:val="18"/>
              </w:rPr>
              <w:t> </w:t>
            </w:r>
            <w:r>
              <w:rPr>
                <w:rFonts w:ascii="宋体" w:hAnsi="宋体" w:cs="宋体" w:eastAsia="宋体" w:hint="default"/>
                <w:spacing w:val="-39"/>
                <w:sz w:val="18"/>
                <w:szCs w:val="18"/>
              </w:rPr>
              <w:t>价值</w:t>
            </w:r>
            <w:r>
              <w:rPr>
                <w:rFonts w:ascii="宋体" w:hAnsi="宋体" w:cs="宋体" w:eastAsia="宋体" w:hint="default"/>
                <w:sz w:val="18"/>
                <w:szCs w:val="18"/>
              </w:rPr>
            </w:r>
          </w:p>
        </w:tc>
      </w:tr>
      <w:tr>
        <w:trPr>
          <w:trHeight w:val="391" w:hRule="exact"/>
        </w:trPr>
        <w:tc>
          <w:tcPr>
            <w:tcW w:w="846" w:type="dxa"/>
            <w:tcBorders>
              <w:top w:val="nil" w:sz="6" w:space="0" w:color="auto"/>
              <w:left w:val="single" w:sz="4" w:space="0" w:color="000000"/>
              <w:bottom w:val="nil" w:sz="6" w:space="0" w:color="auto"/>
              <w:right w:val="single" w:sz="13" w:space="0" w:color="D2D2D2"/>
            </w:tcBorders>
            <w:shd w:val="clear" w:color="auto" w:fill="D9D9D9"/>
          </w:tcPr>
          <w:p>
            <w:pPr/>
          </w:p>
        </w:tc>
        <w:tc>
          <w:tcPr>
            <w:tcW w:w="880" w:type="dxa"/>
            <w:vMerge/>
            <w:tcBorders>
              <w:left w:val="single" w:sz="9" w:space="0" w:color="D9D9D9"/>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r>
      <w:tr>
        <w:trPr>
          <w:trHeight w:val="161" w:hRule="exact"/>
        </w:trPr>
        <w:tc>
          <w:tcPr>
            <w:tcW w:w="846" w:type="dxa"/>
            <w:tcBorders>
              <w:top w:val="nil" w:sz="6" w:space="0" w:color="auto"/>
              <w:left w:val="single" w:sz="4" w:space="0" w:color="000000"/>
              <w:bottom w:val="single" w:sz="4" w:space="0" w:color="000000"/>
              <w:right w:val="single" w:sz="13" w:space="0" w:color="D2D2D2"/>
            </w:tcBorders>
            <w:shd w:val="clear" w:color="auto" w:fill="D9D9D9"/>
          </w:tcPr>
          <w:p>
            <w:pPr/>
          </w:p>
        </w:tc>
        <w:tc>
          <w:tcPr>
            <w:tcW w:w="880" w:type="dxa"/>
            <w:vMerge/>
            <w:tcBorders>
              <w:left w:val="single" w:sz="9" w:space="0" w:color="D9D9D9"/>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8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1"/>
                <w:sz w:val="18"/>
                <w:szCs w:val="18"/>
              </w:rPr>
              <w:t>货币资金</w:t>
            </w:r>
          </w:p>
        </w:tc>
        <w:tc>
          <w:tcPr>
            <w:tcW w:w="880"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5,576,041.97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5,576,041.97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952,329.62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952,329.62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2,004,742.96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2,004,742.96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3,992,688.44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3,992,688.44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10,741,482.89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10,741,482.89</w:t>
            </w:r>
          </w:p>
        </w:tc>
      </w:tr>
      <w:tr>
        <w:trPr>
          <w:trHeight w:val="401" w:hRule="exact"/>
        </w:trPr>
        <w:tc>
          <w:tcPr>
            <w:tcW w:w="8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1"/>
                <w:sz w:val="18"/>
                <w:szCs w:val="18"/>
              </w:rPr>
              <w:t>应收款项</w:t>
            </w:r>
          </w:p>
        </w:tc>
        <w:tc>
          <w:tcPr>
            <w:tcW w:w="880"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2,580,202.48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2,580,202.48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5,562,831.35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5,562,831.35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9,046,899.71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9,046,899.71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37,955,549.53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37,955,549.53</w:t>
            </w:r>
          </w:p>
        </w:tc>
      </w:tr>
      <w:tr>
        <w:trPr>
          <w:trHeight w:val="403" w:hRule="exact"/>
        </w:trPr>
        <w:tc>
          <w:tcPr>
            <w:tcW w:w="8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9"/>
                <w:sz w:val="18"/>
                <w:szCs w:val="18"/>
              </w:rPr>
              <w:t>存货</w:t>
            </w:r>
            <w:r>
              <w:rPr>
                <w:rFonts w:ascii="宋体" w:hAnsi="宋体" w:cs="宋体" w:eastAsia="宋体" w:hint="default"/>
                <w:sz w:val="18"/>
                <w:szCs w:val="18"/>
              </w:rPr>
            </w:r>
          </w:p>
        </w:tc>
        <w:tc>
          <w:tcPr>
            <w:tcW w:w="880"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73,223.87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73,223.87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8"/>
                <w:sz w:val="18"/>
              </w:rPr>
              <w:t>1,323.85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8"/>
                <w:sz w:val="18"/>
              </w:rPr>
              <w:t>1,323.85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8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1"/>
                <w:sz w:val="18"/>
                <w:szCs w:val="18"/>
              </w:rPr>
              <w:t>固定资产</w:t>
            </w:r>
          </w:p>
        </w:tc>
        <w:tc>
          <w:tcPr>
            <w:tcW w:w="880"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756,186.86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756,186.86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5,448,206.77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5,448,206.77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8"/>
                <w:sz w:val="18"/>
              </w:rPr>
              <w:t>2,732.88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8"/>
                <w:sz w:val="18"/>
              </w:rPr>
              <w:t>2,732.88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76,953.35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76,953.35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815,929.47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815,929.47</w:t>
            </w:r>
          </w:p>
        </w:tc>
      </w:tr>
      <w:tr>
        <w:trPr>
          <w:trHeight w:val="403" w:hRule="exact"/>
        </w:trPr>
        <w:tc>
          <w:tcPr>
            <w:tcW w:w="8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1"/>
                <w:sz w:val="18"/>
                <w:szCs w:val="18"/>
              </w:rPr>
              <w:t>无形资产</w:t>
            </w:r>
          </w:p>
        </w:tc>
        <w:tc>
          <w:tcPr>
            <w:tcW w:w="880"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41,541,461.26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10,861,066.65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10,861,066.65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8,135,600.00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1,742,100.00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7,214,142.10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42,042.10</w:t>
            </w:r>
          </w:p>
        </w:tc>
      </w:tr>
      <w:tr>
        <w:trPr>
          <w:trHeight w:val="713" w:hRule="exact"/>
        </w:trPr>
        <w:tc>
          <w:tcPr>
            <w:tcW w:w="8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spacing w:val="-32"/>
                <w:sz w:val="18"/>
                <w:szCs w:val="18"/>
              </w:rPr>
              <w:t>其他流动资</w:t>
            </w:r>
            <w:r>
              <w:rPr>
                <w:rFonts w:ascii="宋体" w:hAnsi="宋体" w:cs="宋体" w:eastAsia="宋体" w:hint="default"/>
                <w:sz w:val="18"/>
                <w:szCs w:val="18"/>
              </w:rPr>
              <w:t> 产</w:t>
            </w:r>
          </w:p>
        </w:tc>
        <w:tc>
          <w:tcPr>
            <w:tcW w:w="880"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8"/>
                <w:sz w:val="18"/>
              </w:rPr>
              <w:t>3,678.60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8"/>
                <w:sz w:val="18"/>
              </w:rPr>
              <w:t>3,678.60</w:t>
            </w:r>
          </w:p>
        </w:tc>
      </w:tr>
      <w:tr>
        <w:trPr>
          <w:trHeight w:val="715" w:hRule="exact"/>
        </w:trPr>
        <w:tc>
          <w:tcPr>
            <w:tcW w:w="8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spacing w:val="-32"/>
                <w:sz w:val="18"/>
                <w:szCs w:val="18"/>
              </w:rPr>
              <w:t>长期股权投</w:t>
            </w:r>
            <w:r>
              <w:rPr>
                <w:rFonts w:ascii="宋体" w:hAnsi="宋体" w:cs="宋体" w:eastAsia="宋体" w:hint="default"/>
                <w:sz w:val="18"/>
                <w:szCs w:val="18"/>
              </w:rPr>
              <w:t> 资</w:t>
            </w:r>
          </w:p>
        </w:tc>
        <w:tc>
          <w:tcPr>
            <w:tcW w:w="880"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900,000.00</w:t>
            </w:r>
          </w:p>
        </w:tc>
      </w:tr>
      <w:tr>
        <w:trPr>
          <w:trHeight w:val="713" w:hRule="exact"/>
        </w:trPr>
        <w:tc>
          <w:tcPr>
            <w:tcW w:w="8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spacing w:val="-32"/>
                <w:sz w:val="18"/>
                <w:szCs w:val="18"/>
              </w:rPr>
              <w:t>长期待摊费</w:t>
            </w:r>
            <w:r>
              <w:rPr>
                <w:rFonts w:ascii="宋体" w:hAnsi="宋体" w:cs="宋体" w:eastAsia="宋体" w:hint="default"/>
                <w:sz w:val="18"/>
                <w:szCs w:val="18"/>
              </w:rPr>
              <w:t> 用</w:t>
            </w:r>
          </w:p>
        </w:tc>
        <w:tc>
          <w:tcPr>
            <w:tcW w:w="880"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42,735.05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42,735.05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8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9"/>
                <w:sz w:val="18"/>
                <w:szCs w:val="18"/>
              </w:rPr>
              <w:t>借款</w:t>
            </w:r>
            <w:r>
              <w:rPr>
                <w:rFonts w:ascii="宋体" w:hAnsi="宋体" w:cs="宋体" w:eastAsia="宋体" w:hint="default"/>
                <w:sz w:val="18"/>
                <w:szCs w:val="18"/>
              </w:rPr>
            </w:r>
          </w:p>
        </w:tc>
        <w:tc>
          <w:tcPr>
            <w:tcW w:w="880"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632,077.06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632,077.06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1"/>
                <w:sz w:val="18"/>
                <w:szCs w:val="18"/>
              </w:rPr>
              <w:t>应付款项</w:t>
            </w:r>
          </w:p>
        </w:tc>
        <w:tc>
          <w:tcPr>
            <w:tcW w:w="880"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16,950,554.54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16,950,554.54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15,193,736.97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15,193,736.97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2,075,945.98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2,075,945.98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36,219,282.57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36,219,282.57</w:t>
            </w:r>
          </w:p>
        </w:tc>
      </w:tr>
      <w:tr>
        <w:trPr>
          <w:trHeight w:val="715" w:hRule="exact"/>
        </w:trPr>
        <w:tc>
          <w:tcPr>
            <w:tcW w:w="8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spacing w:val="-32"/>
                <w:sz w:val="18"/>
                <w:szCs w:val="18"/>
              </w:rPr>
              <w:t>递延所得税</w:t>
            </w:r>
            <w:r>
              <w:rPr>
                <w:rFonts w:ascii="宋体" w:hAnsi="宋体" w:cs="宋体" w:eastAsia="宋体" w:hint="default"/>
                <w:sz w:val="18"/>
                <w:szCs w:val="18"/>
              </w:rPr>
              <w:t> </w:t>
            </w:r>
            <w:r>
              <w:rPr>
                <w:rFonts w:ascii="宋体" w:hAnsi="宋体" w:cs="宋体" w:eastAsia="宋体" w:hint="default"/>
                <w:spacing w:val="-39"/>
                <w:sz w:val="18"/>
                <w:szCs w:val="18"/>
              </w:rPr>
              <w:t>负债</w:t>
            </w:r>
            <w:r>
              <w:rPr>
                <w:rFonts w:ascii="宋体" w:hAnsi="宋体" w:cs="宋体" w:eastAsia="宋体" w:hint="default"/>
                <w:sz w:val="18"/>
                <w:szCs w:val="18"/>
              </w:rPr>
            </w:r>
          </w:p>
        </w:tc>
        <w:tc>
          <w:tcPr>
            <w:tcW w:w="880"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1,220,340.00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435,525.00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1,793,025.00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8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1"/>
                <w:sz w:val="18"/>
                <w:szCs w:val="18"/>
              </w:rPr>
              <w:t>预收账款</w:t>
            </w:r>
          </w:p>
        </w:tc>
        <w:tc>
          <w:tcPr>
            <w:tcW w:w="880"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530,845.90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530,845.90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706,811.00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706,811.00</w:t>
            </w:r>
          </w:p>
        </w:tc>
      </w:tr>
      <w:tr>
        <w:trPr>
          <w:trHeight w:val="403" w:hRule="exact"/>
        </w:trPr>
        <w:tc>
          <w:tcPr>
            <w:tcW w:w="8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pacing w:val="-32"/>
                <w:sz w:val="18"/>
                <w:szCs w:val="18"/>
              </w:rPr>
              <w:t>应付职工薪</w:t>
            </w:r>
          </w:p>
        </w:tc>
        <w:tc>
          <w:tcPr>
            <w:tcW w:w="880"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329,097.36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329,097.36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495,859.14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495,859.14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1,661,028.88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1,661,028.88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57"/>
        <w:gridCol w:w="880"/>
        <w:gridCol w:w="869"/>
        <w:gridCol w:w="869"/>
        <w:gridCol w:w="869"/>
        <w:gridCol w:w="871"/>
        <w:gridCol w:w="869"/>
        <w:gridCol w:w="869"/>
        <w:gridCol w:w="869"/>
        <w:gridCol w:w="869"/>
        <w:gridCol w:w="869"/>
      </w:tblGrid>
      <w:tr>
        <w:trPr>
          <w:trHeight w:val="362" w:hRule="exact"/>
        </w:trPr>
        <w:tc>
          <w:tcPr>
            <w:tcW w:w="8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酬</w:t>
            </w:r>
          </w:p>
        </w:tc>
        <w:tc>
          <w:tcPr>
            <w:tcW w:w="880" w:type="dxa"/>
            <w:tcBorders>
              <w:top w:val="single" w:sz="4" w:space="0" w:color="000000"/>
              <w:left w:val="single" w:sz="12" w:space="0" w:color="D9D9D9"/>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1"/>
                <w:sz w:val="18"/>
                <w:szCs w:val="18"/>
              </w:rPr>
              <w:t>应交税费</w:t>
            </w:r>
          </w:p>
        </w:tc>
        <w:tc>
          <w:tcPr>
            <w:tcW w:w="880"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8"/>
                <w:sz w:val="18"/>
              </w:rPr>
              <w:t>6,731.74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8"/>
                <w:sz w:val="18"/>
              </w:rPr>
              <w:t>6,731.74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68,708.78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68,708.78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183,253.81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183,253.81</w:t>
            </w:r>
          </w:p>
        </w:tc>
      </w:tr>
      <w:tr>
        <w:trPr>
          <w:trHeight w:val="403" w:hRule="exact"/>
        </w:trPr>
        <w:tc>
          <w:tcPr>
            <w:tcW w:w="8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27"/>
                <w:sz w:val="18"/>
                <w:szCs w:val="18"/>
              </w:rPr>
              <w:t>净资产</w:t>
            </w:r>
          </w:p>
        </w:tc>
        <w:tc>
          <w:tcPr>
            <w:tcW w:w="880"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33,576,561.90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-7,964,899.36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6,998,620.36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6,998,620.36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6,510,960.76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-404,299.24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13,371,761.58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12,065,186.58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17,067,381.33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11,688,306.33</w:t>
            </w:r>
          </w:p>
        </w:tc>
      </w:tr>
      <w:tr>
        <w:trPr>
          <w:trHeight w:val="713" w:hRule="exact"/>
        </w:trPr>
        <w:tc>
          <w:tcPr>
            <w:tcW w:w="857" w:type="dxa"/>
            <w:tcBorders>
              <w:top w:val="single" w:sz="4" w:space="0" w:color="000000"/>
              <w:left w:val="single" w:sz="4" w:space="0" w:color="000000"/>
              <w:bottom w:val="single" w:sz="4" w:space="0" w:color="000000"/>
              <w:right w:val="single" w:sz="13" w:space="0" w:color="FFFFFF"/>
            </w:tcBorders>
            <w:shd w:val="clear" w:color="auto" w:fill="D9D9D9"/>
          </w:tcPr>
          <w:p>
            <w:pPr>
              <w:pStyle w:val="TableParagraph"/>
              <w:spacing w:line="316" w:lineRule="auto" w:before="49"/>
              <w:ind w:left="22" w:right="-42"/>
              <w:jc w:val="left"/>
              <w:rPr>
                <w:rFonts w:ascii="宋体" w:hAnsi="宋体" w:cs="宋体" w:eastAsia="宋体" w:hint="default"/>
                <w:sz w:val="18"/>
                <w:szCs w:val="18"/>
              </w:rPr>
            </w:pPr>
            <w:r>
              <w:rPr>
                <w:rFonts w:ascii="宋体" w:hAnsi="宋体" w:cs="宋体" w:eastAsia="宋体" w:hint="default"/>
                <w:spacing w:val="-38"/>
                <w:sz w:val="18"/>
                <w:szCs w:val="18"/>
              </w:rPr>
              <w:t>减：少数股东</w:t>
            </w:r>
            <w:r>
              <w:rPr>
                <w:rFonts w:ascii="宋体" w:hAnsi="宋体" w:cs="宋体" w:eastAsia="宋体" w:hint="default"/>
                <w:sz w:val="18"/>
                <w:szCs w:val="18"/>
              </w:rPr>
              <w:t> </w:t>
            </w:r>
            <w:r>
              <w:rPr>
                <w:rFonts w:ascii="宋体" w:hAnsi="宋体" w:cs="宋体" w:eastAsia="宋体" w:hint="default"/>
                <w:spacing w:val="-39"/>
                <w:sz w:val="18"/>
                <w:szCs w:val="18"/>
              </w:rPr>
              <w:t>权益</w:t>
            </w:r>
            <w:r>
              <w:rPr>
                <w:rFonts w:ascii="宋体" w:hAnsi="宋体" w:cs="宋体" w:eastAsia="宋体" w:hint="default"/>
                <w:sz w:val="18"/>
                <w:szCs w:val="18"/>
              </w:rPr>
            </w:r>
          </w:p>
        </w:tc>
        <w:tc>
          <w:tcPr>
            <w:tcW w:w="88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6,017,292.71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5,429,333.96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2,560,107.20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1,753,245.95</w:t>
            </w:r>
          </w:p>
        </w:tc>
      </w:tr>
      <w:tr>
        <w:trPr>
          <w:trHeight w:val="715" w:hRule="exact"/>
        </w:trPr>
        <w:tc>
          <w:tcPr>
            <w:tcW w:w="8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pacing w:val="-32"/>
                <w:sz w:val="18"/>
                <w:szCs w:val="18"/>
              </w:rPr>
              <w:t>取得的净资</w:t>
            </w:r>
            <w:r>
              <w:rPr>
                <w:rFonts w:ascii="宋体" w:hAnsi="宋体" w:cs="宋体" w:eastAsia="宋体" w:hint="default"/>
                <w:sz w:val="18"/>
                <w:szCs w:val="18"/>
              </w:rPr>
              <w:t> 产</w:t>
            </w:r>
          </w:p>
        </w:tc>
        <w:tc>
          <w:tcPr>
            <w:tcW w:w="880"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33,576,561.90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-7,964,899.36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6,998,620.36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6,998,620.36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6,510,960.76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-404,299.24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7,354,468.87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6,635,852.62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14,507,274.13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9,935,060.38</w:t>
            </w:r>
          </w:p>
        </w:tc>
      </w:tr>
    </w:tbl>
    <w:p>
      <w:pPr>
        <w:spacing w:line="357" w:lineRule="auto" w:before="49"/>
        <w:ind w:left="152" w:right="7514" w:firstLine="0"/>
        <w:jc w:val="left"/>
        <w:rPr>
          <w:rFonts w:ascii="宋体" w:hAnsi="宋体" w:cs="宋体" w:eastAsia="宋体" w:hint="default"/>
          <w:sz w:val="18"/>
          <w:szCs w:val="18"/>
        </w:rPr>
      </w:pPr>
      <w:r>
        <w:rPr>
          <w:rFonts w:ascii="宋体" w:hAnsi="宋体" w:cs="宋体" w:eastAsia="宋体" w:hint="default"/>
          <w:sz w:val="18"/>
          <w:szCs w:val="18"/>
        </w:rPr>
        <w:t>可辨认资产、负债公允价值的确定方法： 评估专家的工作确定的估值。 企业合并中承担的被购买方的或有负债： 无</w:t>
      </w:r>
    </w:p>
    <w:p>
      <w:pPr>
        <w:spacing w:line="357" w:lineRule="auto" w:before="2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2"/>
        <w:rPr>
          <w:rFonts w:ascii="宋体" w:hAnsi="宋体" w:cs="宋体" w:eastAsia="宋体" w:hint="default"/>
          <w:sz w:val="21"/>
          <w:szCs w:val="21"/>
        </w:rPr>
      </w:pPr>
    </w:p>
    <w:p>
      <w:pPr>
        <w:pStyle w:val="Heading6"/>
        <w:spacing w:line="244" w:lineRule="auto"/>
        <w:ind w:right="1018"/>
        <w:jc w:val="left"/>
      </w:pPr>
      <w:r>
        <w:rPr>
          <w:spacing w:val="-5"/>
        </w:rPr>
        <w:t>因新设北海环企软件科技有限公司、</w:t>
      </w:r>
      <w:r>
        <w:rPr>
          <w:rFonts w:ascii="Times New Roman" w:hAnsi="Times New Roman" w:cs="Times New Roman" w:eastAsia="Times New Roman" w:hint="default"/>
          <w:spacing w:val="-5"/>
        </w:rPr>
        <w:t>Shiji </w:t>
      </w:r>
      <w:r>
        <w:rPr>
          <w:rFonts w:ascii="Times New Roman" w:hAnsi="Times New Roman" w:cs="Times New Roman" w:eastAsia="Times New Roman" w:hint="default"/>
        </w:rPr>
        <w:t>India </w:t>
      </w:r>
      <w:r>
        <w:rPr>
          <w:rFonts w:ascii="Times New Roman" w:hAnsi="Times New Roman" w:cs="Times New Roman" w:eastAsia="Times New Roman" w:hint="default"/>
          <w:spacing w:val="-10"/>
        </w:rPr>
        <w:t>LLP</w:t>
      </w:r>
      <w:r>
        <w:rPr>
          <w:spacing w:val="-10"/>
        </w:rPr>
        <w:t>、</w:t>
      </w:r>
      <w:r>
        <w:rPr>
          <w:rFonts w:ascii="Times New Roman" w:hAnsi="Times New Roman" w:cs="Times New Roman" w:eastAsia="Times New Roman" w:hint="default"/>
          <w:spacing w:val="-10"/>
        </w:rPr>
        <w:t>Shiji </w:t>
      </w:r>
      <w:r>
        <w:rPr>
          <w:rFonts w:ascii="Times New Roman" w:hAnsi="Times New Roman" w:cs="Times New Roman" w:eastAsia="Times New Roman" w:hint="default"/>
          <w:spacing w:val="-6"/>
        </w:rPr>
        <w:t>Japan</w:t>
      </w:r>
      <w:r>
        <w:rPr>
          <w:spacing w:val="-6"/>
        </w:rPr>
        <w:t>株式会社、</w:t>
      </w:r>
      <w:r>
        <w:rPr>
          <w:rFonts w:ascii="Times New Roman" w:hAnsi="Times New Roman" w:cs="Times New Roman" w:eastAsia="Times New Roman" w:hint="default"/>
          <w:spacing w:val="-6"/>
        </w:rPr>
        <w:t>Shiji </w:t>
      </w:r>
      <w:r>
        <w:rPr>
          <w:rFonts w:ascii="Times New Roman" w:hAnsi="Times New Roman" w:cs="Times New Roman" w:eastAsia="Times New Roman" w:hint="default"/>
        </w:rPr>
        <w:t>(Thailand)</w:t>
      </w:r>
      <w:r>
        <w:rPr>
          <w:rFonts w:ascii="Times New Roman" w:hAnsi="Times New Roman" w:cs="Times New Roman" w:eastAsia="Times New Roman" w:hint="default"/>
          <w:spacing w:val="45"/>
        </w:rPr>
        <w:t> </w:t>
      </w:r>
      <w:r>
        <w:rPr>
          <w:rFonts w:ascii="Times New Roman" w:hAnsi="Times New Roman" w:cs="Times New Roman" w:eastAsia="Times New Roman" w:hint="default"/>
        </w:rPr>
        <w:t>Limited</w:t>
      </w:r>
      <w:r>
        <w:rPr/>
        <w:t>、</w:t>
      </w:r>
      <w:r>
        <w:rPr>
          <w:w w:val="100"/>
        </w:rPr>
        <w:t> </w:t>
      </w:r>
      <w:r>
        <w:rPr>
          <w:rFonts w:ascii="Times New Roman" w:hAnsi="Times New Roman" w:cs="Times New Roman" w:eastAsia="Times New Roman" w:hint="default"/>
        </w:rPr>
        <w:t>Shiji </w:t>
      </w:r>
      <w:r>
        <w:rPr>
          <w:rFonts w:ascii="Times New Roman" w:hAnsi="Times New Roman" w:cs="Times New Roman" w:eastAsia="Times New Roman" w:hint="default"/>
          <w:spacing w:val="-3"/>
        </w:rPr>
        <w:t>MiddleEast-FZLLC</w:t>
      </w:r>
      <w:r>
        <w:rPr>
          <w:spacing w:val="-3"/>
        </w:rPr>
        <w:t>、</w:t>
      </w:r>
      <w:r>
        <w:rPr>
          <w:rFonts w:ascii="Times New Roman" w:hAnsi="Times New Roman" w:cs="Times New Roman" w:eastAsia="Times New Roman" w:hint="default"/>
          <w:spacing w:val="-3"/>
        </w:rPr>
        <w:t>Shiji </w:t>
      </w:r>
      <w:r>
        <w:rPr>
          <w:rFonts w:ascii="Times New Roman" w:hAnsi="Times New Roman" w:cs="Times New Roman" w:eastAsia="Times New Roman" w:hint="default"/>
        </w:rPr>
        <w:t>Slovakia </w:t>
      </w:r>
      <w:r>
        <w:rPr>
          <w:rFonts w:ascii="Times New Roman" w:hAnsi="Times New Roman" w:cs="Times New Roman" w:eastAsia="Times New Roman" w:hint="default"/>
          <w:spacing w:val="-3"/>
        </w:rPr>
        <w:t>s.r.o</w:t>
      </w:r>
      <w:r>
        <w:rPr>
          <w:spacing w:val="-3"/>
        </w:rPr>
        <w:t>、</w:t>
      </w:r>
      <w:r>
        <w:rPr>
          <w:rFonts w:ascii="Times New Roman" w:hAnsi="Times New Roman" w:cs="Times New Roman" w:eastAsia="Times New Roman" w:hint="default"/>
          <w:spacing w:val="-3"/>
        </w:rPr>
        <w:t>Shiji </w:t>
      </w:r>
      <w:r>
        <w:rPr>
          <w:rFonts w:ascii="Times New Roman" w:hAnsi="Times New Roman" w:cs="Times New Roman" w:eastAsia="Times New Roman" w:hint="default"/>
        </w:rPr>
        <w:t>(Macau)</w:t>
      </w:r>
      <w:r>
        <w:rPr>
          <w:rFonts w:ascii="Times New Roman" w:hAnsi="Times New Roman" w:cs="Times New Roman" w:eastAsia="Times New Roman" w:hint="default"/>
          <w:spacing w:val="2"/>
        </w:rPr>
        <w:t> </w:t>
      </w:r>
      <w:r>
        <w:rPr>
          <w:rFonts w:ascii="Times New Roman" w:hAnsi="Times New Roman" w:cs="Times New Roman" w:eastAsia="Times New Roman" w:hint="default"/>
        </w:rPr>
        <w:t>Limited</w:t>
      </w:r>
      <w:r>
        <w:rPr/>
        <w:t>等增加</w:t>
      </w:r>
      <w:r>
        <w:rPr>
          <w:rFonts w:ascii="Times New Roman" w:hAnsi="Times New Roman" w:cs="Times New Roman" w:eastAsia="Times New Roman" w:hint="default"/>
        </w:rPr>
        <w:t>8</w:t>
      </w:r>
      <w:r>
        <w:rPr/>
        <w:t>家。因注销海南富基融通科</w:t>
      </w:r>
      <w:r>
        <w:rPr>
          <w:w w:val="100"/>
        </w:rPr>
        <w:t> </w:t>
      </w:r>
      <w:r>
        <w:rPr/>
        <w:t>技有限公司、</w:t>
      </w:r>
      <w:r>
        <w:rPr>
          <w:rFonts w:ascii="Times New Roman" w:hAnsi="Times New Roman" w:cs="Times New Roman" w:eastAsia="Times New Roman" w:hint="default"/>
        </w:rPr>
        <w:t>Armitage Holdings Limited</w:t>
      </w:r>
      <w:r>
        <w:rPr/>
        <w:t>、</w:t>
      </w:r>
      <w:r>
        <w:rPr>
          <w:rFonts w:ascii="Times New Roman" w:hAnsi="Times New Roman" w:cs="Times New Roman" w:eastAsia="Times New Roman" w:hint="default"/>
        </w:rPr>
        <w:t>Snapshot USA Inc.</w:t>
      </w:r>
      <w:r>
        <w:rPr/>
        <w:t>、</w:t>
      </w:r>
      <w:r>
        <w:rPr>
          <w:rFonts w:ascii="Times New Roman" w:hAnsi="Times New Roman" w:cs="Times New Roman" w:eastAsia="Times New Roman" w:hint="default"/>
        </w:rPr>
        <w:t>AC Software Deutsechland</w:t>
      </w:r>
      <w:r>
        <w:rPr>
          <w:rFonts w:ascii="Times New Roman" w:hAnsi="Times New Roman" w:cs="Times New Roman" w:eastAsia="Times New Roman" w:hint="default"/>
          <w:spacing w:val="3"/>
        </w:rPr>
        <w:t> </w:t>
      </w:r>
      <w:r>
        <w:rPr>
          <w:rFonts w:ascii="Times New Roman" w:hAnsi="Times New Roman" w:cs="Times New Roman" w:eastAsia="Times New Roman" w:hint="default"/>
        </w:rPr>
        <w:t>GmbH</w:t>
      </w:r>
      <w:r>
        <w:rPr/>
        <w:t>减少</w:t>
      </w:r>
      <w:r>
        <w:rPr>
          <w:rFonts w:ascii="Times New Roman" w:hAnsi="Times New Roman" w:cs="Times New Roman" w:eastAsia="Times New Roman" w:hint="default"/>
        </w:rPr>
        <w:t>4</w:t>
      </w:r>
      <w:r>
        <w:rPr>
          <w:rFonts w:ascii="Times New Roman" w:hAnsi="Times New Roman" w:cs="Times New Roman" w:eastAsia="Times New Roman" w:hint="default"/>
          <w:w w:val="100"/>
        </w:rPr>
        <w:t> </w:t>
      </w:r>
      <w:r>
        <w:rPr/>
        <w:t>家，因</w:t>
      </w:r>
      <w:r>
        <w:rPr>
          <w:rFonts w:ascii="Times New Roman" w:hAnsi="Times New Roman" w:cs="Times New Roman" w:eastAsia="Times New Roman" w:hint="default"/>
        </w:rPr>
        <w:t>AC Project GmbH</w:t>
      </w:r>
      <w:r>
        <w:rPr/>
        <w:t>和</w:t>
      </w:r>
      <w:r>
        <w:rPr>
          <w:rFonts w:ascii="Times New Roman" w:hAnsi="Times New Roman" w:cs="Times New Roman" w:eastAsia="Times New Roman" w:hint="default"/>
        </w:rPr>
        <w:t>Snapshot GmbH</w:t>
      </w:r>
      <w:r>
        <w:rPr/>
        <w:t>合并为</w:t>
      </w:r>
      <w:r>
        <w:rPr>
          <w:rFonts w:ascii="Times New Roman" w:hAnsi="Times New Roman" w:cs="Times New Roman" w:eastAsia="Times New Roman" w:hint="default"/>
        </w:rPr>
        <w:t>Shiji</w:t>
      </w:r>
      <w:r>
        <w:rPr>
          <w:rFonts w:ascii="Times New Roman" w:hAnsi="Times New Roman" w:cs="Times New Roman" w:eastAsia="Times New Roman" w:hint="default"/>
          <w:spacing w:val="-8"/>
        </w:rPr>
        <w:t> </w:t>
      </w:r>
      <w:r>
        <w:rPr>
          <w:rFonts w:ascii="Times New Roman" w:hAnsi="Times New Roman" w:cs="Times New Roman" w:eastAsia="Times New Roman" w:hint="default"/>
        </w:rPr>
        <w:t>GmbH</w:t>
      </w:r>
      <w:r>
        <w:rPr/>
        <w:t>而减少</w:t>
      </w:r>
      <w:r>
        <w:rPr>
          <w:rFonts w:ascii="Times New Roman" w:hAnsi="Times New Roman" w:cs="Times New Roman" w:eastAsia="Times New Roman" w:hint="default"/>
        </w:rPr>
        <w:t>1</w:t>
      </w:r>
      <w:r>
        <w:rPr/>
        <w:t>家。</w:t>
      </w:r>
    </w:p>
    <w:p>
      <w:pPr>
        <w:spacing w:line="240" w:lineRule="auto" w:before="12"/>
        <w:rPr>
          <w:rFonts w:ascii="宋体" w:hAnsi="宋体" w:cs="宋体" w:eastAsia="宋体" w:hint="default"/>
          <w:sz w:val="21"/>
          <w:szCs w:val="21"/>
        </w:rPr>
      </w:pPr>
    </w:p>
    <w:p>
      <w:pPr>
        <w:pStyle w:val="Heading3"/>
        <w:spacing w:line="240" w:lineRule="auto"/>
        <w:ind w:right="1133"/>
        <w:jc w:val="left"/>
        <w:rPr>
          <w:b w:val="0"/>
          <w:bCs w:val="0"/>
        </w:rPr>
      </w:pPr>
      <w:r>
        <w:rPr/>
        <w:t>九、在其他主体中的权益</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263"/>
        <w:gridCol w:w="1274"/>
        <w:gridCol w:w="708"/>
        <w:gridCol w:w="1702"/>
        <w:gridCol w:w="852"/>
        <w:gridCol w:w="850"/>
        <w:gridCol w:w="924"/>
      </w:tblGrid>
      <w:tr>
        <w:trPr>
          <w:trHeight w:val="403" w:hRule="exact"/>
        </w:trPr>
        <w:tc>
          <w:tcPr>
            <w:tcW w:w="32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3263"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杭州西软信息技术有限公司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杭州连边科技有限公司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263"/>
        <w:gridCol w:w="1274"/>
        <w:gridCol w:w="708"/>
        <w:gridCol w:w="1702"/>
        <w:gridCol w:w="852"/>
        <w:gridCol w:w="850"/>
        <w:gridCol w:w="924"/>
      </w:tblGrid>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北海环企软件科技有限公司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北京宝库在线技术有限公司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85.00%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北京绿行者旅行社有限公司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旅游服务业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85.00%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北海乐宿国际旅行社有限公司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旅游服务业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银石科技有限公司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南京银石计算机系统有限公司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南京银石支付系统科技有限公司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南京银石电脑系统工程有限公司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中国电子器件工业有限公司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电子设备销售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香港精密模具有限公司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电子设备销售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北京中长商通科技有限公司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电子设备销售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北京阳光物业管理有限公司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深圳市思迅软件股份有限公司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深圳万国思迅网络有限公司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73.21%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深圳市奥凯软件有限公司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73.21%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南京客至软件有限公司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石基商用信息技术有限公司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北京商用星联信息科技有限公司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百望金税科技有限公司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敏付科技有限公司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北京航信华仪软件技术有限公司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石基（香港）有限公司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83"/>
              <w:jc w:val="left"/>
              <w:rPr>
                <w:rFonts w:ascii="Times New Roman" w:hAnsi="Times New Roman" w:cs="Times New Roman" w:eastAsia="Times New Roman" w:hint="default"/>
                <w:sz w:val="18"/>
                <w:szCs w:val="18"/>
              </w:rPr>
            </w:pPr>
            <w:r>
              <w:rPr>
                <w:rFonts w:ascii="Times New Roman"/>
                <w:sz w:val="18"/>
              </w:rPr>
              <w:t>Shiji Information Technology (Hong</w:t>
            </w:r>
            <w:r>
              <w:rPr>
                <w:rFonts w:ascii="Times New Roman"/>
                <w:spacing w:val="-24"/>
                <w:sz w:val="18"/>
              </w:rPr>
              <w:t> </w:t>
            </w:r>
            <w:r>
              <w:rPr>
                <w:rFonts w:ascii="Times New Roman"/>
                <w:sz w:val="18"/>
              </w:rPr>
              <w:t>Kong)</w:t>
            </w:r>
            <w:r>
              <w:rPr>
                <w:rFonts w:ascii="Times New Roman"/>
                <w:sz w:val="18"/>
              </w:rPr>
              <w:t> Ltd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Infrasys Singapore Pte</w:t>
            </w:r>
            <w:r>
              <w:rPr>
                <w:rFonts w:ascii="Times New Roman"/>
                <w:spacing w:val="-8"/>
                <w:sz w:val="18"/>
              </w:rPr>
              <w:t> </w:t>
            </w:r>
            <w:r>
              <w:rPr>
                <w:rFonts w:ascii="Times New Roman"/>
                <w:sz w:val="18"/>
              </w:rPr>
              <w:t>Ltd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Macau)</w:t>
            </w:r>
            <w:r>
              <w:rPr>
                <w:rFonts w:ascii="Times New Roman"/>
                <w:spacing w:val="-10"/>
                <w:sz w:val="18"/>
              </w:rPr>
              <w:t> </w:t>
            </w:r>
            <w:r>
              <w:rPr>
                <w:rFonts w:ascii="Times New Roman"/>
                <w:sz w:val="18"/>
              </w:rPr>
              <w:t>Limited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Pos Master</w:t>
            </w:r>
            <w:r>
              <w:rPr>
                <w:rFonts w:ascii="Times New Roman"/>
                <w:spacing w:val="-4"/>
                <w:sz w:val="18"/>
              </w:rPr>
              <w:t> </w:t>
            </w:r>
            <w:r>
              <w:rPr>
                <w:rFonts w:ascii="Times New Roman"/>
                <w:sz w:val="18"/>
              </w:rPr>
              <w:t>Ltd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Infrasys (HK)</w:t>
            </w:r>
            <w:r>
              <w:rPr>
                <w:rFonts w:ascii="Times New Roman"/>
                <w:spacing w:val="-7"/>
                <w:sz w:val="18"/>
              </w:rPr>
              <w:t> </w:t>
            </w:r>
            <w:r>
              <w:rPr>
                <w:rFonts w:ascii="Times New Roman"/>
                <w:sz w:val="18"/>
              </w:rPr>
              <w:t>Ltd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现化电脑系统（北京）有限公司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北京现化信息技术有限公司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广州万迅电脑软件有限公司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21"/>
              <w:jc w:val="left"/>
              <w:rPr>
                <w:rFonts w:ascii="Times New Roman" w:hAnsi="Times New Roman" w:cs="Times New Roman" w:eastAsia="Times New Roman" w:hint="default"/>
                <w:sz w:val="18"/>
                <w:szCs w:val="18"/>
              </w:rPr>
            </w:pPr>
            <w:r>
              <w:rPr>
                <w:rFonts w:ascii="Times New Roman"/>
                <w:sz w:val="18"/>
              </w:rPr>
              <w:t>Shiji Retail Information Technology</w:t>
            </w:r>
            <w:r>
              <w:rPr>
                <w:rFonts w:ascii="Times New Roman"/>
                <w:spacing w:val="-26"/>
                <w:sz w:val="18"/>
              </w:rPr>
              <w:t> </w:t>
            </w:r>
            <w:r>
              <w:rPr>
                <w:rFonts w:ascii="Times New Roman"/>
                <w:sz w:val="18"/>
              </w:rPr>
              <w:t>Co.</w:t>
            </w:r>
            <w:r>
              <w:rPr>
                <w:rFonts w:ascii="Times New Roman"/>
                <w:sz w:val="18"/>
              </w:rPr>
              <w:t> Ltd.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北京石基大商信息技术有限公司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62.00%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北京富基融通信息技术有限公司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263"/>
        <w:gridCol w:w="1274"/>
        <w:gridCol w:w="708"/>
        <w:gridCol w:w="1702"/>
        <w:gridCol w:w="852"/>
        <w:gridCol w:w="850"/>
        <w:gridCol w:w="924"/>
      </w:tblGrid>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北京微店互联网服务有限公司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广州合光信息科技有限公司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62.00%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上海时运信息技术有限公司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46.50%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北京长京益康信息科技有限公司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62.00%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北京长益联合信息科技有限公司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5"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199"/>
              <w:jc w:val="left"/>
              <w:rPr>
                <w:rFonts w:ascii="Times New Roman" w:hAnsi="Times New Roman" w:cs="Times New Roman" w:eastAsia="Times New Roman" w:hint="default"/>
                <w:sz w:val="18"/>
                <w:szCs w:val="18"/>
              </w:rPr>
            </w:pPr>
            <w:r>
              <w:rPr>
                <w:rFonts w:ascii="Times New Roman"/>
                <w:sz w:val="18"/>
              </w:rPr>
              <w:t>Horwath Consulting Services Asia</w:t>
            </w:r>
            <w:r>
              <w:rPr>
                <w:rFonts w:ascii="Times New Roman"/>
                <w:spacing w:val="-22"/>
                <w:sz w:val="18"/>
              </w:rPr>
              <w:t> </w:t>
            </w:r>
            <w:r>
              <w:rPr>
                <w:rFonts w:ascii="Times New Roman"/>
                <w:sz w:val="18"/>
              </w:rPr>
              <w:t>Pacific</w:t>
            </w:r>
            <w:r>
              <w:rPr>
                <w:rFonts w:ascii="Times New Roman"/>
                <w:sz w:val="18"/>
              </w:rPr>
              <w:t> Limited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酒店管理咨询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浩华管理顾问（北京）有限公司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酒店管理咨询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浩华管理顾问</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酒店管理咨询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75.00%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Horwath Asia Pacific(Singapore)Pre</w:t>
            </w:r>
            <w:r>
              <w:rPr>
                <w:rFonts w:ascii="Times New Roman"/>
                <w:spacing w:val="-18"/>
                <w:sz w:val="18"/>
              </w:rPr>
              <w:t> </w:t>
            </w:r>
            <w:r>
              <w:rPr>
                <w:rFonts w:ascii="Times New Roman"/>
                <w:sz w:val="18"/>
              </w:rPr>
              <w:t>Ltd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酒店管理咨询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Singapore) Pte</w:t>
            </w:r>
            <w:r>
              <w:rPr>
                <w:rFonts w:ascii="Times New Roman"/>
                <w:spacing w:val="-8"/>
                <w:sz w:val="18"/>
              </w:rPr>
              <w:t> </w:t>
            </w:r>
            <w:r>
              <w:rPr>
                <w:rFonts w:ascii="Times New Roman"/>
                <w:sz w:val="18"/>
              </w:rPr>
              <w:t>Ltd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Shiji Malaysia Sdn</w:t>
            </w:r>
            <w:r>
              <w:rPr>
                <w:rFonts w:ascii="Times New Roman"/>
                <w:spacing w:val="-6"/>
                <w:sz w:val="18"/>
              </w:rPr>
              <w:t> </w:t>
            </w:r>
            <w:r>
              <w:rPr>
                <w:rFonts w:ascii="Times New Roman"/>
                <w:sz w:val="18"/>
              </w:rPr>
              <w:t>Bhd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马来西 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India</w:t>
            </w:r>
            <w:r>
              <w:rPr>
                <w:rFonts w:ascii="Times New Roman"/>
                <w:spacing w:val="-7"/>
                <w:sz w:val="18"/>
              </w:rPr>
              <w:t> </w:t>
            </w:r>
            <w:r>
              <w:rPr>
                <w:rFonts w:ascii="Times New Roman"/>
                <w:sz w:val="18"/>
              </w:rPr>
              <w:t>LLP</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Shiji Japan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株式会社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Thailand)</w:t>
            </w:r>
            <w:r>
              <w:rPr>
                <w:rFonts w:ascii="Times New Roman"/>
                <w:spacing w:val="-12"/>
                <w:sz w:val="18"/>
              </w:rPr>
              <w:t> </w:t>
            </w:r>
            <w:r>
              <w:rPr>
                <w:rFonts w:ascii="Times New Roman"/>
                <w:sz w:val="18"/>
              </w:rPr>
              <w:t>Limited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泰国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泰国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99.99%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Middle East-FZ</w:t>
            </w:r>
            <w:r>
              <w:rPr>
                <w:rFonts w:ascii="Times New Roman"/>
                <w:spacing w:val="-8"/>
                <w:sz w:val="18"/>
              </w:rPr>
              <w:t> </w:t>
            </w:r>
            <w:r>
              <w:rPr>
                <w:rFonts w:ascii="Times New Roman"/>
                <w:sz w:val="18"/>
              </w:rPr>
              <w:t>LLC</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Dubai</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Dubai</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ShiJi (Australia) Pty</w:t>
            </w:r>
            <w:r>
              <w:rPr>
                <w:rFonts w:ascii="Times New Roman"/>
                <w:spacing w:val="-9"/>
                <w:sz w:val="18"/>
              </w:rPr>
              <w:t> </w:t>
            </w:r>
            <w:r>
              <w:rPr>
                <w:rFonts w:ascii="Times New Roman"/>
                <w:sz w:val="18"/>
              </w:rPr>
              <w:t>Ltd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2"/>
              <w:jc w:val="left"/>
              <w:rPr>
                <w:rFonts w:ascii="宋体" w:hAnsi="宋体" w:cs="宋体" w:eastAsia="宋体" w:hint="default"/>
                <w:sz w:val="18"/>
                <w:szCs w:val="18"/>
              </w:rPr>
            </w:pPr>
            <w:r>
              <w:rPr>
                <w:rFonts w:ascii="宋体" w:hAnsi="宋体" w:cs="宋体" w:eastAsia="宋体" w:hint="default"/>
                <w:sz w:val="18"/>
                <w:szCs w:val="18"/>
              </w:rPr>
              <w:t>澳大利 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906"/>
              <w:jc w:val="left"/>
              <w:rPr>
                <w:rFonts w:ascii="Times New Roman" w:hAnsi="Times New Roman" w:cs="Times New Roman" w:eastAsia="Times New Roman" w:hint="default"/>
                <w:sz w:val="18"/>
                <w:szCs w:val="18"/>
              </w:rPr>
            </w:pPr>
            <w:r>
              <w:rPr>
                <w:rFonts w:ascii="Times New Roman" w:hAnsi="Times New Roman"/>
                <w:sz w:val="18"/>
              </w:rPr>
              <w:t>CONCEPTEK- SISTEMAS</w:t>
            </w:r>
            <w:r>
              <w:rPr>
                <w:rFonts w:ascii="Times New Roman" w:hAnsi="Times New Roman"/>
                <w:spacing w:val="-4"/>
                <w:sz w:val="18"/>
              </w:rPr>
              <w:t> </w:t>
            </w:r>
            <w:r>
              <w:rPr>
                <w:rFonts w:ascii="Times New Roman" w:hAnsi="Times New Roman"/>
                <w:sz w:val="18"/>
              </w:rPr>
              <w:t>DE</w:t>
            </w:r>
            <w:r>
              <w:rPr>
                <w:rFonts w:ascii="Times New Roman" w:hAnsi="Times New Roman"/>
                <w:w w:val="99"/>
                <w:sz w:val="18"/>
              </w:rPr>
              <w:t> </w:t>
            </w:r>
            <w:r>
              <w:rPr>
                <w:rFonts w:ascii="Times New Roman" w:hAnsi="Times New Roman"/>
                <w:sz w:val="18"/>
              </w:rPr>
              <w:t>INFORMAÇÃO</w:t>
            </w:r>
            <w:r>
              <w:rPr>
                <w:rFonts w:ascii="Times New Roman" w:hAnsi="Times New Roman"/>
                <w:spacing w:val="-7"/>
                <w:sz w:val="18"/>
              </w:rPr>
              <w:t> </w:t>
            </w:r>
            <w:r>
              <w:rPr>
                <w:rFonts w:ascii="Times New Roman" w:hAnsi="Times New Roman"/>
                <w:sz w:val="18"/>
              </w:rPr>
              <w:t>S.A.</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Portugual</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9"/>
              <w:jc w:val="left"/>
              <w:rPr>
                <w:rFonts w:ascii="Times New Roman" w:hAnsi="Times New Roman" w:cs="Times New Roman" w:eastAsia="Times New Roman" w:hint="default"/>
                <w:sz w:val="18"/>
                <w:szCs w:val="18"/>
              </w:rPr>
            </w:pPr>
            <w:r>
              <w:rPr>
                <w:rFonts w:ascii="Times New Roman"/>
                <w:sz w:val="18"/>
              </w:rPr>
              <w:t>Portugua l</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w:t>
            </w:r>
            <w:r>
              <w:rPr>
                <w:rFonts w:ascii="Times New Roman"/>
                <w:spacing w:val="-5"/>
                <w:sz w:val="18"/>
              </w:rPr>
              <w:t> </w:t>
            </w:r>
            <w:r>
              <w:rPr>
                <w:rFonts w:ascii="Times New Roman"/>
                <w:sz w:val="18"/>
              </w:rPr>
              <w:t>GmbH</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奥地利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奥地利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Snapshot Poland</w:t>
            </w:r>
            <w:r>
              <w:rPr>
                <w:rFonts w:ascii="Times New Roman"/>
                <w:spacing w:val="-7"/>
                <w:sz w:val="18"/>
              </w:rPr>
              <w:t> </w:t>
            </w:r>
            <w:r>
              <w:rPr>
                <w:rFonts w:ascii="Times New Roman"/>
                <w:sz w:val="18"/>
              </w:rPr>
              <w:t>sp.z.o.o</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波兰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波兰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酒店数据服务业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Straight</w:t>
            </w:r>
            <w:r>
              <w:rPr>
                <w:rFonts w:ascii="Times New Roman"/>
                <w:spacing w:val="-19"/>
                <w:sz w:val="18"/>
              </w:rPr>
              <w:t> </w:t>
            </w:r>
            <w:r>
              <w:rPr>
                <w:rFonts w:ascii="Times New Roman"/>
                <w:sz w:val="18"/>
              </w:rPr>
              <w:t>Shots.r.o</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捷克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捷克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酒店数据服务业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Snapshot Deutschland</w:t>
            </w:r>
            <w:r>
              <w:rPr>
                <w:rFonts w:ascii="Times New Roman"/>
                <w:spacing w:val="-9"/>
                <w:sz w:val="18"/>
              </w:rPr>
              <w:t> </w:t>
            </w:r>
            <w:r>
              <w:rPr>
                <w:rFonts w:ascii="Times New Roman"/>
                <w:sz w:val="18"/>
              </w:rPr>
              <w:t>GmbH</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酒店数据服务业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w:t>
            </w:r>
            <w:r>
              <w:rPr>
                <w:rFonts w:ascii="Times New Roman"/>
                <w:spacing w:val="-3"/>
                <w:sz w:val="18"/>
              </w:rPr>
              <w:t> </w:t>
            </w:r>
            <w:r>
              <w:rPr>
                <w:rFonts w:ascii="Times New Roman"/>
                <w:sz w:val="18"/>
              </w:rPr>
              <w:t>Poland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波兰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波兰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酒店数据服务业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Deutschland</w:t>
            </w:r>
            <w:r>
              <w:rPr>
                <w:rFonts w:ascii="Times New Roman"/>
                <w:spacing w:val="-7"/>
                <w:sz w:val="18"/>
              </w:rPr>
              <w:t> </w:t>
            </w:r>
            <w:r>
              <w:rPr>
                <w:rFonts w:ascii="Times New Roman"/>
                <w:sz w:val="18"/>
              </w:rPr>
              <w:t>GmbH</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酒店数据服务业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Review Rank</w:t>
            </w:r>
            <w:r>
              <w:rPr>
                <w:rFonts w:ascii="Times New Roman"/>
                <w:spacing w:val="-8"/>
                <w:sz w:val="18"/>
              </w:rPr>
              <w:t> </w:t>
            </w:r>
            <w:r>
              <w:rPr>
                <w:rFonts w:ascii="Times New Roman"/>
                <w:sz w:val="18"/>
              </w:rPr>
              <w:t>S.A.</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西班牙</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西班牙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酒店业数据分析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82.90%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Review Pro</w:t>
            </w:r>
            <w:r>
              <w:rPr>
                <w:rFonts w:ascii="Times New Roman"/>
                <w:spacing w:val="-5"/>
                <w:sz w:val="18"/>
              </w:rPr>
              <w:t> </w:t>
            </w:r>
            <w:r>
              <w:rPr>
                <w:rFonts w:ascii="Times New Roman"/>
                <w:sz w:val="18"/>
              </w:rPr>
              <w:t>Inc</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酒店业数据分析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82.90%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Review ProAsia Pacific Pte</w:t>
            </w:r>
            <w:r>
              <w:rPr>
                <w:rFonts w:ascii="Times New Roman"/>
                <w:spacing w:val="-8"/>
                <w:sz w:val="18"/>
              </w:rPr>
              <w:t> </w:t>
            </w:r>
            <w:r>
              <w:rPr>
                <w:rFonts w:ascii="Times New Roman"/>
                <w:sz w:val="18"/>
              </w:rPr>
              <w:t>Ltd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酒店业数据分析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82.90%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Galasys</w:t>
            </w:r>
            <w:r>
              <w:rPr>
                <w:rFonts w:ascii="Times New Roman"/>
                <w:spacing w:val="-4"/>
                <w:sz w:val="18"/>
              </w:rPr>
              <w:t> </w:t>
            </w:r>
            <w:r>
              <w:rPr>
                <w:rFonts w:ascii="Times New Roman"/>
                <w:sz w:val="18"/>
              </w:rPr>
              <w:t>Plc</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马来西 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84.83%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7"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Galasys Holdings</w:t>
            </w:r>
            <w:r>
              <w:rPr>
                <w:rFonts w:ascii="Times New Roman"/>
                <w:spacing w:val="-9"/>
                <w:sz w:val="18"/>
              </w:rPr>
              <w:t> </w:t>
            </w:r>
            <w:r>
              <w:rPr>
                <w:rFonts w:ascii="Times New Roman"/>
                <w:sz w:val="18"/>
              </w:rPr>
              <w:t>Ltd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58"/>
              <w:jc w:val="left"/>
              <w:rPr>
                <w:rFonts w:ascii="宋体" w:hAnsi="宋体" w:cs="宋体" w:eastAsia="宋体" w:hint="default"/>
                <w:sz w:val="18"/>
                <w:szCs w:val="18"/>
              </w:rPr>
            </w:pPr>
            <w:r>
              <w:rPr>
                <w:rFonts w:ascii="宋体" w:hAnsi="宋体" w:cs="宋体" w:eastAsia="宋体" w:hint="default"/>
                <w:sz w:val="18"/>
                <w:szCs w:val="18"/>
              </w:rPr>
              <w:t>英属维尔京群 岛</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2"/>
              <w:jc w:val="both"/>
              <w:rPr>
                <w:rFonts w:ascii="宋体" w:hAnsi="宋体" w:cs="宋体" w:eastAsia="宋体" w:hint="default"/>
                <w:sz w:val="18"/>
                <w:szCs w:val="18"/>
              </w:rPr>
            </w:pPr>
            <w:r>
              <w:rPr>
                <w:rFonts w:ascii="宋体" w:hAnsi="宋体" w:cs="宋体" w:eastAsia="宋体" w:hint="default"/>
                <w:sz w:val="18"/>
                <w:szCs w:val="18"/>
              </w:rPr>
              <w:t>英属维 尔京群 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84.83%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Galasys Solutions (MSC)</w:t>
            </w:r>
            <w:r>
              <w:rPr>
                <w:rFonts w:ascii="Times New Roman"/>
                <w:spacing w:val="-11"/>
                <w:sz w:val="18"/>
              </w:rPr>
              <w:t> </w:t>
            </w:r>
            <w:r>
              <w:rPr>
                <w:rFonts w:ascii="Times New Roman"/>
                <w:sz w:val="18"/>
              </w:rPr>
              <w:t>SdnBhd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马来西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84.83%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263"/>
        <w:gridCol w:w="1274"/>
        <w:gridCol w:w="708"/>
        <w:gridCol w:w="1702"/>
        <w:gridCol w:w="852"/>
        <w:gridCol w:w="850"/>
        <w:gridCol w:w="924"/>
      </w:tblGrid>
      <w:tr>
        <w:trPr>
          <w:trHeight w:val="362" w:hRule="exact"/>
        </w:trPr>
        <w:tc>
          <w:tcPr>
            <w:tcW w:w="326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亚</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Galasys Technologies (HK)</w:t>
            </w:r>
            <w:r>
              <w:rPr>
                <w:rFonts w:ascii="Times New Roman"/>
                <w:spacing w:val="-28"/>
                <w:sz w:val="18"/>
              </w:rPr>
              <w:t> </w:t>
            </w:r>
            <w:r>
              <w:rPr>
                <w:rFonts w:ascii="Times New Roman"/>
                <w:sz w:val="18"/>
              </w:rPr>
              <w:t>Limited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84.83%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5"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Galasys </w:t>
            </w:r>
            <w:r>
              <w:rPr>
                <w:rFonts w:ascii="Times New Roman"/>
                <w:spacing w:val="-3"/>
                <w:sz w:val="18"/>
              </w:rPr>
              <w:t>GLTSdn</w:t>
            </w:r>
            <w:r>
              <w:rPr>
                <w:rFonts w:ascii="Times New Roman"/>
                <w:spacing w:val="-4"/>
                <w:sz w:val="18"/>
              </w:rPr>
              <w:t> </w:t>
            </w:r>
            <w:r>
              <w:rPr>
                <w:rFonts w:ascii="Times New Roman"/>
                <w:sz w:val="18"/>
              </w:rPr>
              <w:t>Bhd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马来西 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84.83%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Galasys Solutions (UK)</w:t>
            </w:r>
            <w:r>
              <w:rPr>
                <w:rFonts w:ascii="Times New Roman"/>
                <w:spacing w:val="-12"/>
                <w:sz w:val="18"/>
              </w:rPr>
              <w:t> </w:t>
            </w:r>
            <w:r>
              <w:rPr>
                <w:rFonts w:ascii="Times New Roman"/>
                <w:sz w:val="18"/>
              </w:rPr>
              <w:t>Limited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84.83%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5"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ILogicSolutionsSdnBhd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马来西 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84.83%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银科环企软件（苏州）有限公司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84.83%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(US)</w:t>
            </w:r>
            <w:r>
              <w:rPr>
                <w:rFonts w:ascii="Times New Roman"/>
                <w:spacing w:val="-1"/>
                <w:sz w:val="18"/>
              </w:rPr>
              <w:t> </w:t>
            </w:r>
            <w:r>
              <w:rPr>
                <w:rFonts w:ascii="Times New Roman"/>
                <w:sz w:val="18"/>
              </w:rPr>
              <w:t>Inc</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Stayntouch</w:t>
            </w:r>
            <w:r>
              <w:rPr>
                <w:rFonts w:ascii="Times New Roman"/>
                <w:spacing w:val="-5"/>
                <w:sz w:val="18"/>
              </w:rPr>
              <w:t> </w:t>
            </w:r>
            <w:r>
              <w:rPr>
                <w:rFonts w:ascii="Times New Roman"/>
                <w:sz w:val="18"/>
              </w:rPr>
              <w:t>Inc</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Slovakia</w:t>
            </w:r>
            <w:r>
              <w:rPr>
                <w:rFonts w:ascii="Times New Roman"/>
                <w:spacing w:val="-16"/>
                <w:sz w:val="18"/>
              </w:rPr>
              <w:t> </w:t>
            </w:r>
            <w:r>
              <w:rPr>
                <w:rFonts w:ascii="Times New Roman"/>
                <w:sz w:val="18"/>
              </w:rPr>
              <w:t>s.r.o</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Slovakia</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Slovakia</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57" w:lineRule="auto" w:before="49"/>
        <w:ind w:left="152" w:right="697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无</w:t>
      </w:r>
    </w:p>
    <w:p>
      <w:pPr>
        <w:spacing w:line="360" w:lineRule="auto" w:before="29"/>
        <w:ind w:left="152" w:right="2834"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无</w:t>
      </w:r>
    </w:p>
    <w:p>
      <w:pPr>
        <w:spacing w:line="357" w:lineRule="auto" w:before="27"/>
        <w:ind w:left="152" w:right="6434" w:firstLine="0"/>
        <w:jc w:val="left"/>
        <w:rPr>
          <w:rFonts w:ascii="宋体" w:hAnsi="宋体" w:cs="宋体" w:eastAsia="宋体" w:hint="default"/>
          <w:sz w:val="18"/>
          <w:szCs w:val="18"/>
        </w:rPr>
      </w:pPr>
      <w:r>
        <w:rPr>
          <w:rFonts w:ascii="宋体" w:hAnsi="宋体" w:cs="宋体" w:eastAsia="宋体" w:hint="default"/>
          <w:sz w:val="18"/>
          <w:szCs w:val="18"/>
        </w:rPr>
        <w:t>对于纳入合并范围的重要的结构化主体，控制的依据： 无</w:t>
      </w:r>
    </w:p>
    <w:p>
      <w:pPr>
        <w:spacing w:line="357" w:lineRule="auto" w:before="29"/>
        <w:ind w:left="152" w:right="769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无</w:t>
      </w:r>
    </w:p>
    <w:p>
      <w:pPr>
        <w:spacing w:line="360" w:lineRule="auto" w:before="2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7"/>
        <w:spacing w:line="240" w:lineRule="auto"/>
        <w:ind w:right="11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上海正品贵德软件有限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-104,344.37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452,170.85</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北京宝库在线网络技术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-639,679.81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1,920,427.39</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北京石基昆仑软件有限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4,419,693.19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13,289,256.12</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深圳市思迅软件股份有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24,034,726.52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61,575,816.53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南京客至软件有限公司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-543,287.92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5,474,004.79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百望金锐科技有限公司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1,885,976.82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5,967,737.06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4" w:right="0"/>
              <w:jc w:val="left"/>
              <w:rPr>
                <w:rFonts w:ascii="Times New Roman" w:hAnsi="Times New Roman" w:cs="Times New Roman" w:eastAsia="Times New Roman" w:hint="default"/>
                <w:sz w:val="18"/>
                <w:szCs w:val="18"/>
              </w:rPr>
            </w:pPr>
            <w:r>
              <w:rPr>
                <w:rFonts w:ascii="Times New Roman"/>
                <w:sz w:val="18"/>
              </w:rPr>
              <w:t>Shiji Retail</w:t>
            </w:r>
            <w:r>
              <w:rPr>
                <w:rFonts w:ascii="Times New Roman"/>
                <w:spacing w:val="-7"/>
                <w:sz w:val="18"/>
              </w:rPr>
              <w:t> </w:t>
            </w:r>
            <w:r>
              <w:rPr>
                <w:rFonts w:ascii="Times New Roman"/>
                <w:sz w:val="18"/>
              </w:rPr>
              <w:t>Information</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54,931,651.34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463,456,401.10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36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Technology</w:t>
            </w:r>
            <w:r>
              <w:rPr>
                <w:rFonts w:ascii="Times New Roman"/>
                <w:spacing w:val="-19"/>
                <w:sz w:val="18"/>
              </w:rPr>
              <w:t> </w:t>
            </w:r>
            <w:r>
              <w:rPr>
                <w:rFonts w:ascii="Times New Roman"/>
                <w:sz w:val="18"/>
              </w:rPr>
              <w:t>Co.Ltd.</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Review Rank</w:t>
            </w:r>
            <w:r>
              <w:rPr>
                <w:rFonts w:ascii="Times New Roman"/>
                <w:spacing w:val="-8"/>
                <w:sz w:val="18"/>
              </w:rPr>
              <w:t> </w:t>
            </w:r>
            <w:r>
              <w:rPr>
                <w:rFonts w:ascii="Times New Roman"/>
                <w:sz w:val="18"/>
              </w:rPr>
              <w:t>S.A.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6" w:right="0"/>
              <w:jc w:val="left"/>
              <w:rPr>
                <w:rFonts w:ascii="Times New Roman" w:hAnsi="Times New Roman" w:cs="Times New Roman" w:eastAsia="Times New Roman" w:hint="default"/>
                <w:sz w:val="18"/>
                <w:szCs w:val="18"/>
              </w:rPr>
            </w:pPr>
            <w:r>
              <w:rPr>
                <w:rFonts w:ascii="Times New Roman"/>
                <w:sz w:val="18"/>
              </w:rPr>
              <w:t>-1,408,684.46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4" w:right="0"/>
              <w:jc w:val="left"/>
              <w:rPr>
                <w:rFonts w:ascii="Times New Roman" w:hAnsi="Times New Roman" w:cs="Times New Roman" w:eastAsia="Times New Roman" w:hint="default"/>
                <w:sz w:val="18"/>
                <w:szCs w:val="18"/>
              </w:rPr>
            </w:pPr>
            <w:r>
              <w:rPr>
                <w:rFonts w:ascii="Times New Roman"/>
                <w:sz w:val="18"/>
              </w:rPr>
              <w:t>28,308,411.30</w:t>
            </w:r>
          </w:p>
        </w:tc>
      </w:tr>
    </w:tbl>
    <w:p>
      <w:pPr>
        <w:spacing w:line="360" w:lineRule="auto" w:before="49"/>
        <w:ind w:left="152" w:right="643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无</w:t>
      </w:r>
    </w:p>
    <w:p>
      <w:pPr>
        <w:spacing w:line="357" w:lineRule="auto" w:before="27"/>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5"/>
        <w:gridCol w:w="737"/>
      </w:tblGrid>
      <w:tr>
        <w:trPr>
          <w:trHeight w:val="402"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293" w:right="41" w:hanging="210"/>
              <w:jc w:val="left"/>
              <w:rPr>
                <w:rFonts w:ascii="宋体" w:hAnsi="宋体" w:cs="宋体" w:eastAsia="宋体" w:hint="default"/>
                <w:sz w:val="18"/>
                <w:szCs w:val="18"/>
              </w:rPr>
            </w:pPr>
            <w:r>
              <w:rPr>
                <w:rFonts w:ascii="宋体" w:hAnsi="宋体" w:cs="宋体" w:eastAsia="宋体" w:hint="default"/>
                <w:spacing w:val="-31"/>
                <w:sz w:val="18"/>
                <w:szCs w:val="18"/>
              </w:rPr>
              <w:t>子公司名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 w:right="0"/>
              <w:jc w:val="center"/>
              <w:rPr>
                <w:rFonts w:ascii="宋体" w:hAnsi="宋体" w:cs="宋体" w:eastAsia="宋体" w:hint="default"/>
                <w:sz w:val="18"/>
                <w:szCs w:val="18"/>
              </w:rPr>
            </w:pPr>
            <w:r>
              <w:rPr>
                <w:rFonts w:ascii="宋体" w:hAnsi="宋体" w:cs="宋体" w:eastAsia="宋体" w:hint="default"/>
                <w:spacing w:val="-31"/>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 w:right="0"/>
              <w:jc w:val="center"/>
              <w:rPr>
                <w:rFonts w:ascii="宋体" w:hAnsi="宋体" w:cs="宋体" w:eastAsia="宋体" w:hint="default"/>
                <w:sz w:val="18"/>
                <w:szCs w:val="18"/>
              </w:rPr>
            </w:pPr>
            <w:r>
              <w:rPr>
                <w:rFonts w:ascii="宋体" w:hAnsi="宋体" w:cs="宋体" w:eastAsia="宋体" w:hint="default"/>
                <w:spacing w:val="-31"/>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pacing w:val="-31"/>
                <w:sz w:val="18"/>
                <w:szCs w:val="18"/>
              </w:rPr>
              <w:t>流动资产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92" w:right="41" w:hanging="209"/>
              <w:jc w:val="left"/>
              <w:rPr>
                <w:rFonts w:ascii="宋体" w:hAnsi="宋体" w:cs="宋体" w:eastAsia="宋体" w:hint="default"/>
                <w:sz w:val="18"/>
                <w:szCs w:val="18"/>
              </w:rPr>
            </w:pPr>
            <w:r>
              <w:rPr>
                <w:rFonts w:ascii="宋体" w:hAnsi="宋体" w:cs="宋体" w:eastAsia="宋体" w:hint="default"/>
                <w:spacing w:val="-31"/>
                <w:sz w:val="18"/>
                <w:szCs w:val="18"/>
              </w:rPr>
              <w:t>非流动资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pacing w:val="-31"/>
                <w:sz w:val="18"/>
                <w:szCs w:val="18"/>
              </w:rPr>
              <w:t>资产合计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pacing w:val="-31"/>
                <w:sz w:val="18"/>
                <w:szCs w:val="18"/>
              </w:rPr>
              <w:t>流动负债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92" w:right="41" w:hanging="209"/>
              <w:jc w:val="left"/>
              <w:rPr>
                <w:rFonts w:ascii="宋体" w:hAnsi="宋体" w:cs="宋体" w:eastAsia="宋体" w:hint="default"/>
                <w:sz w:val="18"/>
                <w:szCs w:val="18"/>
              </w:rPr>
            </w:pPr>
            <w:r>
              <w:rPr>
                <w:rFonts w:ascii="宋体" w:hAnsi="宋体" w:cs="宋体" w:eastAsia="宋体" w:hint="default"/>
                <w:spacing w:val="-31"/>
                <w:sz w:val="18"/>
                <w:szCs w:val="18"/>
              </w:rPr>
              <w:t>非流动负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pacing w:val="-31"/>
                <w:sz w:val="18"/>
                <w:szCs w:val="18"/>
              </w:rPr>
              <w:t>负债合计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pacing w:val="-31"/>
                <w:sz w:val="18"/>
                <w:szCs w:val="18"/>
              </w:rPr>
              <w:t>流动资产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92" w:right="38" w:hanging="209"/>
              <w:jc w:val="left"/>
              <w:rPr>
                <w:rFonts w:ascii="宋体" w:hAnsi="宋体" w:cs="宋体" w:eastAsia="宋体" w:hint="default"/>
                <w:sz w:val="18"/>
                <w:szCs w:val="18"/>
              </w:rPr>
            </w:pPr>
            <w:r>
              <w:rPr>
                <w:rFonts w:ascii="宋体" w:hAnsi="宋体" w:cs="宋体" w:eastAsia="宋体" w:hint="default"/>
                <w:spacing w:val="-31"/>
                <w:sz w:val="18"/>
                <w:szCs w:val="18"/>
              </w:rPr>
              <w:t>非流动资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pacing w:val="-31"/>
                <w:sz w:val="18"/>
                <w:szCs w:val="18"/>
              </w:rPr>
              <w:t>资产合计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pacing w:val="-31"/>
                <w:sz w:val="18"/>
                <w:szCs w:val="18"/>
              </w:rPr>
              <w:t>流动负债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93" w:right="39" w:hanging="210"/>
              <w:jc w:val="left"/>
              <w:rPr>
                <w:rFonts w:ascii="宋体" w:hAnsi="宋体" w:cs="宋体" w:eastAsia="宋体" w:hint="default"/>
                <w:sz w:val="18"/>
                <w:szCs w:val="18"/>
              </w:rPr>
            </w:pPr>
            <w:r>
              <w:rPr>
                <w:rFonts w:ascii="宋体" w:hAnsi="宋体" w:cs="宋体" w:eastAsia="宋体" w:hint="default"/>
                <w:spacing w:val="-31"/>
                <w:sz w:val="18"/>
                <w:szCs w:val="18"/>
              </w:rPr>
              <w:t>非流动负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pacing w:val="-31"/>
                <w:sz w:val="18"/>
                <w:szCs w:val="18"/>
              </w:rPr>
              <w:t>负债合计</w:t>
            </w:r>
          </w:p>
        </w:tc>
      </w:tr>
      <w:tr>
        <w:trPr>
          <w:trHeight w:val="102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1"/>
              <w:jc w:val="both"/>
              <w:rPr>
                <w:rFonts w:ascii="宋体" w:hAnsi="宋体" w:cs="宋体" w:eastAsia="宋体" w:hint="default"/>
                <w:sz w:val="18"/>
                <w:szCs w:val="18"/>
              </w:rPr>
            </w:pPr>
            <w:r>
              <w:rPr>
                <w:rFonts w:ascii="宋体" w:hAnsi="宋体" w:cs="宋体" w:eastAsia="宋体" w:hint="default"/>
                <w:spacing w:val="-31"/>
                <w:sz w:val="18"/>
                <w:szCs w:val="18"/>
              </w:rPr>
              <w:t>上海正品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贵德软件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有限公司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6,150,244.1</w:t>
            </w:r>
          </w:p>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74,220.02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6,224,464.2</w:t>
            </w:r>
          </w:p>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4,451,245.1</w:t>
            </w:r>
          </w:p>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4,451,245.1</w:t>
            </w:r>
          </w:p>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5,559,413.1</w:t>
            </w:r>
          </w:p>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388,406.82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5,947,819.9</w:t>
            </w:r>
          </w:p>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3,765,407.3</w:t>
            </w:r>
          </w:p>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3,765,407.3</w:t>
            </w:r>
          </w:p>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1"/>
              <w:jc w:val="both"/>
              <w:rPr>
                <w:rFonts w:ascii="宋体" w:hAnsi="宋体" w:cs="宋体" w:eastAsia="宋体" w:hint="default"/>
                <w:sz w:val="18"/>
                <w:szCs w:val="18"/>
              </w:rPr>
            </w:pPr>
            <w:r>
              <w:rPr>
                <w:rFonts w:ascii="宋体" w:hAnsi="宋体" w:cs="宋体" w:eastAsia="宋体" w:hint="default"/>
                <w:spacing w:val="-31"/>
                <w:sz w:val="18"/>
                <w:szCs w:val="18"/>
              </w:rPr>
              <w:t>北京宝库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在线网络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技术有限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公司</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5,923,725.0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13,764,174.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pacing w:val="-21"/>
                <w:w w:val="95"/>
                <w:sz w:val="18"/>
              </w:rPr>
              <w:t>46</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19,687,899.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21"/>
                <w:w w:val="95"/>
                <w:sz w:val="18"/>
              </w:rPr>
              <w:t>50</w:t>
            </w:r>
            <w:r>
              <w:rPr>
                <w:rFonts w:ascii="Times New Roman"/>
                <w:w w:val="95"/>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5,301,211.4</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1,583,838.7</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6,885,050.2</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1"/>
              <w:jc w:val="both"/>
              <w:rPr>
                <w:rFonts w:ascii="宋体" w:hAnsi="宋体" w:cs="宋体" w:eastAsia="宋体" w:hint="default"/>
                <w:sz w:val="18"/>
                <w:szCs w:val="18"/>
              </w:rPr>
            </w:pPr>
            <w:r>
              <w:rPr>
                <w:rFonts w:ascii="宋体" w:hAnsi="宋体" w:cs="宋体" w:eastAsia="宋体" w:hint="default"/>
                <w:spacing w:val="-31"/>
                <w:sz w:val="18"/>
                <w:szCs w:val="18"/>
              </w:rPr>
              <w:t>北京石基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昆仑软件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有限公司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118,474,535</w:t>
            </w:r>
          </w:p>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4"/>
                <w:sz w:val="18"/>
              </w:rPr>
              <w:t>.90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1,225,149.5</w:t>
            </w:r>
          </w:p>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20"/>
                <w:sz w:val="18"/>
              </w:rPr>
              <w:t>119,699,685</w:t>
            </w:r>
          </w:p>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4"/>
                <w:sz w:val="18"/>
              </w:rPr>
              <w:t>.40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44,192,548.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21"/>
                <w:w w:val="95"/>
                <w:sz w:val="18"/>
              </w:rPr>
              <w:t>36</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44,192,548.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21"/>
                <w:w w:val="95"/>
                <w:sz w:val="18"/>
              </w:rPr>
              <w:t>36</w:t>
            </w:r>
            <w:r>
              <w:rPr>
                <w:rFonts w:ascii="Times New Roman"/>
                <w:w w:val="95"/>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89,267,479.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21"/>
                <w:w w:val="95"/>
                <w:sz w:val="18"/>
              </w:rPr>
              <w:t>69</w:t>
            </w:r>
            <w:r>
              <w:rPr>
                <w:rFonts w:ascii="Times New Roman"/>
                <w:w w:val="95"/>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944,609.12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90,212,088.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pacing w:val="-21"/>
                <w:w w:val="95"/>
                <w:sz w:val="18"/>
              </w:rPr>
              <w:t>81</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39,816,844.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21"/>
                <w:w w:val="95"/>
                <w:sz w:val="18"/>
              </w:rPr>
              <w:t>89</w:t>
            </w:r>
            <w:r>
              <w:rPr>
                <w:rFonts w:ascii="Times New Roman"/>
                <w:w w:val="95"/>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39,816,844.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pacing w:val="-21"/>
                <w:w w:val="95"/>
                <w:sz w:val="18"/>
              </w:rPr>
              <w:t>89</w:t>
            </w:r>
            <w:r>
              <w:rPr>
                <w:rFonts w:ascii="Times New Roman"/>
                <w:w w:val="95"/>
                <w:sz w:val="18"/>
              </w:rPr>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1"/>
              <w:jc w:val="both"/>
              <w:rPr>
                <w:rFonts w:ascii="宋体" w:hAnsi="宋体" w:cs="宋体" w:eastAsia="宋体" w:hint="default"/>
                <w:sz w:val="18"/>
                <w:szCs w:val="18"/>
              </w:rPr>
            </w:pPr>
            <w:r>
              <w:rPr>
                <w:rFonts w:ascii="宋体" w:hAnsi="宋体" w:cs="宋体" w:eastAsia="宋体" w:hint="default"/>
                <w:spacing w:val="-31"/>
                <w:sz w:val="18"/>
                <w:szCs w:val="18"/>
              </w:rPr>
              <w:t>深圳市思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迅软件股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份有限公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224,237,179</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4"/>
                <w:sz w:val="18"/>
              </w:rPr>
              <w:t>.37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61,666,483.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pacing w:val="-21"/>
                <w:w w:val="95"/>
                <w:sz w:val="18"/>
              </w:rPr>
              <w:t>09</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285,903,662</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pacing w:val="-14"/>
                <w:sz w:val="18"/>
              </w:rPr>
              <w:t>.46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50,220,682.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1"/>
                <w:w w:val="95"/>
                <w:sz w:val="18"/>
              </w:rPr>
              <w:t>81</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399,231.25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50,619,914.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1"/>
                <w:w w:val="95"/>
                <w:sz w:val="18"/>
              </w:rPr>
              <w:t>06</w:t>
            </w:r>
            <w:r>
              <w:rPr>
                <w:rFonts w:ascii="Times New Roman"/>
                <w:w w:val="95"/>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pacing w:val="-19"/>
                <w:sz w:val="18"/>
              </w:rPr>
              <w:t>182,179,74</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pacing w:val="-16"/>
                <w:sz w:val="18"/>
              </w:rPr>
              <w:t>8.91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56,073,588.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1"/>
                <w:w w:val="95"/>
                <w:sz w:val="18"/>
              </w:rPr>
              <w:t>64</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pacing w:val="-19"/>
                <w:sz w:val="18"/>
              </w:rPr>
              <w:t>238,253,33</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pacing w:val="-16"/>
                <w:sz w:val="18"/>
              </w:rPr>
              <w:t>7.55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40,669,626.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1"/>
                <w:w w:val="95"/>
                <w:sz w:val="18"/>
              </w:rPr>
              <w:t>75</w:t>
            </w:r>
            <w:r>
              <w:rPr>
                <w:rFonts w:ascii="Times New Roman"/>
                <w:w w:val="95"/>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40,669,626.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pacing w:val="-21"/>
                <w:w w:val="95"/>
                <w:sz w:val="18"/>
              </w:rPr>
              <w:t>75</w:t>
            </w:r>
            <w:r>
              <w:rPr>
                <w:rFonts w:ascii="Times New Roman"/>
                <w:w w:val="95"/>
                <w:sz w:val="18"/>
              </w:rPr>
            </w:r>
          </w:p>
        </w:tc>
      </w:tr>
      <w:tr>
        <w:trPr>
          <w:trHeight w:val="102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1"/>
              <w:jc w:val="both"/>
              <w:rPr>
                <w:rFonts w:ascii="宋体" w:hAnsi="宋体" w:cs="宋体" w:eastAsia="宋体" w:hint="default"/>
                <w:sz w:val="18"/>
                <w:szCs w:val="18"/>
              </w:rPr>
            </w:pPr>
            <w:r>
              <w:rPr>
                <w:rFonts w:ascii="宋体" w:hAnsi="宋体" w:cs="宋体" w:eastAsia="宋体" w:hint="default"/>
                <w:spacing w:val="-31"/>
                <w:sz w:val="18"/>
                <w:szCs w:val="18"/>
              </w:rPr>
              <w:t>南京客至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软件有限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公司</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11,781,963.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21"/>
                <w:w w:val="95"/>
                <w:sz w:val="18"/>
              </w:rPr>
              <w:t>26</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2,068,574.9</w:t>
            </w:r>
          </w:p>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13,850,538.</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21"/>
                <w:w w:val="95"/>
                <w:sz w:val="18"/>
              </w:rPr>
              <w:t>19</w:t>
            </w:r>
            <w:r>
              <w:rPr>
                <w:rFonts w:ascii="Times New Roman"/>
                <w:w w:val="95"/>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1,286,851.8</w:t>
            </w:r>
          </w:p>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399,231.25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1,686,083.1</w:t>
            </w:r>
          </w:p>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1"/>
              <w:jc w:val="both"/>
              <w:rPr>
                <w:rFonts w:ascii="宋体" w:hAnsi="宋体" w:cs="宋体" w:eastAsia="宋体" w:hint="default"/>
                <w:sz w:val="18"/>
                <w:szCs w:val="18"/>
              </w:rPr>
            </w:pPr>
            <w:r>
              <w:rPr>
                <w:rFonts w:ascii="宋体" w:hAnsi="宋体" w:cs="宋体" w:eastAsia="宋体" w:hint="default"/>
                <w:spacing w:val="-31"/>
                <w:sz w:val="18"/>
                <w:szCs w:val="18"/>
              </w:rPr>
              <w:t>百望金税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科技有限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公司</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16,706,516.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1"/>
                <w:w w:val="95"/>
                <w:sz w:val="18"/>
              </w:rPr>
              <w:t>79</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36,822.46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16,743,339.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21"/>
                <w:w w:val="95"/>
                <w:sz w:val="18"/>
              </w:rPr>
              <w:t>25</w:t>
            </w:r>
            <w:r>
              <w:rPr>
                <w:rFonts w:ascii="Times New Roman"/>
                <w:w w:val="95"/>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1,823,996.5</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1,823,996.5</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11,523,716.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1"/>
                <w:w w:val="95"/>
                <w:sz w:val="18"/>
              </w:rPr>
              <w:t>28</w:t>
            </w:r>
            <w:r>
              <w:rPr>
                <w:rFonts w:ascii="Times New Roman"/>
                <w:w w:val="95"/>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43,089.47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11,566,805.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pacing w:val="-21"/>
                <w:w w:val="95"/>
                <w:sz w:val="18"/>
              </w:rPr>
              <w:t>75</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1,362,405.1</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1,362,405.1</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4</w:t>
            </w:r>
          </w:p>
        </w:tc>
      </w:tr>
      <w:tr>
        <w:trPr>
          <w:trHeight w:val="71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71"/>
              <w:jc w:val="left"/>
              <w:rPr>
                <w:rFonts w:ascii="Times New Roman" w:hAnsi="Times New Roman" w:cs="Times New Roman" w:eastAsia="Times New Roman" w:hint="default"/>
                <w:sz w:val="18"/>
                <w:szCs w:val="18"/>
              </w:rPr>
            </w:pPr>
            <w:r>
              <w:rPr>
                <w:rFonts w:ascii="Times New Roman"/>
                <w:spacing w:val="-18"/>
                <w:sz w:val="18"/>
              </w:rPr>
              <w:t>SnapshotG</w:t>
            </w:r>
            <w:r>
              <w:rPr>
                <w:rFonts w:ascii="Times New Roman"/>
                <w:w w:val="99"/>
                <w:sz w:val="18"/>
              </w:rPr>
              <w:t> </w:t>
            </w:r>
            <w:r>
              <w:rPr>
                <w:rFonts w:ascii="Times New Roman"/>
                <w:spacing w:val="-14"/>
                <w:sz w:val="18"/>
              </w:rPr>
              <w:t>mbH</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9"/>
                <w:sz w:val="18"/>
              </w:rPr>
              <w:t>44,021,498.</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21"/>
                <w:w w:val="95"/>
                <w:sz w:val="18"/>
              </w:rPr>
              <w:t>23</w:t>
            </w:r>
            <w:r>
              <w:rPr>
                <w:rFonts w:ascii="Times New Roman"/>
                <w:w w:val="95"/>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9"/>
                <w:sz w:val="18"/>
              </w:rPr>
              <w:t>78,339,139.</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21"/>
                <w:w w:val="95"/>
                <w:sz w:val="18"/>
              </w:rPr>
              <w:t>64</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pacing w:val="-19"/>
                <w:sz w:val="18"/>
              </w:rPr>
              <w:t>122,360,63</w:t>
            </w:r>
          </w:p>
          <w:p>
            <w:pPr>
              <w:pStyle w:val="TableParagraph"/>
              <w:spacing w:line="240" w:lineRule="auto" w:before="103"/>
              <w:ind w:left="467" w:right="0"/>
              <w:jc w:val="left"/>
              <w:rPr>
                <w:rFonts w:ascii="Times New Roman" w:hAnsi="Times New Roman" w:cs="Times New Roman" w:eastAsia="Times New Roman" w:hint="default"/>
                <w:sz w:val="18"/>
                <w:szCs w:val="18"/>
              </w:rPr>
            </w:pPr>
            <w:r>
              <w:rPr>
                <w:rFonts w:ascii="Times New Roman"/>
                <w:spacing w:val="-16"/>
                <w:sz w:val="18"/>
              </w:rPr>
              <w:t>7.87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9"/>
                <w:sz w:val="18"/>
              </w:rPr>
              <w:t>7,495,092.5</w:t>
            </w:r>
          </w:p>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9"/>
                <w:sz w:val="18"/>
              </w:rPr>
              <w:t>7,495,092.5</w:t>
            </w:r>
          </w:p>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6</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4"/>
              <w:jc w:val="left"/>
              <w:rPr>
                <w:rFonts w:ascii="Times New Roman" w:hAnsi="Times New Roman" w:cs="Times New Roman" w:eastAsia="Times New Roman" w:hint="default"/>
                <w:sz w:val="18"/>
                <w:szCs w:val="18"/>
              </w:rPr>
            </w:pPr>
            <w:r>
              <w:rPr>
                <w:rFonts w:ascii="Times New Roman"/>
                <w:spacing w:val="-16"/>
                <w:sz w:val="18"/>
              </w:rPr>
              <w:t>ACprojects</w:t>
            </w:r>
            <w:r>
              <w:rPr>
                <w:rFonts w:ascii="Times New Roman"/>
                <w:spacing w:val="-39"/>
                <w:sz w:val="18"/>
              </w:rPr>
              <w:t> </w:t>
            </w:r>
            <w:r>
              <w:rPr>
                <w:rFonts w:ascii="Times New Roman"/>
                <w:spacing w:val="-39"/>
                <w:sz w:val="18"/>
              </w:rPr>
            </w:r>
            <w:r>
              <w:rPr>
                <w:rFonts w:ascii="Times New Roman"/>
                <w:spacing w:val="-16"/>
                <w:sz w:val="18"/>
              </w:rPr>
              <w:t>GmbH</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24,490,340.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1"/>
                <w:w w:val="95"/>
                <w:sz w:val="18"/>
              </w:rPr>
              <w:t>71</w:t>
            </w:r>
            <w:r>
              <w:rPr>
                <w:rFonts w:ascii="Times New Roman"/>
                <w:w w:val="95"/>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pacing w:val="-19"/>
                <w:sz w:val="18"/>
              </w:rPr>
              <w:t>140,415,53</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pacing w:val="-16"/>
                <w:sz w:val="18"/>
              </w:rPr>
              <w:t>4.87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pacing w:val="-19"/>
                <w:sz w:val="18"/>
              </w:rPr>
              <w:t>164,905,87</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pacing w:val="-16"/>
                <w:sz w:val="18"/>
              </w:rPr>
              <w:t>5.58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8,016,655.2</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8,016,655.2</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6</w:t>
            </w:r>
          </w:p>
        </w:tc>
      </w:tr>
      <w:tr>
        <w:trPr>
          <w:trHeight w:val="98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2"/>
              <w:jc w:val="both"/>
              <w:rPr>
                <w:rFonts w:ascii="Times New Roman" w:hAnsi="Times New Roman" w:cs="Times New Roman" w:eastAsia="Times New Roman" w:hint="default"/>
                <w:sz w:val="18"/>
                <w:szCs w:val="18"/>
              </w:rPr>
            </w:pPr>
            <w:r>
              <w:rPr>
                <w:rFonts w:ascii="Times New Roman"/>
                <w:spacing w:val="-19"/>
                <w:sz w:val="18"/>
              </w:rPr>
              <w:t>ShijiRetailIn</w:t>
            </w:r>
            <w:r>
              <w:rPr>
                <w:rFonts w:ascii="Times New Roman"/>
                <w:spacing w:val="-43"/>
                <w:sz w:val="18"/>
              </w:rPr>
              <w:t> </w:t>
            </w:r>
            <w:r>
              <w:rPr>
                <w:rFonts w:ascii="Times New Roman"/>
                <w:spacing w:val="-43"/>
                <w:sz w:val="18"/>
              </w:rPr>
            </w:r>
            <w:r>
              <w:rPr>
                <w:rFonts w:ascii="Times New Roman"/>
                <w:spacing w:val="-20"/>
                <w:sz w:val="18"/>
              </w:rPr>
              <w:t>formationTe</w:t>
            </w:r>
            <w:r>
              <w:rPr>
                <w:rFonts w:ascii="Times New Roman"/>
                <w:spacing w:val="-39"/>
                <w:sz w:val="18"/>
              </w:rPr>
              <w:t> </w:t>
            </w:r>
            <w:r>
              <w:rPr>
                <w:rFonts w:ascii="Times New Roman"/>
                <w:spacing w:val="-39"/>
                <w:sz w:val="18"/>
              </w:rPr>
            </w:r>
            <w:r>
              <w:rPr>
                <w:rFonts w:ascii="Times New Roman"/>
                <w:spacing w:val="-18"/>
                <w:sz w:val="18"/>
              </w:rPr>
              <w:t>chnology</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pacing w:val="-19"/>
                <w:sz w:val="18"/>
              </w:rPr>
              <w:t>1,171,907,4</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pacing w:val="-17"/>
                <w:sz w:val="18"/>
              </w:rPr>
              <w:t>53.80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853,857,098</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4"/>
                <w:sz w:val="18"/>
              </w:rPr>
              <w:t>.88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pacing w:val="-19"/>
                <w:sz w:val="18"/>
              </w:rPr>
              <w:t>2,025,764,5</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pacing w:val="-17"/>
                <w:sz w:val="18"/>
              </w:rPr>
              <w:t>52.68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809,564,098</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4"/>
                <w:sz w:val="18"/>
              </w:rPr>
              <w:t>.87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1,183,616.6</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pacing w:val="-19"/>
                <w:sz w:val="18"/>
              </w:rPr>
              <w:t>810,747,71</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pacing w:val="-16"/>
                <w:sz w:val="18"/>
              </w:rPr>
              <w:t>5.54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16"/>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5"/>
        <w:gridCol w:w="737"/>
      </w:tblGrid>
      <w:tr>
        <w:trPr>
          <w:trHeight w:val="36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pacing w:val="-18"/>
                <w:sz w:val="18"/>
              </w:rPr>
              <w:t>Co.Ltd.</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1"/>
              <w:jc w:val="both"/>
              <w:rPr>
                <w:rFonts w:ascii="宋体" w:hAnsi="宋体" w:cs="宋体" w:eastAsia="宋体" w:hint="default"/>
                <w:sz w:val="18"/>
                <w:szCs w:val="18"/>
              </w:rPr>
            </w:pPr>
            <w:r>
              <w:rPr>
                <w:rFonts w:ascii="宋体" w:hAnsi="宋体" w:cs="宋体" w:eastAsia="宋体" w:hint="default"/>
                <w:spacing w:val="-31"/>
                <w:sz w:val="18"/>
                <w:szCs w:val="18"/>
              </w:rPr>
              <w:t>上海时运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信息技术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有限公司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63,888,633.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1"/>
                <w:w w:val="95"/>
                <w:sz w:val="18"/>
              </w:rPr>
              <w:t>87</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117,180,944</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4"/>
                <w:sz w:val="18"/>
              </w:rPr>
              <w:t>.51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181,069,578</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pacing w:val="-14"/>
                <w:sz w:val="18"/>
              </w:rPr>
              <w:t>.38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34,672,773.</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26"/>
                <w:w w:val="95"/>
                <w:sz w:val="18"/>
              </w:rPr>
              <w:t>11</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196,102.46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34,868,875.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1"/>
                <w:w w:val="95"/>
                <w:sz w:val="18"/>
              </w:rPr>
              <w:t>57</w:t>
            </w:r>
            <w:r>
              <w:rPr>
                <w:rFonts w:ascii="Times New Roman"/>
                <w:w w:val="95"/>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8,873,923.0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pacing w:val="-19"/>
                <w:sz w:val="18"/>
              </w:rPr>
              <w:t>55,460.81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8,929,383.8</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pacing w:val="-19"/>
                <w:sz w:val="18"/>
              </w:rPr>
              <w:t>887,842.07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pacing w:val="-19"/>
                <w:sz w:val="18"/>
              </w:rPr>
              <w:t>887,842.07</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39"/>
              <w:jc w:val="left"/>
              <w:rPr>
                <w:rFonts w:ascii="Times New Roman" w:hAnsi="Times New Roman" w:cs="Times New Roman" w:eastAsia="Times New Roman" w:hint="default"/>
                <w:sz w:val="18"/>
                <w:szCs w:val="18"/>
              </w:rPr>
            </w:pPr>
            <w:r>
              <w:rPr>
                <w:rFonts w:ascii="Times New Roman"/>
                <w:spacing w:val="-17"/>
                <w:sz w:val="18"/>
              </w:rPr>
              <w:t>Review</w:t>
            </w:r>
            <w:r>
              <w:rPr>
                <w:rFonts w:ascii="Times New Roman"/>
                <w:w w:val="99"/>
                <w:sz w:val="18"/>
              </w:rPr>
              <w:t> </w:t>
            </w:r>
            <w:r>
              <w:rPr>
                <w:rFonts w:ascii="Times New Roman"/>
                <w:spacing w:val="-14"/>
                <w:sz w:val="18"/>
              </w:rPr>
              <w:t>RankS.A</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63,888,633.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1"/>
                <w:w w:val="95"/>
                <w:sz w:val="18"/>
              </w:rPr>
              <w:t>87</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117,180,944</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4"/>
                <w:sz w:val="18"/>
              </w:rPr>
              <w:t>.51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181,069,578</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pacing w:val="-14"/>
                <w:sz w:val="18"/>
              </w:rPr>
              <w:t>.38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34,672,773.</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26"/>
                <w:w w:val="95"/>
                <w:sz w:val="18"/>
              </w:rPr>
              <w:t>11</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196,102.46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34,868,875.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1"/>
                <w:w w:val="95"/>
                <w:sz w:val="18"/>
              </w:rPr>
              <w:t>57</w:t>
            </w:r>
            <w:r>
              <w:rPr>
                <w:rFonts w:ascii="Times New Roman"/>
                <w:w w:val="95"/>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66,782,299.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1"/>
                <w:w w:val="95"/>
                <w:sz w:val="18"/>
              </w:rPr>
              <w:t>37</w:t>
            </w:r>
            <w:r>
              <w:rPr>
                <w:rFonts w:ascii="Times New Roman"/>
                <w:w w:val="95"/>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28,278,158.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1"/>
                <w:w w:val="95"/>
                <w:sz w:val="18"/>
              </w:rPr>
              <w:t>21</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95,060,457.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pacing w:val="-21"/>
                <w:w w:val="95"/>
                <w:sz w:val="18"/>
              </w:rPr>
              <w:t>58</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38,478,201.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1"/>
                <w:w w:val="95"/>
                <w:sz w:val="18"/>
              </w:rPr>
              <w:t>20</w:t>
            </w:r>
            <w:r>
              <w:rPr>
                <w:rFonts w:ascii="Times New Roman"/>
                <w:w w:val="95"/>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38,478,201.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pacing w:val="-21"/>
                <w:w w:val="95"/>
                <w:sz w:val="18"/>
              </w:rPr>
              <w:t>20</w:t>
            </w:r>
            <w:r>
              <w:rPr>
                <w:rFonts w:ascii="Times New Roman"/>
                <w:w w:val="95"/>
                <w:sz w:val="18"/>
              </w:rPr>
            </w:r>
          </w:p>
        </w:tc>
      </w:tr>
    </w:tbl>
    <w:p>
      <w:pPr>
        <w:spacing w:before="49"/>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4"/>
        <w:gridCol w:w="1063"/>
        <w:gridCol w:w="1064"/>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上海正品贵 德软件有限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11,451,759.3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-409,193.61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-409,193.61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1,947,343.68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11,166,574.3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-777,734.01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-777,734.01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-782,541.09</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北京宝库在 线网络技术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6,233,227.85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-4,264,532.04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-4,264,532.04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8,430,723.13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北京石基昆 仑软件有限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56,203,406.9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25,111,893.1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25,111,893.1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466,676.54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34,474,551.0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11,082,000.0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2,074,268.81</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深圳市思迅 软件股份有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221,835,357.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89,157,744.8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89,157,744.8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97,828,264.3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144,334,728.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60,770,371.9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60,770,371.9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69,990,984.2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南京客至软 件有限公司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3,571,644.58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-1,207,306.49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-1,207,306.49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1,188,434.34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百望金税科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7,984,509.18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4,714,942.05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4,714,942.05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474,166.44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5,334,172.64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358,050.13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358,050.13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-2,457,021.83</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64"/>
              <w:jc w:val="left"/>
              <w:rPr>
                <w:rFonts w:ascii="Times New Roman" w:hAnsi="Times New Roman" w:cs="Times New Roman" w:eastAsia="Times New Roman" w:hint="default"/>
                <w:sz w:val="18"/>
                <w:szCs w:val="18"/>
              </w:rPr>
            </w:pPr>
            <w:r>
              <w:rPr>
                <w:rFonts w:ascii="Times New Roman"/>
                <w:sz w:val="18"/>
              </w:rPr>
              <w:t>Snapshot GmbH</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21,684.34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-44,172,073.5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-44,172,073.5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-39,153,735.9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20"/>
              <w:jc w:val="left"/>
              <w:rPr>
                <w:rFonts w:ascii="Times New Roman" w:hAnsi="Times New Roman" w:cs="Times New Roman" w:eastAsia="Times New Roman" w:hint="default"/>
                <w:sz w:val="18"/>
                <w:szCs w:val="18"/>
              </w:rPr>
            </w:pPr>
            <w:r>
              <w:rPr>
                <w:rFonts w:ascii="Times New Roman"/>
                <w:sz w:val="18"/>
              </w:rPr>
              <w:t>AC</w:t>
            </w:r>
            <w:r>
              <w:rPr>
                <w:rFonts w:ascii="Times New Roman"/>
                <w:spacing w:val="-2"/>
                <w:sz w:val="18"/>
              </w:rPr>
              <w:t> </w:t>
            </w:r>
            <w:r>
              <w:rPr>
                <w:rFonts w:ascii="Times New Roman"/>
                <w:sz w:val="18"/>
              </w:rPr>
              <w:t>Project</w:t>
            </w:r>
            <w:r>
              <w:rPr>
                <w:rFonts w:ascii="Times New Roman"/>
                <w:w w:val="99"/>
                <w:sz w:val="18"/>
              </w:rPr>
              <w:t> </w:t>
            </w:r>
            <w:r>
              <w:rPr>
                <w:rFonts w:ascii="Times New Roman"/>
                <w:sz w:val="18"/>
              </w:rPr>
              <w:t>GmbH</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13,809,153.7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-8,605,680.51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-8,605,680.51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-14,767,325.9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34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65"/>
              <w:jc w:val="both"/>
              <w:rPr>
                <w:rFonts w:ascii="Times New Roman" w:hAnsi="Times New Roman" w:cs="Times New Roman" w:eastAsia="Times New Roman" w:hint="default"/>
                <w:sz w:val="18"/>
                <w:szCs w:val="18"/>
              </w:rPr>
            </w:pPr>
            <w:r>
              <w:rPr>
                <w:rFonts w:ascii="Times New Roman"/>
                <w:sz w:val="18"/>
              </w:rPr>
              <w:t>Shiji</w:t>
            </w:r>
            <w:r>
              <w:rPr>
                <w:rFonts w:ascii="Times New Roman"/>
                <w:spacing w:val="-2"/>
                <w:sz w:val="18"/>
              </w:rPr>
              <w:t> </w:t>
            </w:r>
            <w:r>
              <w:rPr>
                <w:rFonts w:ascii="Times New Roman"/>
                <w:sz w:val="18"/>
              </w:rPr>
              <w:t>Retail</w:t>
            </w:r>
            <w:r>
              <w:rPr>
                <w:rFonts w:ascii="Times New Roman"/>
                <w:sz w:val="18"/>
              </w:rPr>
              <w:t> Information Technology Co.Ltd.</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404,575,187.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143,231,808.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143,231,808.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-515,811,843.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上海时运信 息技术有限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9,299,791.23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3,248,800.08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3,248,800.08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4,570,747.50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10,360,021.5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2,348,361.69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2,348,361.69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-948,996.06</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52"/>
              <w:jc w:val="left"/>
              <w:rPr>
                <w:rFonts w:ascii="Times New Roman" w:hAnsi="Times New Roman" w:cs="Times New Roman" w:eastAsia="Times New Roman" w:hint="default"/>
                <w:sz w:val="18"/>
                <w:szCs w:val="18"/>
              </w:rPr>
            </w:pPr>
            <w:r>
              <w:rPr>
                <w:rFonts w:ascii="Times New Roman"/>
                <w:sz w:val="18"/>
              </w:rPr>
              <w:t>Review</w:t>
            </w:r>
            <w:r>
              <w:rPr>
                <w:rFonts w:ascii="Times New Roman"/>
                <w:spacing w:val="-5"/>
                <w:sz w:val="18"/>
              </w:rPr>
              <w:t> </w:t>
            </w:r>
            <w:r>
              <w:rPr>
                <w:rFonts w:ascii="Times New Roman"/>
                <w:sz w:val="18"/>
              </w:rPr>
              <w:t>Rank</w:t>
            </w:r>
            <w:r>
              <w:rPr>
                <w:rFonts w:ascii="Times New Roman"/>
                <w:sz w:val="18"/>
              </w:rPr>
              <w:t> S.A</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81,604,738.4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6,927,229.31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6,927,229.31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10,655,689.6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59,639,817.0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1,579,681.38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1,579,681.38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-20,022,666.2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line="360" w:lineRule="auto" w:before="44"/>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0"/>
        <w:rPr>
          <w:rFonts w:ascii="宋体" w:hAnsi="宋体" w:cs="宋体" w:eastAsia="宋体" w:hint="default"/>
          <w:b/>
          <w:bCs/>
          <w:sz w:val="24"/>
          <w:szCs w:val="24"/>
        </w:rPr>
      </w:pPr>
    </w:p>
    <w:p>
      <w:pPr>
        <w:pStyle w:val="Heading6"/>
        <w:spacing w:line="240" w:lineRule="auto"/>
        <w:ind w:left="592" w:right="1133" w:firstLine="0"/>
        <w:jc w:val="left"/>
      </w:pPr>
      <w:r>
        <w:rPr/>
        <w:t>石基香港于</w:t>
      </w:r>
      <w:r>
        <w:rPr>
          <w:rFonts w:ascii="Times New Roman" w:hAnsi="Times New Roman" w:cs="Times New Roman" w:eastAsia="Times New Roman" w:hint="default"/>
        </w:rPr>
        <w:t>2018</w:t>
      </w:r>
      <w:r>
        <w:rPr/>
        <w:t>年完成对外转让石基零售</w:t>
      </w:r>
      <w:r>
        <w:rPr>
          <w:rFonts w:ascii="Times New Roman" w:hAnsi="Times New Roman" w:cs="Times New Roman" w:eastAsia="Times New Roman" w:hint="default"/>
        </w:rPr>
        <w:t>38%</w:t>
      </w:r>
      <w:r>
        <w:rPr/>
        <w:t>的股权。</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pStyle w:val="Heading7"/>
        <w:spacing w:line="240" w:lineRule="auto"/>
        <w:ind w:right="113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47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763" w:right="0"/>
              <w:jc w:val="left"/>
              <w:rPr>
                <w:rFonts w:ascii="Times New Roman" w:hAnsi="Times New Roman" w:cs="Times New Roman" w:eastAsia="Times New Roman" w:hint="default"/>
                <w:sz w:val="18"/>
                <w:szCs w:val="18"/>
              </w:rPr>
            </w:pPr>
            <w:r>
              <w:rPr>
                <w:rFonts w:ascii="Times New Roman"/>
                <w:sz w:val="18"/>
              </w:rPr>
              <w:t>Shiji Retail Information Technology Co.</w:t>
            </w:r>
            <w:r>
              <w:rPr>
                <w:rFonts w:ascii="Times New Roman"/>
                <w:spacing w:val="-29"/>
                <w:sz w:val="18"/>
              </w:rPr>
              <w:t> </w:t>
            </w:r>
            <w:r>
              <w:rPr>
                <w:rFonts w:ascii="Times New Roman"/>
                <w:sz w:val="18"/>
              </w:rPr>
              <w:t>Ltd.</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2,789,518,314.95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2,789,518,314.95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399,950,974.74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2,389,567,340.21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2,389,567,340.21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57" w:lineRule="auto" w:before="49"/>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552"/>
        <w:gridCol w:w="1136"/>
        <w:gridCol w:w="708"/>
        <w:gridCol w:w="2127"/>
        <w:gridCol w:w="850"/>
        <w:gridCol w:w="835"/>
        <w:gridCol w:w="1366"/>
      </w:tblGrid>
      <w:tr>
        <w:trPr>
          <w:trHeight w:val="403" w:hRule="exact"/>
        </w:trPr>
        <w:tc>
          <w:tcPr>
            <w:tcW w:w="25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81"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7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2552"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3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3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迅付信息科技有限公司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3" w:right="0"/>
              <w:jc w:val="left"/>
              <w:rPr>
                <w:rFonts w:ascii="Times New Roman" w:hAnsi="Times New Roman" w:cs="Times New Roman" w:eastAsia="Times New Roman" w:hint="default"/>
                <w:sz w:val="18"/>
                <w:szCs w:val="18"/>
              </w:rPr>
            </w:pPr>
            <w:r>
              <w:rPr>
                <w:rFonts w:ascii="Times New Roman"/>
                <w:sz w:val="18"/>
              </w:rPr>
              <w:t>22.50%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科传计算机科技控股有限公司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3" w:right="0"/>
              <w:jc w:val="left"/>
              <w:rPr>
                <w:rFonts w:ascii="Times New Roman" w:hAnsi="Times New Roman" w:cs="Times New Roman" w:eastAsia="Times New Roman" w:hint="default"/>
                <w:sz w:val="18"/>
                <w:szCs w:val="18"/>
              </w:rPr>
            </w:pPr>
            <w:r>
              <w:rPr>
                <w:rFonts w:ascii="Times New Roman"/>
                <w:sz w:val="18"/>
              </w:rPr>
              <w:t>30.00%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青岛海信智能商用系统股份有 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终端产品信息服务及销售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25.00%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浙江未来酒店网络技术有限公 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21.00%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上海鸿鹊信息科技有限公司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3" w:right="0"/>
              <w:jc w:val="left"/>
              <w:rPr>
                <w:rFonts w:ascii="Times New Roman" w:hAnsi="Times New Roman" w:cs="Times New Roman" w:eastAsia="Times New Roman" w:hint="default"/>
                <w:sz w:val="18"/>
                <w:szCs w:val="18"/>
              </w:rPr>
            </w:pPr>
            <w:r>
              <w:rPr>
                <w:rFonts w:ascii="Times New Roman"/>
                <w:sz w:val="18"/>
              </w:rPr>
              <w:t>22.04%</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552"/>
        <w:gridCol w:w="1136"/>
        <w:gridCol w:w="708"/>
        <w:gridCol w:w="2127"/>
        <w:gridCol w:w="850"/>
        <w:gridCol w:w="835"/>
        <w:gridCol w:w="1366"/>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TouchpeakSoftwareInc</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KalibriLabsLLC</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36.67%</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357" w:lineRule="auto" w:before="49"/>
        <w:ind w:left="152" w:right="5894"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 无</w:t>
      </w:r>
    </w:p>
    <w:p>
      <w:pPr>
        <w:spacing w:line="340" w:lineRule="auto" w:before="29"/>
        <w:ind w:left="152" w:right="3348"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 无</w:t>
      </w:r>
    </w:p>
    <w:p>
      <w:pPr>
        <w:spacing w:after="0" w:line="3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7"/>
        <w:spacing w:line="240" w:lineRule="auto"/>
        <w:ind w:left="140" w:right="0"/>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31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540"/>
        <w:gridCol w:w="1008"/>
        <w:gridCol w:w="991"/>
        <w:gridCol w:w="569"/>
        <w:gridCol w:w="991"/>
        <w:gridCol w:w="992"/>
        <w:gridCol w:w="852"/>
        <w:gridCol w:w="850"/>
        <w:gridCol w:w="852"/>
        <w:gridCol w:w="992"/>
        <w:gridCol w:w="991"/>
        <w:gridCol w:w="994"/>
        <w:gridCol w:w="850"/>
        <w:gridCol w:w="891"/>
        <w:gridCol w:w="386"/>
        <w:gridCol w:w="850"/>
        <w:gridCol w:w="454"/>
      </w:tblGrid>
      <w:tr>
        <w:trPr>
          <w:trHeight w:val="401" w:hRule="exact"/>
        </w:trPr>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 w:right="0"/>
              <w:jc w:val="center"/>
              <w:rPr>
                <w:rFonts w:ascii="宋体" w:hAnsi="宋体" w:cs="宋体" w:eastAsia="宋体" w:hint="default"/>
                <w:sz w:val="18"/>
                <w:szCs w:val="18"/>
              </w:rPr>
            </w:pPr>
            <w:r>
              <w:rPr>
                <w:rFonts w:ascii="宋体" w:hAnsi="宋体" w:cs="宋体" w:eastAsia="宋体" w:hint="default"/>
                <w:spacing w:val="-35"/>
                <w:sz w:val="18"/>
                <w:szCs w:val="18"/>
              </w:rPr>
              <w:t>期末余额</w:t>
            </w:r>
            <w:r>
              <w:rPr>
                <w:rFonts w:ascii="Times New Roman" w:hAnsi="Times New Roman" w:cs="Times New Roman" w:eastAsia="Times New Roman" w:hint="default"/>
                <w:spacing w:val="-35"/>
                <w:sz w:val="18"/>
                <w:szCs w:val="18"/>
              </w:rPr>
              <w:t>/</w:t>
            </w:r>
            <w:r>
              <w:rPr>
                <w:rFonts w:ascii="宋体" w:hAnsi="宋体" w:cs="宋体" w:eastAsia="宋体" w:hint="default"/>
                <w:spacing w:val="-35"/>
                <w:sz w:val="18"/>
                <w:szCs w:val="18"/>
              </w:rPr>
              <w:t>本期发生额</w:t>
            </w:r>
          </w:p>
        </w:tc>
        <w:tc>
          <w:tcPr>
            <w:tcW w:w="640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 w:right="0"/>
              <w:jc w:val="center"/>
              <w:rPr>
                <w:rFonts w:ascii="宋体" w:hAnsi="宋体" w:cs="宋体" w:eastAsia="宋体" w:hint="default"/>
                <w:sz w:val="18"/>
                <w:szCs w:val="18"/>
              </w:rPr>
            </w:pPr>
            <w:r>
              <w:rPr>
                <w:rFonts w:ascii="宋体" w:hAnsi="宋体" w:cs="宋体" w:eastAsia="宋体" w:hint="default"/>
                <w:spacing w:val="-35"/>
                <w:sz w:val="18"/>
                <w:szCs w:val="18"/>
              </w:rPr>
              <w:t>期初余额</w:t>
            </w:r>
            <w:r>
              <w:rPr>
                <w:rFonts w:ascii="Times New Roman" w:hAnsi="Times New Roman" w:cs="Times New Roman" w:eastAsia="Times New Roman" w:hint="default"/>
                <w:spacing w:val="-35"/>
                <w:sz w:val="18"/>
                <w:szCs w:val="18"/>
              </w:rPr>
              <w:t>/</w:t>
            </w:r>
            <w:r>
              <w:rPr>
                <w:rFonts w:ascii="宋体" w:hAnsi="宋体" w:cs="宋体" w:eastAsia="宋体" w:hint="default"/>
                <w:spacing w:val="-35"/>
                <w:sz w:val="18"/>
                <w:szCs w:val="18"/>
              </w:rPr>
              <w:t>上期发生额</w:t>
            </w:r>
          </w:p>
        </w:tc>
      </w:tr>
      <w:tr>
        <w:trPr>
          <w:trHeight w:val="785" w:hRule="exact"/>
        </w:trPr>
        <w:tc>
          <w:tcPr>
            <w:tcW w:w="5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9" w:space="0" w:color="D2D2D2"/>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7" w:right="31" w:hanging="140"/>
              <w:jc w:val="left"/>
              <w:rPr>
                <w:rFonts w:ascii="宋体" w:hAnsi="宋体" w:cs="宋体" w:eastAsia="宋体" w:hint="default"/>
                <w:sz w:val="18"/>
                <w:szCs w:val="18"/>
              </w:rPr>
            </w:pPr>
            <w:r>
              <w:rPr>
                <w:rFonts w:ascii="宋体" w:hAnsi="宋体" w:cs="宋体" w:eastAsia="宋体" w:hint="default"/>
                <w:spacing w:val="-34"/>
                <w:sz w:val="18"/>
                <w:szCs w:val="18"/>
              </w:rPr>
              <w:t>迅付信息科技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有限公司</w:t>
            </w:r>
          </w:p>
        </w:tc>
        <w:tc>
          <w:tcPr>
            <w:tcW w:w="99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71" w:right="26"/>
              <w:jc w:val="center"/>
              <w:rPr>
                <w:rFonts w:ascii="宋体" w:hAnsi="宋体" w:cs="宋体" w:eastAsia="宋体" w:hint="default"/>
                <w:sz w:val="18"/>
                <w:szCs w:val="18"/>
              </w:rPr>
            </w:pPr>
            <w:r>
              <w:rPr>
                <w:rFonts w:ascii="宋体" w:hAnsi="宋体" w:cs="宋体" w:eastAsia="宋体" w:hint="default"/>
                <w:spacing w:val="-34"/>
                <w:sz w:val="18"/>
                <w:szCs w:val="18"/>
              </w:rPr>
              <w:t>科传计算机科</w:t>
            </w:r>
            <w:r>
              <w:rPr>
                <w:rFonts w:ascii="宋体" w:hAnsi="宋体" w:cs="宋体" w:eastAsia="宋体" w:hint="default"/>
                <w:sz w:val="18"/>
                <w:szCs w:val="18"/>
              </w:rPr>
              <w:t> </w:t>
            </w:r>
            <w:r>
              <w:rPr>
                <w:rFonts w:ascii="宋体" w:hAnsi="宋体" w:cs="宋体" w:eastAsia="宋体" w:hint="default"/>
                <w:spacing w:val="-34"/>
                <w:sz w:val="18"/>
                <w:szCs w:val="18"/>
              </w:rPr>
              <w:t>技控股有限公</w:t>
            </w:r>
            <w:r>
              <w:rPr>
                <w:rFonts w:ascii="宋体" w:hAnsi="宋体" w:cs="宋体" w:eastAsia="宋体" w:hint="default"/>
                <w:sz w:val="18"/>
                <w:szCs w:val="18"/>
              </w:rPr>
              <w:t> 司</w:t>
            </w:r>
          </w:p>
        </w:tc>
        <w:tc>
          <w:tcPr>
            <w:tcW w:w="56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17"/>
              <w:jc w:val="both"/>
              <w:rPr>
                <w:rFonts w:ascii="宋体" w:hAnsi="宋体" w:cs="宋体" w:eastAsia="宋体" w:hint="default"/>
                <w:sz w:val="18"/>
                <w:szCs w:val="18"/>
              </w:rPr>
            </w:pPr>
            <w:r>
              <w:rPr>
                <w:rFonts w:ascii="宋体" w:hAnsi="宋体" w:cs="宋体" w:eastAsia="宋体" w:hint="default"/>
                <w:spacing w:val="-43"/>
                <w:sz w:val="18"/>
                <w:szCs w:val="18"/>
              </w:rPr>
              <w:t>环迅（上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3"/>
                <w:sz w:val="18"/>
                <w:szCs w:val="18"/>
              </w:rPr>
              <w:t>海）商业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保理有</w:t>
            </w:r>
            <w:r>
              <w:rPr>
                <w:rFonts w:ascii="宋体" w:hAnsi="宋体" w:cs="宋体" w:eastAsia="宋体" w:hint="default"/>
                <w:sz w:val="18"/>
                <w:szCs w:val="18"/>
              </w:rPr>
              <w:t> </w:t>
            </w:r>
            <w:r>
              <w:rPr>
                <w:rFonts w:ascii="宋体" w:hAnsi="宋体" w:cs="宋体" w:eastAsia="宋体" w:hint="default"/>
                <w:spacing w:val="-27"/>
                <w:sz w:val="18"/>
                <w:szCs w:val="18"/>
              </w:rPr>
              <w:t>限公司</w:t>
            </w:r>
          </w:p>
        </w:tc>
        <w:tc>
          <w:tcPr>
            <w:tcW w:w="99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29"/>
              <w:jc w:val="center"/>
              <w:rPr>
                <w:rFonts w:ascii="宋体" w:hAnsi="宋体" w:cs="宋体" w:eastAsia="宋体" w:hint="default"/>
                <w:sz w:val="18"/>
                <w:szCs w:val="18"/>
              </w:rPr>
            </w:pPr>
            <w:r>
              <w:rPr>
                <w:rFonts w:ascii="宋体" w:hAnsi="宋体" w:cs="宋体" w:eastAsia="宋体" w:hint="default"/>
                <w:spacing w:val="-34"/>
                <w:sz w:val="18"/>
                <w:szCs w:val="18"/>
              </w:rPr>
              <w:t>青岛海信智能</w:t>
            </w:r>
            <w:r>
              <w:rPr>
                <w:rFonts w:ascii="宋体" w:hAnsi="宋体" w:cs="宋体" w:eastAsia="宋体" w:hint="default"/>
                <w:sz w:val="18"/>
                <w:szCs w:val="18"/>
              </w:rPr>
              <w:t> </w:t>
            </w:r>
            <w:r>
              <w:rPr>
                <w:rFonts w:ascii="宋体" w:hAnsi="宋体" w:cs="宋体" w:eastAsia="宋体" w:hint="default"/>
                <w:spacing w:val="-34"/>
                <w:sz w:val="18"/>
                <w:szCs w:val="18"/>
              </w:rPr>
              <w:t>商用系统股份</w:t>
            </w:r>
            <w:r>
              <w:rPr>
                <w:rFonts w:ascii="宋体" w:hAnsi="宋体" w:cs="宋体" w:eastAsia="宋体" w:hint="default"/>
                <w:sz w:val="18"/>
                <w:szCs w:val="18"/>
              </w:rPr>
              <w:t> </w:t>
            </w:r>
            <w:r>
              <w:rPr>
                <w:rFonts w:ascii="宋体" w:hAnsi="宋体" w:cs="宋体" w:eastAsia="宋体" w:hint="default"/>
                <w:spacing w:val="-31"/>
                <w:sz w:val="18"/>
                <w:szCs w:val="18"/>
              </w:rPr>
              <w:t>有限公司</w:t>
            </w:r>
          </w:p>
        </w:tc>
        <w:tc>
          <w:tcPr>
            <w:tcW w:w="99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71" w:right="27"/>
              <w:jc w:val="center"/>
              <w:rPr>
                <w:rFonts w:ascii="宋体" w:hAnsi="宋体" w:cs="宋体" w:eastAsia="宋体" w:hint="default"/>
                <w:sz w:val="18"/>
                <w:szCs w:val="18"/>
              </w:rPr>
            </w:pPr>
            <w:r>
              <w:rPr>
                <w:rFonts w:ascii="宋体" w:hAnsi="宋体" w:cs="宋体" w:eastAsia="宋体" w:hint="default"/>
                <w:spacing w:val="-34"/>
                <w:sz w:val="18"/>
                <w:szCs w:val="18"/>
              </w:rPr>
              <w:t>浙江未来酒店</w:t>
            </w:r>
            <w:r>
              <w:rPr>
                <w:rFonts w:ascii="宋体" w:hAnsi="宋体" w:cs="宋体" w:eastAsia="宋体" w:hint="default"/>
                <w:sz w:val="18"/>
                <w:szCs w:val="18"/>
              </w:rPr>
              <w:t> </w:t>
            </w:r>
            <w:r>
              <w:rPr>
                <w:rFonts w:ascii="宋体" w:hAnsi="宋体" w:cs="宋体" w:eastAsia="宋体" w:hint="default"/>
                <w:spacing w:val="-34"/>
                <w:sz w:val="18"/>
                <w:szCs w:val="18"/>
              </w:rPr>
              <w:t>网络技术有限</w:t>
            </w:r>
            <w:r>
              <w:rPr>
                <w:rFonts w:ascii="宋体" w:hAnsi="宋体" w:cs="宋体" w:eastAsia="宋体" w:hint="default"/>
                <w:sz w:val="18"/>
                <w:szCs w:val="18"/>
              </w:rPr>
              <w:t> </w:t>
            </w:r>
            <w:r>
              <w:rPr>
                <w:rFonts w:ascii="宋体" w:hAnsi="宋体" w:cs="宋体" w:eastAsia="宋体" w:hint="default"/>
                <w:spacing w:val="-39"/>
                <w:sz w:val="18"/>
                <w:szCs w:val="18"/>
              </w:rPr>
              <w:t>公司</w:t>
            </w:r>
            <w:r>
              <w:rPr>
                <w:rFonts w:ascii="宋体" w:hAnsi="宋体" w:cs="宋体" w:eastAsia="宋体" w:hint="default"/>
                <w:sz w:val="18"/>
                <w:szCs w:val="18"/>
              </w:rPr>
            </w:r>
          </w:p>
        </w:tc>
        <w:tc>
          <w:tcPr>
            <w:tcW w:w="85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29"/>
              <w:jc w:val="center"/>
              <w:rPr>
                <w:rFonts w:ascii="宋体" w:hAnsi="宋体" w:cs="宋体" w:eastAsia="宋体" w:hint="default"/>
                <w:sz w:val="18"/>
                <w:szCs w:val="18"/>
              </w:rPr>
            </w:pPr>
            <w:r>
              <w:rPr>
                <w:rFonts w:ascii="宋体" w:hAnsi="宋体" w:cs="宋体" w:eastAsia="宋体" w:hint="default"/>
                <w:spacing w:val="-32"/>
                <w:sz w:val="18"/>
                <w:szCs w:val="18"/>
              </w:rPr>
              <w:t>上海鸿鹊信</w:t>
            </w:r>
            <w:r>
              <w:rPr>
                <w:rFonts w:ascii="宋体" w:hAnsi="宋体" w:cs="宋体" w:eastAsia="宋体" w:hint="default"/>
                <w:sz w:val="18"/>
                <w:szCs w:val="18"/>
              </w:rPr>
              <w:t> </w:t>
            </w:r>
            <w:r>
              <w:rPr>
                <w:rFonts w:ascii="宋体" w:hAnsi="宋体" w:cs="宋体" w:eastAsia="宋体" w:hint="default"/>
                <w:spacing w:val="-32"/>
                <w:sz w:val="18"/>
                <w:szCs w:val="18"/>
              </w:rPr>
              <w:t>息科技有限</w:t>
            </w:r>
            <w:r>
              <w:rPr>
                <w:rFonts w:ascii="宋体" w:hAnsi="宋体" w:cs="宋体" w:eastAsia="宋体" w:hint="default"/>
                <w:sz w:val="18"/>
                <w:szCs w:val="18"/>
              </w:rPr>
              <w:t> </w:t>
            </w:r>
            <w:r>
              <w:rPr>
                <w:rFonts w:ascii="宋体" w:hAnsi="宋体" w:cs="宋体" w:eastAsia="宋体" w:hint="default"/>
                <w:spacing w:val="-39"/>
                <w:sz w:val="18"/>
                <w:szCs w:val="18"/>
              </w:rPr>
              <w:t>公司</w:t>
            </w:r>
            <w:r>
              <w:rPr>
                <w:rFonts w:ascii="宋体" w:hAnsi="宋体" w:cs="宋体" w:eastAsia="宋体" w:hint="default"/>
                <w:sz w:val="18"/>
                <w:szCs w:val="18"/>
              </w:rPr>
            </w:r>
          </w:p>
        </w:tc>
        <w:tc>
          <w:tcPr>
            <w:tcW w:w="85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62" w:lineRule="auto"/>
              <w:ind w:left="76" w:right="55" w:firstLine="38"/>
              <w:jc w:val="left"/>
              <w:rPr>
                <w:rFonts w:ascii="Times New Roman" w:hAnsi="Times New Roman" w:cs="Times New Roman" w:eastAsia="Times New Roman" w:hint="default"/>
                <w:sz w:val="18"/>
                <w:szCs w:val="18"/>
              </w:rPr>
            </w:pPr>
            <w:r>
              <w:rPr>
                <w:rFonts w:ascii="Times New Roman"/>
                <w:spacing w:val="-20"/>
                <w:sz w:val="18"/>
              </w:rPr>
              <w:t>Touchpeak</w:t>
            </w:r>
            <w:r>
              <w:rPr>
                <w:rFonts w:ascii="Times New Roman"/>
                <w:sz w:val="18"/>
              </w:rPr>
              <w:t> </w:t>
            </w:r>
            <w:r>
              <w:rPr>
                <w:rFonts w:ascii="Times New Roman"/>
                <w:spacing w:val="-16"/>
                <w:sz w:val="18"/>
              </w:rPr>
              <w:t>SoftwareInc</w:t>
            </w:r>
          </w:p>
        </w:tc>
        <w:tc>
          <w:tcPr>
            <w:tcW w:w="85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62" w:lineRule="auto"/>
              <w:ind w:left="280" w:right="65" w:hanging="192"/>
              <w:jc w:val="left"/>
              <w:rPr>
                <w:rFonts w:ascii="Times New Roman" w:hAnsi="Times New Roman" w:cs="Times New Roman" w:eastAsia="Times New Roman" w:hint="default"/>
                <w:sz w:val="18"/>
                <w:szCs w:val="18"/>
              </w:rPr>
            </w:pPr>
            <w:r>
              <w:rPr>
                <w:rFonts w:ascii="Times New Roman"/>
                <w:spacing w:val="-17"/>
                <w:sz w:val="18"/>
              </w:rPr>
              <w:t>KalibriLabs</w:t>
            </w:r>
            <w:r>
              <w:rPr>
                <w:rFonts w:ascii="Times New Roman"/>
                <w:spacing w:val="-35"/>
                <w:sz w:val="18"/>
              </w:rPr>
              <w:t> </w:t>
            </w:r>
            <w:r>
              <w:rPr>
                <w:rFonts w:ascii="Times New Roman"/>
                <w:spacing w:val="-35"/>
                <w:sz w:val="18"/>
              </w:rPr>
            </w:r>
            <w:r>
              <w:rPr>
                <w:rFonts w:ascii="Times New Roman"/>
                <w:spacing w:val="-22"/>
                <w:sz w:val="18"/>
              </w:rPr>
              <w:t>LLC</w:t>
            </w:r>
            <w:r>
              <w:rPr>
                <w:rFonts w:ascii="Times New Roman"/>
                <w:sz w:val="18"/>
              </w:rPr>
            </w:r>
          </w:p>
        </w:tc>
        <w:tc>
          <w:tcPr>
            <w:tcW w:w="99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08" w:right="29" w:hanging="140"/>
              <w:jc w:val="left"/>
              <w:rPr>
                <w:rFonts w:ascii="宋体" w:hAnsi="宋体" w:cs="宋体" w:eastAsia="宋体" w:hint="default"/>
                <w:sz w:val="18"/>
                <w:szCs w:val="18"/>
              </w:rPr>
            </w:pPr>
            <w:r>
              <w:rPr>
                <w:rFonts w:ascii="宋体" w:hAnsi="宋体" w:cs="宋体" w:eastAsia="宋体" w:hint="default"/>
                <w:spacing w:val="-34"/>
                <w:sz w:val="18"/>
                <w:szCs w:val="18"/>
              </w:rPr>
              <w:t>迅付信息科技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有限公司</w:t>
            </w:r>
          </w:p>
        </w:tc>
        <w:tc>
          <w:tcPr>
            <w:tcW w:w="99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72" w:right="26"/>
              <w:jc w:val="center"/>
              <w:rPr>
                <w:rFonts w:ascii="宋体" w:hAnsi="宋体" w:cs="宋体" w:eastAsia="宋体" w:hint="default"/>
                <w:sz w:val="18"/>
                <w:szCs w:val="18"/>
              </w:rPr>
            </w:pPr>
            <w:r>
              <w:rPr>
                <w:rFonts w:ascii="宋体" w:hAnsi="宋体" w:cs="宋体" w:eastAsia="宋体" w:hint="default"/>
                <w:spacing w:val="-34"/>
                <w:sz w:val="18"/>
                <w:szCs w:val="18"/>
              </w:rPr>
              <w:t>科传计算机科</w:t>
            </w:r>
            <w:r>
              <w:rPr>
                <w:rFonts w:ascii="宋体" w:hAnsi="宋体" w:cs="宋体" w:eastAsia="宋体" w:hint="default"/>
                <w:sz w:val="18"/>
                <w:szCs w:val="18"/>
              </w:rPr>
              <w:t> </w:t>
            </w:r>
            <w:r>
              <w:rPr>
                <w:rFonts w:ascii="宋体" w:hAnsi="宋体" w:cs="宋体" w:eastAsia="宋体" w:hint="default"/>
                <w:spacing w:val="-34"/>
                <w:sz w:val="18"/>
                <w:szCs w:val="18"/>
              </w:rPr>
              <w:t>技控股有限公</w:t>
            </w:r>
            <w:r>
              <w:rPr>
                <w:rFonts w:ascii="宋体" w:hAnsi="宋体" w:cs="宋体" w:eastAsia="宋体" w:hint="default"/>
                <w:sz w:val="18"/>
                <w:szCs w:val="18"/>
              </w:rPr>
              <w:t> 司</w:t>
            </w:r>
          </w:p>
        </w:tc>
        <w:tc>
          <w:tcPr>
            <w:tcW w:w="99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7"/>
              <w:jc w:val="center"/>
              <w:rPr>
                <w:rFonts w:ascii="宋体" w:hAnsi="宋体" w:cs="宋体" w:eastAsia="宋体" w:hint="default"/>
                <w:sz w:val="18"/>
                <w:szCs w:val="18"/>
              </w:rPr>
            </w:pPr>
            <w:r>
              <w:rPr>
                <w:rFonts w:ascii="宋体" w:hAnsi="宋体" w:cs="宋体" w:eastAsia="宋体" w:hint="default"/>
                <w:spacing w:val="-41"/>
                <w:sz w:val="18"/>
                <w:szCs w:val="18"/>
              </w:rPr>
              <w:t>环迅（上海）商</w:t>
            </w:r>
            <w:r>
              <w:rPr>
                <w:rFonts w:ascii="宋体" w:hAnsi="宋体" w:cs="宋体" w:eastAsia="宋体" w:hint="default"/>
                <w:sz w:val="18"/>
                <w:szCs w:val="18"/>
              </w:rPr>
              <w:t> </w:t>
            </w:r>
            <w:r>
              <w:rPr>
                <w:rFonts w:ascii="宋体" w:hAnsi="宋体" w:cs="宋体" w:eastAsia="宋体" w:hint="default"/>
                <w:spacing w:val="-34"/>
                <w:sz w:val="18"/>
                <w:szCs w:val="18"/>
              </w:rPr>
              <w:t>业保理有限公</w:t>
            </w:r>
            <w:r>
              <w:rPr>
                <w:rFonts w:ascii="宋体" w:hAnsi="宋体" w:cs="宋体" w:eastAsia="宋体" w:hint="default"/>
                <w:sz w:val="18"/>
                <w:szCs w:val="18"/>
              </w:rPr>
              <w:t> 司</w:t>
            </w:r>
          </w:p>
        </w:tc>
        <w:tc>
          <w:tcPr>
            <w:tcW w:w="85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9" w:right="26"/>
              <w:jc w:val="center"/>
              <w:rPr>
                <w:rFonts w:ascii="宋体" w:hAnsi="宋体" w:cs="宋体" w:eastAsia="宋体" w:hint="default"/>
                <w:sz w:val="18"/>
                <w:szCs w:val="18"/>
              </w:rPr>
            </w:pPr>
            <w:r>
              <w:rPr>
                <w:rFonts w:ascii="宋体" w:hAnsi="宋体" w:cs="宋体" w:eastAsia="宋体" w:hint="default"/>
                <w:spacing w:val="-32"/>
                <w:sz w:val="18"/>
                <w:szCs w:val="18"/>
              </w:rPr>
              <w:t>青岛海信智</w:t>
            </w:r>
            <w:r>
              <w:rPr>
                <w:rFonts w:ascii="宋体" w:hAnsi="宋体" w:cs="宋体" w:eastAsia="宋体" w:hint="default"/>
                <w:sz w:val="18"/>
                <w:szCs w:val="18"/>
              </w:rPr>
              <w:t> </w:t>
            </w:r>
            <w:r>
              <w:rPr>
                <w:rFonts w:ascii="宋体" w:hAnsi="宋体" w:cs="宋体" w:eastAsia="宋体" w:hint="default"/>
                <w:spacing w:val="-32"/>
                <w:sz w:val="18"/>
                <w:szCs w:val="18"/>
              </w:rPr>
              <w:t>能商用系统</w:t>
            </w:r>
            <w:r>
              <w:rPr>
                <w:rFonts w:ascii="宋体" w:hAnsi="宋体" w:cs="宋体" w:eastAsia="宋体" w:hint="default"/>
                <w:sz w:val="18"/>
                <w:szCs w:val="18"/>
              </w:rPr>
              <w:t> </w:t>
            </w:r>
            <w:r>
              <w:rPr>
                <w:rFonts w:ascii="宋体" w:hAnsi="宋体" w:cs="宋体" w:eastAsia="宋体" w:hint="default"/>
                <w:spacing w:val="-32"/>
                <w:sz w:val="18"/>
                <w:szCs w:val="18"/>
              </w:rPr>
              <w:t>股份有限公</w:t>
            </w:r>
            <w:r>
              <w:rPr>
                <w:rFonts w:ascii="宋体" w:hAnsi="宋体" w:cs="宋体" w:eastAsia="宋体" w:hint="default"/>
                <w:sz w:val="18"/>
                <w:szCs w:val="18"/>
              </w:rPr>
              <w:t> 司</w:t>
            </w:r>
          </w:p>
        </w:tc>
        <w:tc>
          <w:tcPr>
            <w:tcW w:w="89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1" w:right="46"/>
              <w:jc w:val="both"/>
              <w:rPr>
                <w:rFonts w:ascii="宋体" w:hAnsi="宋体" w:cs="宋体" w:eastAsia="宋体" w:hint="default"/>
                <w:sz w:val="18"/>
                <w:szCs w:val="18"/>
              </w:rPr>
            </w:pPr>
            <w:r>
              <w:rPr>
                <w:rFonts w:ascii="宋体" w:hAnsi="宋体" w:cs="宋体" w:eastAsia="宋体" w:hint="default"/>
                <w:spacing w:val="-32"/>
                <w:sz w:val="18"/>
                <w:szCs w:val="18"/>
              </w:rPr>
              <w:t>浙江未来酒</w:t>
            </w:r>
            <w:r>
              <w:rPr>
                <w:rFonts w:ascii="宋体" w:hAnsi="宋体" w:cs="宋体" w:eastAsia="宋体" w:hint="default"/>
                <w:sz w:val="18"/>
                <w:szCs w:val="18"/>
              </w:rPr>
              <w:t> </w:t>
            </w:r>
            <w:r>
              <w:rPr>
                <w:rFonts w:ascii="宋体" w:hAnsi="宋体" w:cs="宋体" w:eastAsia="宋体" w:hint="default"/>
                <w:spacing w:val="-32"/>
                <w:sz w:val="18"/>
                <w:szCs w:val="18"/>
              </w:rPr>
              <w:t>店网络技术</w:t>
            </w:r>
            <w:r>
              <w:rPr>
                <w:rFonts w:ascii="宋体" w:hAnsi="宋体" w:cs="宋体" w:eastAsia="宋体" w:hint="default"/>
                <w:sz w:val="18"/>
                <w:szCs w:val="18"/>
              </w:rPr>
              <w:t> </w:t>
            </w:r>
            <w:r>
              <w:rPr>
                <w:rFonts w:ascii="宋体" w:hAnsi="宋体" w:cs="宋体" w:eastAsia="宋体" w:hint="default"/>
                <w:spacing w:val="-31"/>
                <w:sz w:val="18"/>
                <w:szCs w:val="18"/>
              </w:rPr>
              <w:t>有限公司</w:t>
            </w:r>
          </w:p>
        </w:tc>
        <w:tc>
          <w:tcPr>
            <w:tcW w:w="386" w:type="dxa"/>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49"/>
              <w:ind w:left="47" w:right="43"/>
              <w:jc w:val="both"/>
              <w:rPr>
                <w:rFonts w:ascii="宋体" w:hAnsi="宋体" w:cs="宋体" w:eastAsia="宋体" w:hint="default"/>
                <w:sz w:val="18"/>
                <w:szCs w:val="18"/>
              </w:rPr>
            </w:pPr>
            <w:r>
              <w:rPr>
                <w:rFonts w:ascii="宋体" w:hAnsi="宋体" w:cs="宋体" w:eastAsia="宋体" w:hint="default"/>
                <w:spacing w:val="-39"/>
                <w:sz w:val="18"/>
                <w:szCs w:val="18"/>
              </w:rPr>
              <w:t>上海 鸿鹊 信息 科技 有限 公司</w:t>
            </w:r>
            <w:r>
              <w:rPr>
                <w:rFonts w:ascii="宋体" w:hAnsi="宋体" w:cs="宋体" w:eastAsia="宋体" w:hint="default"/>
                <w:sz w:val="18"/>
                <w:szCs w:val="18"/>
              </w:rPr>
            </w:r>
          </w:p>
        </w:tc>
        <w:tc>
          <w:tcPr>
            <w:tcW w:w="85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62" w:lineRule="auto"/>
              <w:ind w:left="76" w:right="55" w:firstLine="38"/>
              <w:jc w:val="left"/>
              <w:rPr>
                <w:rFonts w:ascii="Times New Roman" w:hAnsi="Times New Roman" w:cs="Times New Roman" w:eastAsia="Times New Roman" w:hint="default"/>
                <w:sz w:val="18"/>
                <w:szCs w:val="18"/>
              </w:rPr>
            </w:pPr>
            <w:r>
              <w:rPr>
                <w:rFonts w:ascii="Times New Roman"/>
                <w:spacing w:val="-20"/>
                <w:sz w:val="18"/>
              </w:rPr>
              <w:t>Touchpeak</w:t>
            </w:r>
            <w:r>
              <w:rPr>
                <w:rFonts w:ascii="Times New Roman"/>
                <w:sz w:val="18"/>
              </w:rPr>
              <w:t> </w:t>
            </w:r>
            <w:r>
              <w:rPr>
                <w:rFonts w:ascii="Times New Roman"/>
                <w:spacing w:val="-16"/>
                <w:sz w:val="18"/>
              </w:rPr>
              <w:t>SoftwareInc</w:t>
            </w:r>
          </w:p>
        </w:tc>
        <w:tc>
          <w:tcPr>
            <w:tcW w:w="45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62" w:lineRule="auto"/>
              <w:ind w:left="81" w:right="15" w:hanging="46"/>
              <w:jc w:val="both"/>
              <w:rPr>
                <w:rFonts w:ascii="Times New Roman" w:hAnsi="Times New Roman" w:cs="Times New Roman" w:eastAsia="Times New Roman" w:hint="default"/>
                <w:sz w:val="18"/>
                <w:szCs w:val="18"/>
              </w:rPr>
            </w:pPr>
            <w:r>
              <w:rPr>
                <w:rFonts w:ascii="Times New Roman"/>
                <w:spacing w:val="-18"/>
                <w:sz w:val="18"/>
              </w:rPr>
              <w:t>Kalibri</w:t>
            </w:r>
            <w:r>
              <w:rPr>
                <w:rFonts w:ascii="Times New Roman"/>
                <w:spacing w:val="-40"/>
                <w:sz w:val="18"/>
              </w:rPr>
              <w:t> </w:t>
            </w:r>
            <w:r>
              <w:rPr>
                <w:rFonts w:ascii="Times New Roman"/>
                <w:spacing w:val="-40"/>
                <w:sz w:val="18"/>
              </w:rPr>
            </w:r>
            <w:r>
              <w:rPr>
                <w:rFonts w:ascii="Times New Roman"/>
                <w:spacing w:val="-15"/>
                <w:sz w:val="18"/>
              </w:rPr>
              <w:t>Labs</w:t>
            </w:r>
            <w:r>
              <w:rPr>
                <w:rFonts w:ascii="Times New Roman"/>
                <w:w w:val="99"/>
                <w:sz w:val="18"/>
              </w:rPr>
              <w:t> </w:t>
            </w:r>
            <w:r>
              <w:rPr>
                <w:rFonts w:ascii="Times New Roman"/>
                <w:spacing w:val="-22"/>
                <w:sz w:val="18"/>
              </w:rPr>
              <w:t>LLC</w:t>
            </w:r>
            <w:r>
              <w:rPr>
                <w:rFonts w:ascii="Times New Roman"/>
                <w:sz w:val="18"/>
              </w:rPr>
            </w:r>
          </w:p>
        </w:tc>
      </w:tr>
      <w:tr>
        <w:trPr>
          <w:trHeight w:val="394" w:hRule="exact"/>
        </w:trPr>
        <w:tc>
          <w:tcPr>
            <w:tcW w:w="540" w:type="dxa"/>
            <w:tcBorders>
              <w:top w:val="nil" w:sz="6" w:space="0" w:color="auto"/>
              <w:left w:val="single" w:sz="4" w:space="0" w:color="000000"/>
              <w:bottom w:val="nil" w:sz="6" w:space="0" w:color="auto"/>
              <w:right w:val="single" w:sz="4" w:space="0" w:color="000000"/>
            </w:tcBorders>
            <w:shd w:val="clear" w:color="auto" w:fill="D2D2D2"/>
          </w:tcPr>
          <w:p>
            <w:pPr/>
          </w:p>
        </w:tc>
        <w:tc>
          <w:tcPr>
            <w:tcW w:w="1008" w:type="dxa"/>
            <w:vMerge/>
            <w:tcBorders>
              <w:left w:val="single" w:sz="9" w:space="0" w:color="D2D2D2"/>
              <w:right w:val="single" w:sz="4" w:space="0" w:color="000000"/>
            </w:tcBorders>
            <w:shd w:val="clear" w:color="auto" w:fill="D9D9D9"/>
          </w:tcPr>
          <w:p>
            <w:pPr/>
          </w:p>
        </w:tc>
        <w:tc>
          <w:tcPr>
            <w:tcW w:w="991" w:type="dxa"/>
            <w:vMerge/>
            <w:tcBorders>
              <w:left w:val="single" w:sz="4" w:space="0" w:color="000000"/>
              <w:right w:val="single" w:sz="4" w:space="0" w:color="000000"/>
            </w:tcBorders>
            <w:shd w:val="clear" w:color="auto" w:fill="D9D9D9"/>
          </w:tcPr>
          <w:p>
            <w:pPr/>
          </w:p>
        </w:tc>
        <w:tc>
          <w:tcPr>
            <w:tcW w:w="569" w:type="dxa"/>
            <w:vMerge/>
            <w:tcBorders>
              <w:left w:val="single" w:sz="4" w:space="0" w:color="000000"/>
              <w:right w:val="single" w:sz="4" w:space="0" w:color="000000"/>
            </w:tcBorders>
            <w:shd w:val="clear" w:color="auto" w:fill="D9D9D9"/>
          </w:tcPr>
          <w:p>
            <w:pPr/>
          </w:p>
        </w:tc>
        <w:tc>
          <w:tcPr>
            <w:tcW w:w="991" w:type="dxa"/>
            <w:vMerge/>
            <w:tcBorders>
              <w:left w:val="single" w:sz="4" w:space="0" w:color="000000"/>
              <w:right w:val="single" w:sz="4" w:space="0" w:color="000000"/>
            </w:tcBorders>
            <w:shd w:val="clear" w:color="auto" w:fill="D9D9D9"/>
          </w:tcPr>
          <w:p>
            <w:pPr/>
          </w:p>
        </w:tc>
        <w:tc>
          <w:tcPr>
            <w:tcW w:w="992" w:type="dxa"/>
            <w:vMerge/>
            <w:tcBorders>
              <w:left w:val="single" w:sz="4" w:space="0" w:color="000000"/>
              <w:right w:val="single" w:sz="4" w:space="0" w:color="000000"/>
            </w:tcBorders>
            <w:shd w:val="clear" w:color="auto" w:fill="D9D9D9"/>
          </w:tcPr>
          <w:p>
            <w:pPr/>
          </w:p>
        </w:tc>
        <w:tc>
          <w:tcPr>
            <w:tcW w:w="852" w:type="dxa"/>
            <w:vMerge/>
            <w:tcBorders>
              <w:left w:val="single" w:sz="4" w:space="0" w:color="000000"/>
              <w:right w:val="single" w:sz="4" w:space="0" w:color="000000"/>
            </w:tcBorders>
            <w:shd w:val="clear" w:color="auto" w:fill="D9D9D9"/>
          </w:tcPr>
          <w:p>
            <w:pPr/>
          </w:p>
        </w:tc>
        <w:tc>
          <w:tcPr>
            <w:tcW w:w="850" w:type="dxa"/>
            <w:vMerge/>
            <w:tcBorders>
              <w:left w:val="single" w:sz="4" w:space="0" w:color="000000"/>
              <w:right w:val="single" w:sz="4" w:space="0" w:color="000000"/>
            </w:tcBorders>
            <w:shd w:val="clear" w:color="auto" w:fill="D9D9D9"/>
          </w:tcPr>
          <w:p>
            <w:pPr/>
          </w:p>
        </w:tc>
        <w:tc>
          <w:tcPr>
            <w:tcW w:w="852" w:type="dxa"/>
            <w:vMerge/>
            <w:tcBorders>
              <w:left w:val="single" w:sz="4" w:space="0" w:color="000000"/>
              <w:right w:val="single" w:sz="4" w:space="0" w:color="000000"/>
            </w:tcBorders>
            <w:shd w:val="clear" w:color="auto" w:fill="D9D9D9"/>
          </w:tcPr>
          <w:p>
            <w:pPr/>
          </w:p>
        </w:tc>
        <w:tc>
          <w:tcPr>
            <w:tcW w:w="992" w:type="dxa"/>
            <w:vMerge/>
            <w:tcBorders>
              <w:left w:val="single" w:sz="4" w:space="0" w:color="000000"/>
              <w:right w:val="single" w:sz="4" w:space="0" w:color="000000"/>
            </w:tcBorders>
            <w:shd w:val="clear" w:color="auto" w:fill="D9D9D9"/>
          </w:tcPr>
          <w:p>
            <w:pPr/>
          </w:p>
        </w:tc>
        <w:tc>
          <w:tcPr>
            <w:tcW w:w="991" w:type="dxa"/>
            <w:vMerge/>
            <w:tcBorders>
              <w:left w:val="single" w:sz="4" w:space="0" w:color="000000"/>
              <w:right w:val="single" w:sz="4" w:space="0" w:color="000000"/>
            </w:tcBorders>
            <w:shd w:val="clear" w:color="auto" w:fill="D9D9D9"/>
          </w:tcPr>
          <w:p>
            <w:pPr/>
          </w:p>
        </w:tc>
        <w:tc>
          <w:tcPr>
            <w:tcW w:w="994" w:type="dxa"/>
            <w:vMerge/>
            <w:tcBorders>
              <w:left w:val="single" w:sz="4" w:space="0" w:color="000000"/>
              <w:right w:val="single" w:sz="4" w:space="0" w:color="000000"/>
            </w:tcBorders>
            <w:shd w:val="clear" w:color="auto" w:fill="D9D9D9"/>
          </w:tcPr>
          <w:p>
            <w:pPr/>
          </w:p>
        </w:tc>
        <w:tc>
          <w:tcPr>
            <w:tcW w:w="850" w:type="dxa"/>
            <w:vMerge/>
            <w:tcBorders>
              <w:left w:val="single" w:sz="4" w:space="0" w:color="000000"/>
              <w:right w:val="single" w:sz="4" w:space="0" w:color="000000"/>
            </w:tcBorders>
            <w:shd w:val="clear" w:color="auto" w:fill="D9D9D9"/>
          </w:tcPr>
          <w:p>
            <w:pPr/>
          </w:p>
        </w:tc>
        <w:tc>
          <w:tcPr>
            <w:tcW w:w="891" w:type="dxa"/>
            <w:vMerge/>
            <w:tcBorders>
              <w:left w:val="single" w:sz="4" w:space="0" w:color="000000"/>
              <w:right w:val="single" w:sz="4" w:space="0" w:color="000000"/>
            </w:tcBorders>
            <w:shd w:val="clear" w:color="auto" w:fill="D9D9D9"/>
          </w:tcPr>
          <w:p>
            <w:pPr/>
          </w:p>
        </w:tc>
        <w:tc>
          <w:tcPr>
            <w:tcW w:w="386" w:type="dxa"/>
            <w:vMerge/>
            <w:tcBorders>
              <w:left w:val="single" w:sz="4" w:space="0" w:color="000000"/>
              <w:right w:val="single" w:sz="4" w:space="0" w:color="000000"/>
            </w:tcBorders>
            <w:shd w:val="clear" w:color="auto" w:fill="D9D9D9"/>
          </w:tcPr>
          <w:p>
            <w:pPr/>
          </w:p>
        </w:tc>
        <w:tc>
          <w:tcPr>
            <w:tcW w:w="850" w:type="dxa"/>
            <w:vMerge/>
            <w:tcBorders>
              <w:left w:val="single" w:sz="4" w:space="0" w:color="000000"/>
              <w:right w:val="single" w:sz="4" w:space="0" w:color="000000"/>
            </w:tcBorders>
            <w:shd w:val="clear" w:color="auto" w:fill="D9D9D9"/>
          </w:tcPr>
          <w:p>
            <w:pPr/>
          </w:p>
        </w:tc>
        <w:tc>
          <w:tcPr>
            <w:tcW w:w="454" w:type="dxa"/>
            <w:vMerge/>
            <w:tcBorders>
              <w:left w:val="single" w:sz="4" w:space="0" w:color="000000"/>
              <w:right w:val="single" w:sz="4" w:space="0" w:color="000000"/>
            </w:tcBorders>
            <w:shd w:val="clear" w:color="auto" w:fill="D9D9D9"/>
          </w:tcPr>
          <w:p>
            <w:pPr/>
          </w:p>
        </w:tc>
      </w:tr>
      <w:tr>
        <w:trPr>
          <w:trHeight w:val="785" w:hRule="exact"/>
        </w:trPr>
        <w:tc>
          <w:tcPr>
            <w:tcW w:w="5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9" w:space="0" w:color="D2D2D2"/>
              <w:bottom w:val="single" w:sz="4" w:space="0" w:color="000000"/>
              <w:right w:val="single" w:sz="4" w:space="0" w:color="000000"/>
            </w:tcBorders>
            <w:shd w:val="clear" w:color="auto" w:fill="D9D9D9"/>
          </w:tcPr>
          <w:p>
            <w:pPr/>
          </w:p>
        </w:tc>
        <w:tc>
          <w:tcPr>
            <w:tcW w:w="991" w:type="dxa"/>
            <w:vMerge/>
            <w:tcBorders>
              <w:left w:val="single" w:sz="4" w:space="0" w:color="000000"/>
              <w:bottom w:val="single" w:sz="4" w:space="0" w:color="000000"/>
              <w:right w:val="single" w:sz="4" w:space="0" w:color="000000"/>
            </w:tcBorders>
            <w:shd w:val="clear" w:color="auto" w:fill="D9D9D9"/>
          </w:tcPr>
          <w:p>
            <w:pPr/>
          </w:p>
        </w:tc>
        <w:tc>
          <w:tcPr>
            <w:tcW w:w="569" w:type="dxa"/>
            <w:vMerge/>
            <w:tcBorders>
              <w:left w:val="single" w:sz="4" w:space="0" w:color="000000"/>
              <w:bottom w:val="single" w:sz="4" w:space="0" w:color="000000"/>
              <w:right w:val="single" w:sz="4" w:space="0" w:color="000000"/>
            </w:tcBorders>
            <w:shd w:val="clear" w:color="auto" w:fill="D9D9D9"/>
          </w:tcPr>
          <w:p>
            <w:pPr/>
          </w:p>
        </w:tc>
        <w:tc>
          <w:tcPr>
            <w:tcW w:w="991" w:type="dxa"/>
            <w:vMerge/>
            <w:tcBorders>
              <w:left w:val="single" w:sz="4" w:space="0" w:color="000000"/>
              <w:bottom w:val="single" w:sz="4" w:space="0" w:color="000000"/>
              <w:right w:val="single" w:sz="4" w:space="0" w:color="000000"/>
            </w:tcBorders>
            <w:shd w:val="clear" w:color="auto" w:fill="D9D9D9"/>
          </w:tcPr>
          <w:p>
            <w:pPr/>
          </w:p>
        </w:tc>
        <w:tc>
          <w:tcPr>
            <w:tcW w:w="992" w:type="dxa"/>
            <w:vMerge/>
            <w:tcBorders>
              <w:left w:val="single" w:sz="4" w:space="0" w:color="000000"/>
              <w:bottom w:val="single" w:sz="4" w:space="0" w:color="000000"/>
              <w:right w:val="single" w:sz="4" w:space="0" w:color="000000"/>
            </w:tcBorders>
            <w:shd w:val="clear" w:color="auto" w:fill="D9D9D9"/>
          </w:tcPr>
          <w:p>
            <w:pPr/>
          </w:p>
        </w:tc>
        <w:tc>
          <w:tcPr>
            <w:tcW w:w="852" w:type="dxa"/>
            <w:vMerge/>
            <w:tcBorders>
              <w:left w:val="single" w:sz="4" w:space="0" w:color="000000"/>
              <w:bottom w:val="single" w:sz="4" w:space="0" w:color="000000"/>
              <w:right w:val="single" w:sz="4" w:space="0" w:color="000000"/>
            </w:tcBorders>
            <w:shd w:val="clear" w:color="auto" w:fill="D9D9D9"/>
          </w:tcPr>
          <w:p>
            <w:pPr/>
          </w:p>
        </w:tc>
        <w:tc>
          <w:tcPr>
            <w:tcW w:w="850" w:type="dxa"/>
            <w:vMerge/>
            <w:tcBorders>
              <w:left w:val="single" w:sz="4" w:space="0" w:color="000000"/>
              <w:bottom w:val="single" w:sz="4" w:space="0" w:color="000000"/>
              <w:right w:val="single" w:sz="4" w:space="0" w:color="000000"/>
            </w:tcBorders>
            <w:shd w:val="clear" w:color="auto" w:fill="D9D9D9"/>
          </w:tcPr>
          <w:p>
            <w:pPr/>
          </w:p>
        </w:tc>
        <w:tc>
          <w:tcPr>
            <w:tcW w:w="852" w:type="dxa"/>
            <w:vMerge/>
            <w:tcBorders>
              <w:left w:val="single" w:sz="4" w:space="0" w:color="000000"/>
              <w:bottom w:val="single" w:sz="4" w:space="0" w:color="000000"/>
              <w:right w:val="single" w:sz="4" w:space="0" w:color="000000"/>
            </w:tcBorders>
            <w:shd w:val="clear" w:color="auto" w:fill="D9D9D9"/>
          </w:tcPr>
          <w:p>
            <w:pPr/>
          </w:p>
        </w:tc>
        <w:tc>
          <w:tcPr>
            <w:tcW w:w="992" w:type="dxa"/>
            <w:vMerge/>
            <w:tcBorders>
              <w:left w:val="single" w:sz="4" w:space="0" w:color="000000"/>
              <w:bottom w:val="single" w:sz="4" w:space="0" w:color="000000"/>
              <w:right w:val="single" w:sz="4" w:space="0" w:color="000000"/>
            </w:tcBorders>
            <w:shd w:val="clear" w:color="auto" w:fill="D9D9D9"/>
          </w:tcPr>
          <w:p>
            <w:pPr/>
          </w:p>
        </w:tc>
        <w:tc>
          <w:tcPr>
            <w:tcW w:w="991" w:type="dxa"/>
            <w:vMerge/>
            <w:tcBorders>
              <w:left w:val="single" w:sz="4" w:space="0" w:color="000000"/>
              <w:bottom w:val="single" w:sz="4" w:space="0" w:color="000000"/>
              <w:right w:val="single" w:sz="4" w:space="0" w:color="000000"/>
            </w:tcBorders>
            <w:shd w:val="clear" w:color="auto" w:fill="D9D9D9"/>
          </w:tcPr>
          <w:p>
            <w:pPr/>
          </w:p>
        </w:tc>
        <w:tc>
          <w:tcPr>
            <w:tcW w:w="994" w:type="dxa"/>
            <w:vMerge/>
            <w:tcBorders>
              <w:left w:val="single" w:sz="4" w:space="0" w:color="000000"/>
              <w:bottom w:val="single" w:sz="4" w:space="0" w:color="000000"/>
              <w:right w:val="single" w:sz="4" w:space="0" w:color="000000"/>
            </w:tcBorders>
            <w:shd w:val="clear" w:color="auto" w:fill="D9D9D9"/>
          </w:tcPr>
          <w:p>
            <w:pPr/>
          </w:p>
        </w:tc>
        <w:tc>
          <w:tcPr>
            <w:tcW w:w="850" w:type="dxa"/>
            <w:vMerge/>
            <w:tcBorders>
              <w:left w:val="single" w:sz="4" w:space="0" w:color="000000"/>
              <w:bottom w:val="single" w:sz="4" w:space="0" w:color="000000"/>
              <w:right w:val="single" w:sz="4" w:space="0" w:color="000000"/>
            </w:tcBorders>
            <w:shd w:val="clear" w:color="auto" w:fill="D9D9D9"/>
          </w:tcPr>
          <w:p>
            <w:pPr/>
          </w:p>
        </w:tc>
        <w:tc>
          <w:tcPr>
            <w:tcW w:w="891" w:type="dxa"/>
            <w:vMerge/>
            <w:tcBorders>
              <w:left w:val="single" w:sz="4" w:space="0" w:color="000000"/>
              <w:bottom w:val="single" w:sz="4" w:space="0" w:color="000000"/>
              <w:right w:val="single" w:sz="4" w:space="0" w:color="000000"/>
            </w:tcBorders>
            <w:shd w:val="clear" w:color="auto" w:fill="D9D9D9"/>
          </w:tcPr>
          <w:p>
            <w:pPr/>
          </w:p>
        </w:tc>
        <w:tc>
          <w:tcPr>
            <w:tcW w:w="386" w:type="dxa"/>
            <w:vMerge/>
            <w:tcBorders>
              <w:left w:val="single" w:sz="4" w:space="0" w:color="000000"/>
              <w:bottom w:val="single" w:sz="4" w:space="0" w:color="000000"/>
              <w:right w:val="single" w:sz="4" w:space="0" w:color="000000"/>
            </w:tcBorders>
            <w:shd w:val="clear" w:color="auto" w:fill="D9D9D9"/>
          </w:tcPr>
          <w:p>
            <w:pPr/>
          </w:p>
        </w:tc>
        <w:tc>
          <w:tcPr>
            <w:tcW w:w="850" w:type="dxa"/>
            <w:vMerge/>
            <w:tcBorders>
              <w:left w:val="single" w:sz="4" w:space="0" w:color="000000"/>
              <w:bottom w:val="single" w:sz="4" w:space="0" w:color="000000"/>
              <w:right w:val="single" w:sz="4" w:space="0" w:color="000000"/>
            </w:tcBorders>
            <w:shd w:val="clear" w:color="auto" w:fill="D9D9D9"/>
          </w:tcPr>
          <w:p>
            <w:pPr/>
          </w:p>
        </w:tc>
        <w:tc>
          <w:tcPr>
            <w:tcW w:w="454" w:type="dxa"/>
            <w:vMerge/>
            <w:tcBorders>
              <w:left w:val="single" w:sz="4" w:space="0" w:color="000000"/>
              <w:bottom w:val="single" w:sz="4" w:space="0" w:color="000000"/>
              <w:right w:val="single" w:sz="4" w:space="0" w:color="000000"/>
            </w:tcBorders>
            <w:shd w:val="clear" w:color="auto" w:fill="D9D9D9"/>
          </w:tcPr>
          <w:p>
            <w:pPr/>
          </w:p>
        </w:tc>
      </w:tr>
      <w:tr>
        <w:trPr>
          <w:trHeight w:val="713" w:hRule="exact"/>
        </w:trPr>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56"/>
              <w:jc w:val="left"/>
              <w:rPr>
                <w:rFonts w:ascii="宋体" w:hAnsi="宋体" w:cs="宋体" w:eastAsia="宋体" w:hint="default"/>
                <w:sz w:val="18"/>
                <w:szCs w:val="18"/>
              </w:rPr>
            </w:pPr>
            <w:r>
              <w:rPr>
                <w:rFonts w:ascii="宋体" w:hAnsi="宋体" w:cs="宋体" w:eastAsia="宋体" w:hint="default"/>
                <w:spacing w:val="-27"/>
                <w:sz w:val="18"/>
                <w:szCs w:val="18"/>
              </w:rPr>
              <w:t>流动资</w:t>
            </w:r>
            <w:r>
              <w:rPr>
                <w:rFonts w:ascii="宋体" w:hAnsi="宋体" w:cs="宋体" w:eastAsia="宋体" w:hint="default"/>
                <w:sz w:val="18"/>
                <w:szCs w:val="18"/>
              </w:rPr>
              <w:t> 产</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864,866,149.87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133,190,238.06</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577,741,134.38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50,322,858.75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1,138,349.06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3,122,861.62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20,437,339.91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695,013,513.55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92,209,150.18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132,401,909.92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344,341,385.2</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6</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38,247,017.19</w:t>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5,531,217.42</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56"/>
              <w:jc w:val="left"/>
              <w:rPr>
                <w:rFonts w:ascii="宋体" w:hAnsi="宋体" w:cs="宋体" w:eastAsia="宋体" w:hint="default"/>
                <w:sz w:val="18"/>
                <w:szCs w:val="18"/>
              </w:rPr>
            </w:pPr>
            <w:r>
              <w:rPr>
                <w:rFonts w:ascii="宋体" w:hAnsi="宋体" w:cs="宋体" w:eastAsia="宋体" w:hint="default"/>
                <w:spacing w:val="-27"/>
                <w:sz w:val="18"/>
                <w:szCs w:val="18"/>
              </w:rPr>
              <w:t>非流动</w:t>
            </w:r>
            <w:r>
              <w:rPr>
                <w:rFonts w:ascii="宋体" w:hAnsi="宋体" w:cs="宋体" w:eastAsia="宋体" w:hint="default"/>
                <w:sz w:val="18"/>
                <w:szCs w:val="18"/>
              </w:rPr>
              <w:t> </w:t>
            </w:r>
            <w:r>
              <w:rPr>
                <w:rFonts w:ascii="宋体" w:hAnsi="宋体" w:cs="宋体" w:eastAsia="宋体" w:hint="default"/>
                <w:spacing w:val="-39"/>
                <w:sz w:val="18"/>
                <w:szCs w:val="18"/>
              </w:rPr>
              <w:t>资产</w:t>
            </w:r>
            <w:r>
              <w:rPr>
                <w:rFonts w:ascii="宋体" w:hAnsi="宋体" w:cs="宋体" w:eastAsia="宋体" w:hint="default"/>
                <w:sz w:val="18"/>
                <w:szCs w:val="18"/>
              </w:rPr>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80,735,129.09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38,065,898.68</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26,737,794.92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6,168,625.12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175,420.39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4,320,301.08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173,892.90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62,108,292.16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30,174,545.43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228,843,297.8</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8</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9,328,066.26</w:t>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4,668,498.30</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56"/>
              <w:jc w:val="left"/>
              <w:rPr>
                <w:rFonts w:ascii="宋体" w:hAnsi="宋体" w:cs="宋体" w:eastAsia="宋体" w:hint="default"/>
                <w:sz w:val="18"/>
                <w:szCs w:val="18"/>
              </w:rPr>
            </w:pPr>
            <w:r>
              <w:rPr>
                <w:rFonts w:ascii="宋体" w:hAnsi="宋体" w:cs="宋体" w:eastAsia="宋体" w:hint="default"/>
                <w:spacing w:val="-27"/>
                <w:sz w:val="18"/>
                <w:szCs w:val="18"/>
              </w:rPr>
              <w:t>资产合</w:t>
            </w:r>
            <w:r>
              <w:rPr>
                <w:rFonts w:ascii="宋体" w:hAnsi="宋体" w:cs="宋体" w:eastAsia="宋体" w:hint="default"/>
                <w:sz w:val="18"/>
                <w:szCs w:val="18"/>
              </w:rPr>
              <w:t> 计</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945,601,278.96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171,256,136.74</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604,478,929.30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56,491,483.87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1,313,769.45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7,443,162.70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20,611,232.81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757,121,805.71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122,383,695.61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132,401,909.92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573,184,683.1</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4</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47,575,083.45</w:t>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10,199,715.72</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56"/>
              <w:jc w:val="left"/>
              <w:rPr>
                <w:rFonts w:ascii="宋体" w:hAnsi="宋体" w:cs="宋体" w:eastAsia="宋体" w:hint="default"/>
                <w:sz w:val="18"/>
                <w:szCs w:val="18"/>
              </w:rPr>
            </w:pPr>
            <w:r>
              <w:rPr>
                <w:rFonts w:ascii="宋体" w:hAnsi="宋体" w:cs="宋体" w:eastAsia="宋体" w:hint="default"/>
                <w:spacing w:val="-27"/>
                <w:sz w:val="18"/>
                <w:szCs w:val="18"/>
              </w:rPr>
              <w:t>流动负</w:t>
            </w:r>
            <w:r>
              <w:rPr>
                <w:rFonts w:ascii="宋体" w:hAnsi="宋体" w:cs="宋体" w:eastAsia="宋体" w:hint="default"/>
                <w:sz w:val="18"/>
                <w:szCs w:val="18"/>
              </w:rPr>
              <w:t> 债</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806,736,227.27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27,906,580.09</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204,480,658.48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20,994,122.10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1,053,617.04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262,906.40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7,858,398.32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613,566,256.17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30,342,397.83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82,212,999.41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185,960,087.5</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12,157,239.94</w:t>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530,521.70</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56"/>
              <w:jc w:val="left"/>
              <w:rPr>
                <w:rFonts w:ascii="宋体" w:hAnsi="宋体" w:cs="宋体" w:eastAsia="宋体" w:hint="default"/>
                <w:sz w:val="18"/>
                <w:szCs w:val="18"/>
              </w:rPr>
            </w:pPr>
            <w:r>
              <w:rPr>
                <w:rFonts w:ascii="宋体" w:hAnsi="宋体" w:cs="宋体" w:eastAsia="宋体" w:hint="default"/>
                <w:spacing w:val="-27"/>
                <w:sz w:val="18"/>
                <w:szCs w:val="18"/>
              </w:rPr>
              <w:t>非流动</w:t>
            </w:r>
            <w:r>
              <w:rPr>
                <w:rFonts w:ascii="宋体" w:hAnsi="宋体" w:cs="宋体" w:eastAsia="宋体" w:hint="default"/>
                <w:sz w:val="18"/>
                <w:szCs w:val="18"/>
              </w:rPr>
              <w:t> </w:t>
            </w:r>
            <w:r>
              <w:rPr>
                <w:rFonts w:ascii="宋体" w:hAnsi="宋体" w:cs="宋体" w:eastAsia="宋体" w:hint="default"/>
                <w:spacing w:val="-39"/>
                <w:sz w:val="18"/>
                <w:szCs w:val="18"/>
              </w:rPr>
              <w:t>负债</w:t>
            </w:r>
            <w:r>
              <w:rPr>
                <w:rFonts w:ascii="宋体" w:hAnsi="宋体" w:cs="宋体" w:eastAsia="宋体" w:hint="default"/>
                <w:sz w:val="18"/>
                <w:szCs w:val="18"/>
              </w:rPr>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1,570,213.50</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5,701,789.60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3,464,487.27</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56"/>
              <w:jc w:val="left"/>
              <w:rPr>
                <w:rFonts w:ascii="宋体" w:hAnsi="宋体" w:cs="宋体" w:eastAsia="宋体" w:hint="default"/>
                <w:sz w:val="18"/>
                <w:szCs w:val="18"/>
              </w:rPr>
            </w:pPr>
            <w:r>
              <w:rPr>
                <w:rFonts w:ascii="宋体" w:hAnsi="宋体" w:cs="宋体" w:eastAsia="宋体" w:hint="default"/>
                <w:spacing w:val="-27"/>
                <w:sz w:val="18"/>
                <w:szCs w:val="18"/>
              </w:rPr>
              <w:t>负债合</w:t>
            </w:r>
            <w:r>
              <w:rPr>
                <w:rFonts w:ascii="宋体" w:hAnsi="宋体" w:cs="宋体" w:eastAsia="宋体" w:hint="default"/>
                <w:sz w:val="18"/>
                <w:szCs w:val="18"/>
              </w:rPr>
              <w:t> 计</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806,736,227.27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29,476,793.59</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204,480,658.48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20,994,122.10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1,053,617.04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5,964,696.00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7,858,398.32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613,566,256.17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30,342,397.83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82,212,999.41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185,960,087.5</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12,157,239.94</w:t>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3,995,008.97</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56"/>
              <w:jc w:val="left"/>
              <w:rPr>
                <w:rFonts w:ascii="宋体" w:hAnsi="宋体" w:cs="宋体" w:eastAsia="宋体" w:hint="default"/>
                <w:sz w:val="18"/>
                <w:szCs w:val="18"/>
              </w:rPr>
            </w:pPr>
            <w:r>
              <w:rPr>
                <w:rFonts w:ascii="宋体" w:hAnsi="宋体" w:cs="宋体" w:eastAsia="宋体" w:hint="default"/>
                <w:spacing w:val="-27"/>
                <w:sz w:val="18"/>
                <w:szCs w:val="18"/>
              </w:rPr>
              <w:t>少数股</w:t>
            </w:r>
            <w:r>
              <w:rPr>
                <w:rFonts w:ascii="宋体" w:hAnsi="宋体" w:cs="宋体" w:eastAsia="宋体" w:hint="default"/>
                <w:sz w:val="18"/>
                <w:szCs w:val="18"/>
              </w:rPr>
              <w:t> </w:t>
            </w:r>
            <w:r>
              <w:rPr>
                <w:rFonts w:ascii="宋体" w:hAnsi="宋体" w:cs="宋体" w:eastAsia="宋体" w:hint="default"/>
                <w:spacing w:val="-27"/>
                <w:sz w:val="18"/>
                <w:szCs w:val="18"/>
              </w:rPr>
              <w:t>东权益</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-55,006.99</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93,533.31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56"/>
              <w:jc w:val="both"/>
              <w:rPr>
                <w:rFonts w:ascii="宋体" w:hAnsi="宋体" w:cs="宋体" w:eastAsia="宋体" w:hint="default"/>
                <w:sz w:val="18"/>
                <w:szCs w:val="18"/>
              </w:rPr>
            </w:pPr>
            <w:r>
              <w:rPr>
                <w:rFonts w:ascii="宋体" w:hAnsi="宋体" w:cs="宋体" w:eastAsia="宋体" w:hint="default"/>
                <w:spacing w:val="-27"/>
                <w:sz w:val="18"/>
                <w:szCs w:val="18"/>
              </w:rPr>
              <w:t>归属于</w:t>
            </w:r>
            <w:r>
              <w:rPr>
                <w:rFonts w:ascii="宋体" w:hAnsi="宋体" w:cs="宋体" w:eastAsia="宋体" w:hint="default"/>
                <w:sz w:val="18"/>
                <w:szCs w:val="18"/>
              </w:rPr>
              <w:t> </w:t>
            </w:r>
            <w:r>
              <w:rPr>
                <w:rFonts w:ascii="宋体" w:hAnsi="宋体" w:cs="宋体" w:eastAsia="宋体" w:hint="default"/>
                <w:spacing w:val="-27"/>
                <w:sz w:val="18"/>
                <w:szCs w:val="18"/>
              </w:rPr>
              <w:t>母公司</w:t>
            </w:r>
            <w:r>
              <w:rPr>
                <w:rFonts w:ascii="宋体" w:hAnsi="宋体" w:cs="宋体" w:eastAsia="宋体" w:hint="default"/>
                <w:sz w:val="18"/>
                <w:szCs w:val="18"/>
              </w:rPr>
              <w:t> </w:t>
            </w:r>
            <w:r>
              <w:rPr>
                <w:rFonts w:ascii="宋体" w:hAnsi="宋体" w:cs="宋体" w:eastAsia="宋体" w:hint="default"/>
                <w:spacing w:val="-27"/>
                <w:sz w:val="18"/>
                <w:szCs w:val="18"/>
              </w:rPr>
              <w:t>股东权</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20"/>
                <w:sz w:val="18"/>
              </w:rPr>
              <w:t>138,865,051.69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0"/>
              <w:jc w:val="right"/>
              <w:rPr>
                <w:rFonts w:ascii="Times New Roman" w:hAnsi="Times New Roman" w:cs="Times New Roman" w:eastAsia="Times New Roman" w:hint="default"/>
                <w:sz w:val="18"/>
                <w:szCs w:val="18"/>
              </w:rPr>
            </w:pPr>
            <w:r>
              <w:rPr>
                <w:rFonts w:ascii="Times New Roman"/>
                <w:spacing w:val="-20"/>
                <w:sz w:val="18"/>
              </w:rPr>
              <w:t>141,834,350.14</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20"/>
                <w:sz w:val="18"/>
              </w:rPr>
              <w:t>399,998,270.82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19"/>
                <w:sz w:val="18"/>
              </w:rPr>
              <w:t>35,497,361.77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19"/>
                <w:sz w:val="18"/>
              </w:rPr>
              <w:t>260,152.41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19"/>
                <w:sz w:val="18"/>
              </w:rPr>
              <w:t>1,478,466.70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19"/>
                <w:sz w:val="18"/>
              </w:rPr>
              <w:t>12,752,834.49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20"/>
                <w:sz w:val="18"/>
              </w:rPr>
              <w:t>143,555,549.54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19"/>
                <w:sz w:val="18"/>
              </w:rPr>
              <w:t>92,041,297.78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19"/>
                <w:sz w:val="18"/>
              </w:rPr>
              <w:t>50,188,910.51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387,224,595.6</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19"/>
                <w:sz w:val="18"/>
              </w:rPr>
              <w:t>35,417,843.51</w:t>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19"/>
                <w:sz w:val="18"/>
              </w:rPr>
              <w:t>6,204,706.75</w:t>
            </w:r>
          </w:p>
        </w:tc>
        <w:tc>
          <w:tcPr>
            <w:tcW w:w="45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7"/>
          <w:footerReference w:type="default" r:id="rId48"/>
          <w:pgSz w:w="16840" w:h="11910" w:orient="landscape"/>
          <w:pgMar w:header="867" w:footer="980" w:top="1060" w:bottom="1160" w:left="1300" w:right="1220"/>
          <w:pgNumType w:start="214"/>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552"/>
        <w:gridCol w:w="1008"/>
        <w:gridCol w:w="991"/>
        <w:gridCol w:w="569"/>
        <w:gridCol w:w="991"/>
        <w:gridCol w:w="992"/>
        <w:gridCol w:w="852"/>
        <w:gridCol w:w="850"/>
        <w:gridCol w:w="852"/>
        <w:gridCol w:w="992"/>
        <w:gridCol w:w="991"/>
        <w:gridCol w:w="994"/>
        <w:gridCol w:w="850"/>
        <w:gridCol w:w="891"/>
        <w:gridCol w:w="386"/>
        <w:gridCol w:w="850"/>
        <w:gridCol w:w="454"/>
      </w:tblGrid>
      <w:tr>
        <w:trPr>
          <w:trHeight w:val="377" w:hRule="exact"/>
        </w:trPr>
        <w:tc>
          <w:tcPr>
            <w:tcW w:w="55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008" w:type="dxa"/>
            <w:tcBorders>
              <w:top w:val="single" w:sz="15" w:space="0" w:color="000000"/>
              <w:left w:val="single" w:sz="13" w:space="0" w:color="D2D2D2"/>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891" w:type="dxa"/>
            <w:tcBorders>
              <w:top w:val="single" w:sz="15" w:space="0" w:color="000000"/>
              <w:left w:val="single" w:sz="4" w:space="0" w:color="000000"/>
              <w:bottom w:val="single" w:sz="4" w:space="0" w:color="000000"/>
              <w:right w:val="single" w:sz="4" w:space="0" w:color="000000"/>
            </w:tcBorders>
          </w:tcPr>
          <w:p>
            <w:pPr/>
          </w:p>
        </w:tc>
        <w:tc>
          <w:tcPr>
            <w:tcW w:w="386"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454" w:type="dxa"/>
            <w:tcBorders>
              <w:top w:val="single" w:sz="15" w:space="0" w:color="000000"/>
              <w:left w:val="single" w:sz="4" w:space="0" w:color="000000"/>
              <w:bottom w:val="single" w:sz="4" w:space="0" w:color="000000"/>
              <w:right w:val="single" w:sz="4" w:space="0" w:color="000000"/>
            </w:tcBorders>
          </w:tcPr>
          <w:p>
            <w:pPr/>
          </w:p>
        </w:tc>
      </w:tr>
      <w:tr>
        <w:trPr>
          <w:trHeight w:val="1651" w:hRule="exact"/>
        </w:trPr>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56"/>
              <w:jc w:val="both"/>
              <w:rPr>
                <w:rFonts w:ascii="宋体" w:hAnsi="宋体" w:cs="宋体" w:eastAsia="宋体" w:hint="default"/>
                <w:sz w:val="18"/>
                <w:szCs w:val="18"/>
              </w:rPr>
            </w:pPr>
            <w:r>
              <w:rPr>
                <w:rFonts w:ascii="宋体" w:hAnsi="宋体" w:cs="宋体" w:eastAsia="宋体" w:hint="default"/>
                <w:spacing w:val="-27"/>
                <w:sz w:val="18"/>
                <w:szCs w:val="18"/>
              </w:rPr>
              <w:t>按持股</w:t>
            </w:r>
            <w:r>
              <w:rPr>
                <w:rFonts w:ascii="宋体" w:hAnsi="宋体" w:cs="宋体" w:eastAsia="宋体" w:hint="default"/>
                <w:sz w:val="18"/>
                <w:szCs w:val="18"/>
              </w:rPr>
              <w:t> </w:t>
            </w:r>
            <w:r>
              <w:rPr>
                <w:rFonts w:ascii="宋体" w:hAnsi="宋体" w:cs="宋体" w:eastAsia="宋体" w:hint="default"/>
                <w:spacing w:val="-27"/>
                <w:sz w:val="18"/>
                <w:szCs w:val="18"/>
              </w:rPr>
              <w:t>比例计</w:t>
            </w:r>
            <w:r>
              <w:rPr>
                <w:rFonts w:ascii="宋体" w:hAnsi="宋体" w:cs="宋体" w:eastAsia="宋体" w:hint="default"/>
                <w:sz w:val="18"/>
                <w:szCs w:val="18"/>
              </w:rPr>
              <w:t> </w:t>
            </w:r>
            <w:r>
              <w:rPr>
                <w:rFonts w:ascii="宋体" w:hAnsi="宋体" w:cs="宋体" w:eastAsia="宋体" w:hint="default"/>
                <w:spacing w:val="-27"/>
                <w:sz w:val="18"/>
                <w:szCs w:val="18"/>
              </w:rPr>
              <w:t>算的净</w:t>
            </w:r>
            <w:r>
              <w:rPr>
                <w:rFonts w:ascii="宋体" w:hAnsi="宋体" w:cs="宋体" w:eastAsia="宋体" w:hint="default"/>
                <w:sz w:val="18"/>
                <w:szCs w:val="18"/>
              </w:rPr>
              <w:t> </w:t>
            </w:r>
            <w:r>
              <w:rPr>
                <w:rFonts w:ascii="宋体" w:hAnsi="宋体" w:cs="宋体" w:eastAsia="宋体" w:hint="default"/>
                <w:spacing w:val="-27"/>
                <w:sz w:val="18"/>
                <w:szCs w:val="18"/>
              </w:rPr>
              <w:t>资产份</w:t>
            </w:r>
            <w:r>
              <w:rPr>
                <w:rFonts w:ascii="宋体" w:hAnsi="宋体" w:cs="宋体" w:eastAsia="宋体" w:hint="default"/>
                <w:sz w:val="18"/>
                <w:szCs w:val="18"/>
              </w:rPr>
              <w:t> 额</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31,244,636.64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42,550,305.04</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99,999,567.71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7,454,445.97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57,329.79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591,386.68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4,676,464.41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32,299,998.65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27,612,389.33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11,292,504.86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96,806,148.90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7,437,747.14</w:t>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1,551,176.69</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56"/>
              <w:jc w:val="left"/>
              <w:rPr>
                <w:rFonts w:ascii="宋体" w:hAnsi="宋体" w:cs="宋体" w:eastAsia="宋体" w:hint="default"/>
                <w:sz w:val="18"/>
                <w:szCs w:val="18"/>
              </w:rPr>
            </w:pPr>
            <w:r>
              <w:rPr>
                <w:rFonts w:ascii="宋体" w:hAnsi="宋体" w:cs="宋体" w:eastAsia="宋体" w:hint="default"/>
                <w:spacing w:val="-27"/>
                <w:sz w:val="18"/>
                <w:szCs w:val="18"/>
              </w:rPr>
              <w:t>调整事</w:t>
            </w:r>
            <w:r>
              <w:rPr>
                <w:rFonts w:ascii="宋体" w:hAnsi="宋体" w:cs="宋体" w:eastAsia="宋体" w:hint="default"/>
                <w:sz w:val="18"/>
                <w:szCs w:val="18"/>
              </w:rPr>
              <w:t> 项</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31"/>
                <w:sz w:val="18"/>
                <w:szCs w:val="18"/>
              </w:rPr>
              <w:t>--</w:t>
            </w:r>
            <w:r>
              <w:rPr>
                <w:rFonts w:ascii="宋体" w:hAnsi="宋体" w:cs="宋体" w:eastAsia="宋体" w:hint="default"/>
                <w:spacing w:val="-31"/>
                <w:sz w:val="18"/>
                <w:szCs w:val="18"/>
              </w:rPr>
              <w:t>商誉</w:t>
            </w:r>
            <w:r>
              <w:rPr>
                <w:rFonts w:ascii="宋体" w:hAnsi="宋体" w:cs="宋体" w:eastAsia="宋体" w:hint="default"/>
                <w:sz w:val="18"/>
                <w:szCs w:val="18"/>
              </w:rPr>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26,766,487.19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81,852,483.68</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60,083,614.81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5,480,811.96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12,370,460.43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53,422,924.30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26,766,487.19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81,852,483.68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60,083,614.81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7,899,601.71</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17"/>
              <w:jc w:val="both"/>
              <w:rPr>
                <w:rFonts w:ascii="宋体" w:hAnsi="宋体" w:cs="宋体" w:eastAsia="宋体" w:hint="default"/>
                <w:sz w:val="18"/>
                <w:szCs w:val="18"/>
              </w:rPr>
            </w:pPr>
            <w:r>
              <w:rPr>
                <w:rFonts w:ascii="Times New Roman" w:hAnsi="Times New Roman" w:cs="Times New Roman" w:eastAsia="Times New Roman" w:hint="default"/>
                <w:spacing w:val="-33"/>
                <w:sz w:val="18"/>
                <w:szCs w:val="18"/>
              </w:rPr>
              <w:t>--</w:t>
            </w:r>
            <w:r>
              <w:rPr>
                <w:rFonts w:ascii="宋体" w:hAnsi="宋体" w:cs="宋体" w:eastAsia="宋体" w:hint="default"/>
                <w:spacing w:val="-33"/>
                <w:sz w:val="18"/>
                <w:szCs w:val="18"/>
              </w:rPr>
              <w:t>内部交</w:t>
            </w:r>
            <w:r>
              <w:rPr>
                <w:rFonts w:ascii="宋体" w:hAnsi="宋体" w:cs="宋体" w:eastAsia="宋体" w:hint="default"/>
                <w:spacing w:val="-41"/>
                <w:w w:val="99"/>
                <w:sz w:val="18"/>
                <w:szCs w:val="18"/>
              </w:rPr>
              <w:t> </w:t>
            </w:r>
            <w:r>
              <w:rPr>
                <w:rFonts w:ascii="宋体" w:hAnsi="宋体" w:cs="宋体" w:eastAsia="宋体" w:hint="default"/>
                <w:spacing w:val="-27"/>
                <w:sz w:val="18"/>
                <w:szCs w:val="18"/>
              </w:rPr>
              <w:t>易未实</w:t>
            </w:r>
            <w:r>
              <w:rPr>
                <w:rFonts w:ascii="宋体" w:hAnsi="宋体" w:cs="宋体" w:eastAsia="宋体" w:hint="default"/>
                <w:w w:val="99"/>
                <w:sz w:val="18"/>
                <w:szCs w:val="18"/>
              </w:rPr>
              <w:t> </w:t>
            </w:r>
            <w:r>
              <w:rPr>
                <w:rFonts w:ascii="宋体" w:hAnsi="宋体" w:cs="宋体" w:eastAsia="宋体" w:hint="default"/>
                <w:spacing w:val="-27"/>
                <w:sz w:val="18"/>
                <w:szCs w:val="18"/>
              </w:rPr>
              <w:t>现利润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21"/>
                <w:sz w:val="18"/>
                <w:szCs w:val="18"/>
              </w:rPr>
              <w:t>--</w:t>
            </w:r>
            <w:r>
              <w:rPr>
                <w:rFonts w:ascii="宋体" w:hAnsi="宋体" w:cs="宋体" w:eastAsia="宋体" w:hint="default"/>
                <w:spacing w:val="-21"/>
                <w:sz w:val="18"/>
                <w:szCs w:val="18"/>
              </w:rPr>
              <w:t>其他</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-428,948.73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-428,948.73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56"/>
              <w:jc w:val="both"/>
              <w:rPr>
                <w:rFonts w:ascii="宋体" w:hAnsi="宋体" w:cs="宋体" w:eastAsia="宋体" w:hint="default"/>
                <w:sz w:val="18"/>
                <w:szCs w:val="18"/>
              </w:rPr>
            </w:pPr>
            <w:r>
              <w:rPr>
                <w:rFonts w:ascii="宋体" w:hAnsi="宋体" w:cs="宋体" w:eastAsia="宋体" w:hint="default"/>
                <w:spacing w:val="-27"/>
                <w:sz w:val="18"/>
                <w:szCs w:val="18"/>
              </w:rPr>
              <w:t>对联营</w:t>
            </w:r>
            <w:r>
              <w:rPr>
                <w:rFonts w:ascii="宋体" w:hAnsi="宋体" w:cs="宋体" w:eastAsia="宋体" w:hint="default"/>
                <w:sz w:val="18"/>
                <w:szCs w:val="18"/>
              </w:rPr>
              <w:t> </w:t>
            </w:r>
            <w:r>
              <w:rPr>
                <w:rFonts w:ascii="宋体" w:hAnsi="宋体" w:cs="宋体" w:eastAsia="宋体" w:hint="default"/>
                <w:spacing w:val="-27"/>
                <w:sz w:val="18"/>
                <w:szCs w:val="18"/>
              </w:rPr>
              <w:t>企业权</w:t>
            </w:r>
            <w:r>
              <w:rPr>
                <w:rFonts w:ascii="宋体" w:hAnsi="宋体" w:cs="宋体" w:eastAsia="宋体" w:hint="default"/>
                <w:sz w:val="18"/>
                <w:szCs w:val="18"/>
              </w:rPr>
              <w:t> </w:t>
            </w:r>
            <w:r>
              <w:rPr>
                <w:rFonts w:ascii="宋体" w:hAnsi="宋体" w:cs="宋体" w:eastAsia="宋体" w:hint="default"/>
                <w:spacing w:val="-27"/>
                <w:sz w:val="18"/>
                <w:szCs w:val="18"/>
              </w:rPr>
              <w:t>益投资</w:t>
            </w:r>
            <w:r>
              <w:rPr>
                <w:rFonts w:ascii="宋体" w:hAnsi="宋体" w:cs="宋体" w:eastAsia="宋体" w:hint="default"/>
                <w:sz w:val="18"/>
                <w:szCs w:val="18"/>
              </w:rPr>
              <w:t> </w:t>
            </w:r>
            <w:r>
              <w:rPr>
                <w:rFonts w:ascii="宋体" w:hAnsi="宋体" w:cs="宋体" w:eastAsia="宋体" w:hint="default"/>
                <w:spacing w:val="-27"/>
                <w:sz w:val="18"/>
                <w:szCs w:val="18"/>
              </w:rPr>
              <w:t>的账面</w:t>
            </w:r>
            <w:r>
              <w:rPr>
                <w:rFonts w:ascii="宋体" w:hAnsi="宋体" w:cs="宋体" w:eastAsia="宋体" w:hint="default"/>
                <w:sz w:val="18"/>
                <w:szCs w:val="18"/>
              </w:rPr>
              <w:t> </w:t>
            </w:r>
            <w:r>
              <w:rPr>
                <w:rFonts w:ascii="宋体" w:hAnsi="宋体" w:cs="宋体" w:eastAsia="宋体" w:hint="default"/>
                <w:spacing w:val="-39"/>
                <w:sz w:val="18"/>
                <w:szCs w:val="18"/>
              </w:rPr>
              <w:t>价值</w:t>
            </w:r>
            <w:r>
              <w:rPr>
                <w:rFonts w:ascii="宋体" w:hAnsi="宋体" w:cs="宋体" w:eastAsia="宋体" w:hint="default"/>
                <w:sz w:val="18"/>
                <w:szCs w:val="18"/>
              </w:rPr>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57,582,175.10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124,402,788.72</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160,083,182.52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7,454,445.97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5,538,141.75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12,961,847.11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58,099,388.71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58,637,537.11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109,464,873.01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11,292,504.86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156,889,763.7</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7,437,747.14</w:t>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9,450,778.40</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56"/>
              <w:jc w:val="both"/>
              <w:rPr>
                <w:rFonts w:ascii="宋体" w:hAnsi="宋体" w:cs="宋体" w:eastAsia="宋体" w:hint="default"/>
                <w:sz w:val="18"/>
                <w:szCs w:val="18"/>
              </w:rPr>
            </w:pPr>
            <w:r>
              <w:rPr>
                <w:rFonts w:ascii="宋体" w:hAnsi="宋体" w:cs="宋体" w:eastAsia="宋体" w:hint="default"/>
                <w:spacing w:val="-27"/>
                <w:sz w:val="18"/>
                <w:szCs w:val="18"/>
              </w:rPr>
              <w:t>存在公</w:t>
            </w:r>
            <w:r>
              <w:rPr>
                <w:rFonts w:ascii="宋体" w:hAnsi="宋体" w:cs="宋体" w:eastAsia="宋体" w:hint="default"/>
                <w:sz w:val="18"/>
                <w:szCs w:val="18"/>
              </w:rPr>
              <w:t> </w:t>
            </w:r>
            <w:r>
              <w:rPr>
                <w:rFonts w:ascii="宋体" w:hAnsi="宋体" w:cs="宋体" w:eastAsia="宋体" w:hint="default"/>
                <w:spacing w:val="-27"/>
                <w:sz w:val="18"/>
                <w:szCs w:val="18"/>
              </w:rPr>
              <w:t>开报价</w:t>
            </w:r>
            <w:r>
              <w:rPr>
                <w:rFonts w:ascii="宋体" w:hAnsi="宋体" w:cs="宋体" w:eastAsia="宋体" w:hint="default"/>
                <w:sz w:val="18"/>
                <w:szCs w:val="18"/>
              </w:rPr>
              <w:t> </w:t>
            </w:r>
            <w:r>
              <w:rPr>
                <w:rFonts w:ascii="宋体" w:hAnsi="宋体" w:cs="宋体" w:eastAsia="宋体" w:hint="default"/>
                <w:spacing w:val="-27"/>
                <w:sz w:val="18"/>
                <w:szCs w:val="18"/>
              </w:rPr>
              <w:t>的联营</w:t>
            </w:r>
            <w:r>
              <w:rPr>
                <w:rFonts w:ascii="宋体" w:hAnsi="宋体" w:cs="宋体" w:eastAsia="宋体" w:hint="default"/>
                <w:sz w:val="18"/>
                <w:szCs w:val="18"/>
              </w:rPr>
              <w:t> </w:t>
            </w:r>
            <w:r>
              <w:rPr>
                <w:rFonts w:ascii="宋体" w:hAnsi="宋体" w:cs="宋体" w:eastAsia="宋体" w:hint="default"/>
                <w:spacing w:val="-27"/>
                <w:sz w:val="18"/>
                <w:szCs w:val="18"/>
              </w:rPr>
              <w:t>企业权</w:t>
            </w:r>
            <w:r>
              <w:rPr>
                <w:rFonts w:ascii="宋体" w:hAnsi="宋体" w:cs="宋体" w:eastAsia="宋体" w:hint="default"/>
                <w:sz w:val="18"/>
                <w:szCs w:val="18"/>
              </w:rPr>
              <w:t> </w:t>
            </w:r>
            <w:r>
              <w:rPr>
                <w:rFonts w:ascii="宋体" w:hAnsi="宋体" w:cs="宋体" w:eastAsia="宋体" w:hint="default"/>
                <w:spacing w:val="-27"/>
                <w:sz w:val="18"/>
                <w:szCs w:val="18"/>
              </w:rPr>
              <w:t>益投资</w:t>
            </w:r>
            <w:r>
              <w:rPr>
                <w:rFonts w:ascii="宋体" w:hAnsi="宋体" w:cs="宋体" w:eastAsia="宋体" w:hint="default"/>
                <w:sz w:val="18"/>
                <w:szCs w:val="18"/>
              </w:rPr>
              <w:t> </w:t>
            </w:r>
            <w:r>
              <w:rPr>
                <w:rFonts w:ascii="宋体" w:hAnsi="宋体" w:cs="宋体" w:eastAsia="宋体" w:hint="default"/>
                <w:spacing w:val="-27"/>
                <w:sz w:val="18"/>
                <w:szCs w:val="18"/>
              </w:rPr>
              <w:t>的公允</w:t>
            </w:r>
            <w:r>
              <w:rPr>
                <w:rFonts w:ascii="宋体" w:hAnsi="宋体" w:cs="宋体" w:eastAsia="宋体" w:hint="default"/>
                <w:sz w:val="18"/>
                <w:szCs w:val="18"/>
              </w:rPr>
              <w:t> </w:t>
            </w:r>
            <w:r>
              <w:rPr>
                <w:rFonts w:ascii="宋体" w:hAnsi="宋体" w:cs="宋体" w:eastAsia="宋体" w:hint="default"/>
                <w:spacing w:val="-39"/>
                <w:sz w:val="18"/>
                <w:szCs w:val="18"/>
              </w:rPr>
              <w:t>价值</w:t>
            </w:r>
            <w:r>
              <w:rPr>
                <w:rFonts w:ascii="宋体" w:hAnsi="宋体" w:cs="宋体" w:eastAsia="宋体" w:hint="default"/>
                <w:sz w:val="18"/>
                <w:szCs w:val="18"/>
              </w:rPr>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56"/>
              <w:jc w:val="left"/>
              <w:rPr>
                <w:rFonts w:ascii="宋体" w:hAnsi="宋体" w:cs="宋体" w:eastAsia="宋体" w:hint="default"/>
                <w:sz w:val="18"/>
                <w:szCs w:val="18"/>
              </w:rPr>
            </w:pPr>
            <w:r>
              <w:rPr>
                <w:rFonts w:ascii="宋体" w:hAnsi="宋体" w:cs="宋体" w:eastAsia="宋体" w:hint="default"/>
                <w:spacing w:val="-27"/>
                <w:sz w:val="18"/>
                <w:szCs w:val="18"/>
              </w:rPr>
              <w:t>营业收</w:t>
            </w:r>
            <w:r>
              <w:rPr>
                <w:rFonts w:ascii="宋体" w:hAnsi="宋体" w:cs="宋体" w:eastAsia="宋体" w:hint="default"/>
                <w:sz w:val="18"/>
                <w:szCs w:val="18"/>
              </w:rPr>
              <w:t> 入</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280,492,378.81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178,379,720.56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pacing w:val="-18"/>
                <w:sz w:val="18"/>
              </w:rPr>
              <w:t>7,106,54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pacing w:val="-16"/>
                <w:sz w:val="18"/>
              </w:rPr>
              <w:t>7.23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582,932,162.10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137,391,183.33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3,507,896.77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3,178,334.60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13,490,625.81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165,906,612.98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104,186,352.50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7,106,547.23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555,465,764.0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7</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82,568,457.72</w:t>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2,941,456.93</w:t>
            </w:r>
          </w:p>
        </w:tc>
        <w:tc>
          <w:tcPr>
            <w:tcW w:w="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20" w:right="122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563"/>
        <w:gridCol w:w="997"/>
        <w:gridCol w:w="991"/>
        <w:gridCol w:w="569"/>
        <w:gridCol w:w="991"/>
        <w:gridCol w:w="992"/>
        <w:gridCol w:w="852"/>
        <w:gridCol w:w="850"/>
        <w:gridCol w:w="852"/>
        <w:gridCol w:w="992"/>
        <w:gridCol w:w="991"/>
        <w:gridCol w:w="994"/>
        <w:gridCol w:w="850"/>
        <w:gridCol w:w="891"/>
        <w:gridCol w:w="386"/>
        <w:gridCol w:w="850"/>
        <w:gridCol w:w="454"/>
      </w:tblGrid>
      <w:tr>
        <w:trPr>
          <w:trHeight w:val="730" w:hRule="exact"/>
        </w:trPr>
        <w:tc>
          <w:tcPr>
            <w:tcW w:w="56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27"/>
                <w:sz w:val="18"/>
                <w:szCs w:val="18"/>
              </w:rPr>
              <w:t>净利润</w:t>
            </w:r>
          </w:p>
        </w:tc>
        <w:tc>
          <w:tcPr>
            <w:tcW w:w="99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-5,326,170.72</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51,890,517.77</w:t>
            </w:r>
          </w:p>
        </w:tc>
        <w:tc>
          <w:tcPr>
            <w:tcW w:w="5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18"/>
                <w:sz w:val="18"/>
              </w:rPr>
              <w:t>66,512.8</w:t>
            </w:r>
          </w:p>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22,627,915.21</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1,502,164.34</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-3,917,132.76</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20"/>
                <w:sz w:val="18"/>
              </w:rPr>
              <w:t>-11,059,123.3</w:t>
            </w:r>
          </w:p>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20"/>
                <w:sz w:val="18"/>
              </w:rPr>
              <w:t>-30,491,638.3</w:t>
            </w:r>
          </w:p>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-1,857,378.66</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14,770,855.60</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66,512.86</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36,620,964.13</w:t>
            </w:r>
          </w:p>
        </w:tc>
        <w:tc>
          <w:tcPr>
            <w:tcW w:w="8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-11,367,049.07</w:t>
            </w:r>
          </w:p>
        </w:tc>
        <w:tc>
          <w:tcPr>
            <w:tcW w:w="386"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-1,449,567.74</w:t>
            </w:r>
          </w:p>
        </w:tc>
        <w:tc>
          <w:tcPr>
            <w:tcW w:w="454" w:type="dxa"/>
            <w:tcBorders>
              <w:top w:val="single" w:sz="15" w:space="0" w:color="000000"/>
              <w:left w:val="single" w:sz="4" w:space="0" w:color="000000"/>
              <w:bottom w:val="single" w:sz="4" w:space="0" w:color="000000"/>
              <w:right w:val="single" w:sz="4" w:space="0" w:color="000000"/>
            </w:tcBorders>
          </w:tcPr>
          <w:p>
            <w:pPr/>
          </w:p>
        </w:tc>
      </w:tr>
      <w:tr>
        <w:trPr>
          <w:trHeight w:val="1025"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66"/>
              <w:jc w:val="both"/>
              <w:rPr>
                <w:rFonts w:ascii="宋体" w:hAnsi="宋体" w:cs="宋体" w:eastAsia="宋体" w:hint="default"/>
                <w:sz w:val="18"/>
                <w:szCs w:val="18"/>
              </w:rPr>
            </w:pPr>
            <w:r>
              <w:rPr>
                <w:rFonts w:ascii="宋体" w:hAnsi="宋体" w:cs="宋体" w:eastAsia="宋体" w:hint="default"/>
                <w:spacing w:val="-27"/>
                <w:sz w:val="18"/>
                <w:szCs w:val="18"/>
              </w:rPr>
              <w:t>终止经</w:t>
            </w:r>
            <w:r>
              <w:rPr>
                <w:rFonts w:ascii="宋体" w:hAnsi="宋体" w:cs="宋体" w:eastAsia="宋体" w:hint="default"/>
                <w:sz w:val="18"/>
                <w:szCs w:val="18"/>
              </w:rPr>
              <w:t> </w:t>
            </w:r>
            <w:r>
              <w:rPr>
                <w:rFonts w:ascii="宋体" w:hAnsi="宋体" w:cs="宋体" w:eastAsia="宋体" w:hint="default"/>
                <w:spacing w:val="-27"/>
                <w:sz w:val="18"/>
                <w:szCs w:val="18"/>
              </w:rPr>
              <w:t>营的净</w:t>
            </w:r>
            <w:r>
              <w:rPr>
                <w:rFonts w:ascii="宋体" w:hAnsi="宋体" w:cs="宋体" w:eastAsia="宋体" w:hint="default"/>
                <w:sz w:val="18"/>
                <w:szCs w:val="18"/>
              </w:rPr>
              <w:t> </w:t>
            </w:r>
            <w:r>
              <w:rPr>
                <w:rFonts w:ascii="宋体" w:hAnsi="宋体" w:cs="宋体" w:eastAsia="宋体" w:hint="default"/>
                <w:spacing w:val="-39"/>
                <w:sz w:val="18"/>
                <w:szCs w:val="18"/>
              </w:rPr>
              <w:t>利润</w:t>
            </w:r>
            <w:r>
              <w:rPr>
                <w:rFonts w:ascii="宋体" w:hAnsi="宋体" w:cs="宋体" w:eastAsia="宋体" w:hint="default"/>
                <w:sz w:val="18"/>
                <w:szCs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66"/>
              <w:jc w:val="left"/>
              <w:rPr>
                <w:rFonts w:ascii="宋体" w:hAnsi="宋体" w:cs="宋体" w:eastAsia="宋体" w:hint="default"/>
                <w:sz w:val="18"/>
                <w:szCs w:val="18"/>
              </w:rPr>
            </w:pPr>
            <w:r>
              <w:rPr>
                <w:rFonts w:ascii="宋体" w:hAnsi="宋体" w:cs="宋体" w:eastAsia="宋体" w:hint="default"/>
                <w:spacing w:val="-27"/>
                <w:sz w:val="18"/>
                <w:szCs w:val="18"/>
              </w:rPr>
              <w:t>其他综</w:t>
            </w:r>
            <w:r>
              <w:rPr>
                <w:rFonts w:ascii="宋体" w:hAnsi="宋体" w:cs="宋体" w:eastAsia="宋体" w:hint="default"/>
                <w:sz w:val="18"/>
                <w:szCs w:val="18"/>
              </w:rPr>
              <w:t> </w:t>
            </w:r>
            <w:r>
              <w:rPr>
                <w:rFonts w:ascii="宋体" w:hAnsi="宋体" w:cs="宋体" w:eastAsia="宋体" w:hint="default"/>
                <w:spacing w:val="-27"/>
                <w:sz w:val="18"/>
                <w:szCs w:val="18"/>
              </w:rPr>
              <w:t>合收益</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635,672.87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-2,097,465.40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46,307.70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-1,312,562.90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4,066,469.70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66"/>
              <w:jc w:val="left"/>
              <w:rPr>
                <w:rFonts w:ascii="宋体" w:hAnsi="宋体" w:cs="宋体" w:eastAsia="宋体" w:hint="default"/>
                <w:sz w:val="18"/>
                <w:szCs w:val="18"/>
              </w:rPr>
            </w:pPr>
            <w:r>
              <w:rPr>
                <w:rFonts w:ascii="宋体" w:hAnsi="宋体" w:cs="宋体" w:eastAsia="宋体" w:hint="default"/>
                <w:spacing w:val="-27"/>
                <w:sz w:val="18"/>
                <w:szCs w:val="18"/>
              </w:rPr>
              <w:t>综合收</w:t>
            </w:r>
            <w:r>
              <w:rPr>
                <w:rFonts w:ascii="宋体" w:hAnsi="宋体" w:cs="宋体" w:eastAsia="宋体" w:hint="default"/>
                <w:sz w:val="18"/>
                <w:szCs w:val="18"/>
              </w:rPr>
              <w:t> </w:t>
            </w:r>
            <w:r>
              <w:rPr>
                <w:rFonts w:ascii="宋体" w:hAnsi="宋体" w:cs="宋体" w:eastAsia="宋体" w:hint="default"/>
                <w:spacing w:val="-27"/>
                <w:sz w:val="18"/>
                <w:szCs w:val="18"/>
              </w:rPr>
              <w:t>益总额</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-4,690,497.85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49,793,052.37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8"/>
                <w:sz w:val="18"/>
              </w:rPr>
              <w:t>66,512.8</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22,627,915.21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1,502,164.34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-3,917,132.76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-11,012,815.6</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-30,491,638.3</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-3,169,941.56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18,837,325.30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66,512.86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36,620,964.13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-11,367,049.07</w:t>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-1,449,567.74</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6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99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66"/>
              <w:jc w:val="both"/>
              <w:rPr>
                <w:rFonts w:ascii="宋体" w:hAnsi="宋体" w:cs="宋体" w:eastAsia="宋体" w:hint="default"/>
                <w:sz w:val="18"/>
                <w:szCs w:val="18"/>
              </w:rPr>
            </w:pPr>
            <w:r>
              <w:rPr>
                <w:rFonts w:ascii="宋体" w:hAnsi="宋体" w:cs="宋体" w:eastAsia="宋体" w:hint="default"/>
                <w:spacing w:val="-27"/>
                <w:sz w:val="18"/>
                <w:szCs w:val="18"/>
              </w:rPr>
              <w:t>本年度</w:t>
            </w:r>
            <w:r>
              <w:rPr>
                <w:rFonts w:ascii="宋体" w:hAnsi="宋体" w:cs="宋体" w:eastAsia="宋体" w:hint="default"/>
                <w:sz w:val="18"/>
                <w:szCs w:val="18"/>
              </w:rPr>
              <w:t> </w:t>
            </w:r>
            <w:r>
              <w:rPr>
                <w:rFonts w:ascii="宋体" w:hAnsi="宋体" w:cs="宋体" w:eastAsia="宋体" w:hint="default"/>
                <w:spacing w:val="-27"/>
                <w:sz w:val="18"/>
                <w:szCs w:val="18"/>
              </w:rPr>
              <w:t>收到的</w:t>
            </w:r>
            <w:r>
              <w:rPr>
                <w:rFonts w:ascii="宋体" w:hAnsi="宋体" w:cs="宋体" w:eastAsia="宋体" w:hint="default"/>
                <w:sz w:val="18"/>
                <w:szCs w:val="18"/>
              </w:rPr>
              <w:t> </w:t>
            </w:r>
            <w:r>
              <w:rPr>
                <w:rFonts w:ascii="宋体" w:hAnsi="宋体" w:cs="宋体" w:eastAsia="宋体" w:hint="default"/>
                <w:spacing w:val="-27"/>
                <w:sz w:val="18"/>
                <w:szCs w:val="18"/>
              </w:rPr>
              <w:t>来自联</w:t>
            </w:r>
            <w:r>
              <w:rPr>
                <w:rFonts w:ascii="宋体" w:hAnsi="宋体" w:cs="宋体" w:eastAsia="宋体" w:hint="default"/>
                <w:sz w:val="18"/>
                <w:szCs w:val="18"/>
              </w:rPr>
              <w:t> </w:t>
            </w:r>
            <w:r>
              <w:rPr>
                <w:rFonts w:ascii="宋体" w:hAnsi="宋体" w:cs="宋体" w:eastAsia="宋体" w:hint="default"/>
                <w:spacing w:val="-27"/>
                <w:sz w:val="18"/>
                <w:szCs w:val="18"/>
              </w:rPr>
              <w:t>营企业</w:t>
            </w:r>
            <w:r>
              <w:rPr>
                <w:rFonts w:ascii="宋体" w:hAnsi="宋体" w:cs="宋体" w:eastAsia="宋体" w:hint="default"/>
                <w:sz w:val="18"/>
                <w:szCs w:val="18"/>
              </w:rPr>
              <w:t> </w:t>
            </w:r>
            <w:r>
              <w:rPr>
                <w:rFonts w:ascii="宋体" w:hAnsi="宋体" w:cs="宋体" w:eastAsia="宋体" w:hint="default"/>
                <w:spacing w:val="-27"/>
                <w:sz w:val="18"/>
                <w:szCs w:val="18"/>
              </w:rPr>
              <w:t>的股利</w:t>
            </w:r>
          </w:p>
        </w:tc>
        <w:tc>
          <w:tcPr>
            <w:tcW w:w="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2,463,560.00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2,728,240.00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454"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20" w:right="13438"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6840" w:h="11910" w:orient="landscape"/>
          <w:pgMar w:header="867" w:footer="980" w:top="1060" w:bottom="1160" w:left="1320" w:right="1220"/>
        </w:sectPr>
      </w:pPr>
    </w:p>
    <w:p>
      <w:pPr>
        <w:spacing w:line="240" w:lineRule="auto" w:before="9"/>
        <w:rPr>
          <w:rFonts w:ascii="宋体" w:hAnsi="宋体" w:cs="宋体" w:eastAsia="宋体" w:hint="default"/>
          <w:sz w:val="19"/>
          <w:szCs w:val="19"/>
        </w:rPr>
      </w:pPr>
    </w:p>
    <w:p>
      <w:pPr>
        <w:pStyle w:val="Heading3"/>
        <w:spacing w:line="240" w:lineRule="auto" w:before="26"/>
        <w:ind w:right="1133"/>
        <w:jc w:val="left"/>
        <w:rPr>
          <w:b w:val="0"/>
          <w:bCs w:val="0"/>
        </w:rPr>
      </w:pPr>
      <w:r>
        <w:rPr/>
        <w:t>十、与金融工具相关的风险</w:t>
      </w:r>
      <w:r>
        <w:rPr>
          <w:b w:val="0"/>
          <w:bCs w:val="0"/>
        </w:rPr>
      </w:r>
    </w:p>
    <w:p>
      <w:pPr>
        <w:spacing w:line="240" w:lineRule="auto" w:before="3"/>
        <w:rPr>
          <w:rFonts w:ascii="宋体" w:hAnsi="宋体" w:cs="宋体" w:eastAsia="宋体" w:hint="default"/>
          <w:b/>
          <w:bCs/>
          <w:sz w:val="24"/>
          <w:szCs w:val="24"/>
        </w:rPr>
      </w:pPr>
    </w:p>
    <w:p>
      <w:pPr>
        <w:pStyle w:val="Heading6"/>
        <w:spacing w:line="259" w:lineRule="auto"/>
        <w:ind w:right="1128"/>
        <w:jc w:val="both"/>
      </w:pPr>
      <w:r>
        <w:rPr>
          <w:spacing w:val="-2"/>
        </w:rPr>
        <w:t>本集团的主要金融工具包括借款、应收款项、应付款项等，各项金融工具的详细情况说明见本附</w:t>
      </w:r>
      <w:r>
        <w:rPr>
          <w:w w:val="100"/>
        </w:rPr>
        <w:t> </w:t>
      </w:r>
      <w:r>
        <w:rPr>
          <w:spacing w:val="-2"/>
        </w:rPr>
        <w:t>注六。与这些金融工具有关的风险，以及本集团为降低这些风险所采取的风险管理政策如下所述。本</w:t>
      </w:r>
      <w:r>
        <w:rPr>
          <w:spacing w:val="-67"/>
        </w:rPr>
        <w:t> </w:t>
      </w:r>
      <w:r>
        <w:rPr>
          <w:spacing w:val="-67"/>
        </w:rPr>
      </w:r>
      <w:r>
        <w:rPr/>
        <w:t>集团管理层对这些风险敞口进行管理和监控以确保将上述风险控制在限定的范围之内。</w:t>
      </w:r>
    </w:p>
    <w:p>
      <w:pPr>
        <w:pStyle w:val="Heading6"/>
        <w:spacing w:line="552" w:lineRule="exact" w:before="62"/>
        <w:ind w:left="592" w:right="1133" w:hanging="440"/>
        <w:jc w:val="left"/>
      </w:pPr>
      <w:r>
        <w:rPr>
          <w:rFonts w:ascii="宋体" w:hAnsi="宋体" w:cs="宋体" w:eastAsia="宋体" w:hint="default"/>
        </w:rPr>
        <w:t>1.</w:t>
      </w:r>
      <w:r>
        <w:rPr>
          <w:rFonts w:ascii="宋体" w:hAnsi="宋体" w:cs="宋体" w:eastAsia="宋体" w:hint="default"/>
          <w:spacing w:val="29"/>
        </w:rPr>
        <w:t> </w:t>
      </w:r>
      <w:r>
        <w:rPr/>
        <w:t>各类风险管理目标和政策</w:t>
      </w:r>
      <w:r>
        <w:rPr>
          <w:w w:val="100"/>
        </w:rPr>
        <w:t> </w:t>
      </w:r>
      <w:r>
        <w:rPr>
          <w:spacing w:val="-2"/>
        </w:rPr>
        <w:t>本集团从事风险管理的目标是在风险和收益之间取得适当的平衡，将风险对本集团经营业绩的负</w:t>
      </w:r>
    </w:p>
    <w:p>
      <w:pPr>
        <w:pStyle w:val="Heading6"/>
        <w:spacing w:line="233" w:lineRule="exact"/>
        <w:ind w:right="0" w:firstLine="0"/>
        <w:jc w:val="left"/>
      </w:pPr>
      <w:r>
        <w:rPr/>
        <w:t>面影响降低到最低水平，使股东及其它权益投资者的利益最大化。基于该风险管理目标，本集团风险</w:t>
      </w:r>
    </w:p>
    <w:p>
      <w:pPr>
        <w:pStyle w:val="Heading6"/>
        <w:spacing w:line="259" w:lineRule="auto" w:before="24"/>
        <w:ind w:right="0" w:firstLine="0"/>
        <w:jc w:val="left"/>
      </w:pPr>
      <w:r>
        <w:rPr>
          <w:spacing w:val="-1"/>
        </w:rPr>
        <w:t>管理的基本策略是确定和分析本集团所面临的各种风险，建立适当的风险承受底线并进行风险管理，</w:t>
      </w:r>
      <w:r>
        <w:rPr>
          <w:spacing w:val="-73"/>
        </w:rPr>
        <w:t> </w:t>
      </w:r>
      <w:r>
        <w:rPr>
          <w:spacing w:val="-73"/>
        </w:rPr>
      </w:r>
      <w:r>
        <w:rPr/>
        <w:t>并及时可靠地对各种风险进行监督，将风险控制在限定的范围之内。</w:t>
      </w:r>
    </w:p>
    <w:p>
      <w:pPr>
        <w:spacing w:line="240" w:lineRule="auto" w:before="11"/>
        <w:rPr>
          <w:rFonts w:ascii="宋体" w:hAnsi="宋体" w:cs="宋体" w:eastAsia="宋体" w:hint="default"/>
          <w:sz w:val="18"/>
          <w:szCs w:val="18"/>
        </w:rPr>
      </w:pPr>
    </w:p>
    <w:p>
      <w:pPr>
        <w:pStyle w:val="Heading6"/>
        <w:spacing w:line="434" w:lineRule="auto"/>
        <w:ind w:left="513" w:right="9151" w:firstLine="79"/>
        <w:jc w:val="left"/>
      </w:pPr>
      <w:r>
        <w:rPr>
          <w:rFonts w:ascii="Times New Roman" w:hAnsi="Times New Roman" w:cs="Times New Roman" w:eastAsia="Times New Roman" w:hint="default"/>
        </w:rPr>
        <w:t>(1)</w:t>
      </w:r>
      <w:r>
        <w:rPr/>
        <w:t>市场风险</w:t>
      </w:r>
      <w:r>
        <w:rPr>
          <w:w w:val="100"/>
        </w:rPr>
        <w:t> </w:t>
      </w:r>
      <w:r>
        <w:rPr>
          <w:rFonts w:ascii="宋体" w:hAnsi="宋体" w:cs="宋体" w:eastAsia="宋体" w:hint="default"/>
        </w:rPr>
        <w:t>1</w:t>
      </w:r>
      <w:r>
        <w:rPr/>
        <w:t>）</w:t>
      </w:r>
      <w:r>
        <w:rPr>
          <w:spacing w:val="-78"/>
        </w:rPr>
        <w:t> </w:t>
      </w:r>
      <w:r>
        <w:rPr/>
        <w:t>汇率风险</w:t>
      </w:r>
    </w:p>
    <w:p>
      <w:pPr>
        <w:pStyle w:val="Heading6"/>
        <w:spacing w:line="256" w:lineRule="auto" w:before="86"/>
        <w:ind w:right="1129"/>
        <w:jc w:val="both"/>
      </w:pPr>
      <w:r>
        <w:rPr>
          <w:spacing w:val="-2"/>
        </w:rPr>
        <w:t>本集团的主要主要业务经营领域位于境内，但也存在一定的国际业务。本集团承受汇率风险主要</w:t>
      </w:r>
      <w:r>
        <w:rPr>
          <w:w w:val="100"/>
        </w:rPr>
        <w:t> </w:t>
      </w:r>
      <w:r>
        <w:rPr>
          <w:spacing w:val="-2"/>
        </w:rPr>
        <w:t>与美元、港币和欧元有关，除本集团的几个下属子公司以港币、欧元、美元进行采购和销售外，本集</w:t>
      </w:r>
      <w:r>
        <w:rPr>
          <w:spacing w:val="-71"/>
        </w:rPr>
        <w:t> </w:t>
      </w:r>
      <w:r>
        <w:rPr>
          <w:spacing w:val="-71"/>
        </w:rPr>
      </w:r>
      <w:r>
        <w:rPr>
          <w:spacing w:val="-2"/>
        </w:rPr>
        <w:t>团的其它主要业务活动以人民币计价结算。于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日，除下表所述资产及负债的美元和港币</w:t>
      </w:r>
      <w:r>
        <w:rPr>
          <w:spacing w:val="-60"/>
        </w:rPr>
        <w:t> </w:t>
      </w:r>
      <w:r>
        <w:rPr>
          <w:spacing w:val="-60"/>
        </w:rPr>
      </w:r>
      <w:r>
        <w:rPr>
          <w:spacing w:val="-2"/>
        </w:rPr>
        <w:t>余额和零星的欧元、英镑、新币余额外，本集团的资产及负债均为人民币余额。该等美元、港币、欧</w:t>
      </w:r>
      <w:r>
        <w:rPr>
          <w:spacing w:val="-74"/>
        </w:rPr>
        <w:t> </w:t>
      </w:r>
      <w:r>
        <w:rPr>
          <w:spacing w:val="-74"/>
        </w:rPr>
      </w:r>
      <w:r>
        <w:rPr/>
        <w:t>元等余额的资产和负债产生的汇率风险可能对本集团的经营业绩产生影响。</w:t>
      </w:r>
    </w:p>
    <w:p>
      <w:pPr>
        <w:spacing w:line="240" w:lineRule="auto" w:before="7"/>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3745"/>
        <w:gridCol w:w="2525"/>
        <w:gridCol w:w="2456"/>
      </w:tblGrid>
      <w:tr>
        <w:trPr>
          <w:trHeight w:val="346" w:hRule="exact"/>
        </w:trPr>
        <w:tc>
          <w:tcPr>
            <w:tcW w:w="3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62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24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8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48"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496,056,205.95</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30,110,106.09</w:t>
            </w:r>
          </w:p>
        </w:tc>
      </w:tr>
      <w:tr>
        <w:trPr>
          <w:trHeight w:val="346"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5,708,559.74</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8,718,348.39</w:t>
            </w:r>
          </w:p>
        </w:tc>
      </w:tr>
      <w:tr>
        <w:trPr>
          <w:trHeight w:val="348"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7,973,603.66</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26,914,858.24</w:t>
            </w:r>
          </w:p>
        </w:tc>
      </w:tr>
      <w:tr>
        <w:trPr>
          <w:trHeight w:val="346"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英镑</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46,862.95</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2,251,276.63</w:t>
            </w:r>
          </w:p>
        </w:tc>
      </w:tr>
      <w:tr>
        <w:trPr>
          <w:trHeight w:val="348"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新币</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2,824,807.16</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763,515.92</w:t>
            </w:r>
          </w:p>
        </w:tc>
      </w:tr>
      <w:tr>
        <w:trPr>
          <w:trHeight w:val="348"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澳元</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14.51</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6"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1,268,828.68</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474,589.69</w:t>
            </w:r>
          </w:p>
        </w:tc>
      </w:tr>
      <w:tr>
        <w:trPr>
          <w:trHeight w:val="348"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3,378,142.22</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3,805,964.41</w:t>
            </w:r>
          </w:p>
        </w:tc>
      </w:tr>
      <w:tr>
        <w:trPr>
          <w:trHeight w:val="346"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4,934,449.15</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8,505,587.85</w:t>
            </w:r>
          </w:p>
        </w:tc>
      </w:tr>
      <w:tr>
        <w:trPr>
          <w:trHeight w:val="348"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新币</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2,661,718.08</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68,209.00</w:t>
            </w:r>
          </w:p>
        </w:tc>
      </w:tr>
      <w:tr>
        <w:trPr>
          <w:trHeight w:val="348"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9,402,809.72</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163,002.58</w:t>
            </w:r>
          </w:p>
        </w:tc>
      </w:tr>
      <w:tr>
        <w:trPr>
          <w:trHeight w:val="346"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20,785.56</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1,119,696.47</w:t>
            </w:r>
          </w:p>
        </w:tc>
      </w:tr>
      <w:tr>
        <w:trPr>
          <w:trHeight w:val="348"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1,860,871.16</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25,953,657.17</w:t>
            </w:r>
          </w:p>
        </w:tc>
      </w:tr>
      <w:tr>
        <w:trPr>
          <w:trHeight w:val="346"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新币</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98,328.26</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99,316.60</w:t>
            </w:r>
          </w:p>
        </w:tc>
      </w:tr>
      <w:tr>
        <w:trPr>
          <w:trHeight w:val="348"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林吉特</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193,675.02</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6"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568,828.41</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3,205,923.05</w:t>
            </w:r>
          </w:p>
        </w:tc>
      </w:tr>
      <w:tr>
        <w:trPr>
          <w:trHeight w:val="348"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1,510,201.54</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991,734.09</w:t>
            </w:r>
          </w:p>
        </w:tc>
      </w:tr>
      <w:tr>
        <w:trPr>
          <w:trHeight w:val="348"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3,236,219.17</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1,716,973.70</w:t>
            </w:r>
          </w:p>
        </w:tc>
      </w:tr>
      <w:tr>
        <w:trPr>
          <w:trHeight w:val="346"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林吉特</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27,437.84</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新币</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275,694.58</w:t>
            </w:r>
          </w:p>
        </w:tc>
      </w:tr>
    </w:tbl>
    <w:p>
      <w:pPr>
        <w:spacing w:after="0" w:line="240" w:lineRule="auto"/>
        <w:jc w:val="right"/>
        <w:rPr>
          <w:rFonts w:ascii="Times New Roman" w:hAnsi="Times New Roman" w:cs="Times New Roman" w:eastAsia="Times New Roman" w:hint="default"/>
          <w:sz w:val="18"/>
          <w:szCs w:val="18"/>
        </w:rPr>
        <w:sectPr>
          <w:headerReference w:type="default" r:id="rId49"/>
          <w:footerReference w:type="default" r:id="rId50"/>
          <w:pgSz w:w="11910" w:h="16840"/>
          <w:pgMar w:header="877" w:footer="980" w:top="1100" w:bottom="1160" w:left="980" w:right="0"/>
          <w:pgNumType w:start="217"/>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745"/>
        <w:gridCol w:w="2525"/>
        <w:gridCol w:w="2456"/>
      </w:tblGrid>
      <w:tr>
        <w:trPr>
          <w:trHeight w:val="348"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澳元</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372,084.95</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6"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292,930.39</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1,068,111.12</w:t>
            </w:r>
          </w:p>
        </w:tc>
      </w:tr>
      <w:tr>
        <w:trPr>
          <w:trHeight w:val="348"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762,641.84</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895,356.69</w:t>
            </w:r>
          </w:p>
        </w:tc>
      </w:tr>
      <w:tr>
        <w:trPr>
          <w:trHeight w:val="346"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83,076,131.58</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80,895,423.93</w:t>
            </w:r>
          </w:p>
        </w:tc>
      </w:tr>
      <w:tr>
        <w:trPr>
          <w:trHeight w:val="348"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新币</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227,434.65</w:t>
            </w:r>
          </w:p>
        </w:tc>
      </w:tr>
      <w:tr>
        <w:trPr>
          <w:trHeight w:val="346"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2,100,000.00</w:t>
            </w:r>
          </w:p>
        </w:tc>
      </w:tr>
      <w:tr>
        <w:trPr>
          <w:trHeight w:val="348" w:hRule="exact"/>
        </w:trPr>
        <w:tc>
          <w:tcPr>
            <w:tcW w:w="3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24,473.5</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27,023,001.50</w:t>
            </w:r>
          </w:p>
        </w:tc>
      </w:tr>
    </w:tbl>
    <w:p>
      <w:pPr>
        <w:spacing w:line="240" w:lineRule="auto" w:before="2"/>
        <w:rPr>
          <w:rFonts w:ascii="宋体" w:hAnsi="宋体" w:cs="宋体" w:eastAsia="宋体" w:hint="default"/>
          <w:sz w:val="14"/>
          <w:szCs w:val="14"/>
        </w:rPr>
      </w:pPr>
    </w:p>
    <w:p>
      <w:pPr>
        <w:pStyle w:val="Heading6"/>
        <w:spacing w:line="240" w:lineRule="auto" w:before="32"/>
        <w:ind w:left="592" w:right="1133" w:firstLine="0"/>
        <w:jc w:val="left"/>
      </w:pPr>
      <w:r>
        <w:rPr/>
        <w:t>本集团密切关注汇率变动对本集团的影响，重视对汇率风险管理政策和策略的研究。</w:t>
      </w:r>
    </w:p>
    <w:p>
      <w:pPr>
        <w:spacing w:line="240" w:lineRule="auto" w:before="2"/>
        <w:rPr>
          <w:rFonts w:ascii="宋体" w:hAnsi="宋体" w:cs="宋体" w:eastAsia="宋体" w:hint="default"/>
          <w:sz w:val="20"/>
          <w:szCs w:val="20"/>
        </w:rPr>
      </w:pPr>
    </w:p>
    <w:p>
      <w:pPr>
        <w:pStyle w:val="Heading6"/>
        <w:spacing w:line="448" w:lineRule="auto"/>
        <w:ind w:left="592" w:right="4994" w:firstLine="0"/>
        <w:jc w:val="left"/>
      </w:pPr>
      <w:r>
        <w:rPr>
          <w:rFonts w:ascii="Times New Roman" w:hAnsi="Times New Roman" w:cs="Times New Roman" w:eastAsia="Times New Roman" w:hint="default"/>
        </w:rPr>
        <w:t>2)</w:t>
      </w:r>
      <w:r>
        <w:rPr/>
        <w:t>利率风险</w:t>
      </w:r>
      <w:r>
        <w:rPr>
          <w:w w:val="100"/>
        </w:rPr>
        <w:t> </w:t>
      </w:r>
      <w:r>
        <w:rPr>
          <w:spacing w:val="-1"/>
        </w:rPr>
        <w:t>本集团期末无银行借款及应付债券，不存在利率风险。</w:t>
      </w:r>
      <w:r>
        <w:rPr>
          <w:spacing w:val="-91"/>
        </w:rPr>
        <w:t> </w:t>
      </w:r>
      <w:r>
        <w:rPr>
          <w:spacing w:val="-91"/>
        </w:rPr>
      </w:r>
      <w:r>
        <w:rPr>
          <w:rFonts w:ascii="Times New Roman" w:hAnsi="Times New Roman" w:cs="Times New Roman" w:eastAsia="Times New Roman" w:hint="default"/>
        </w:rPr>
        <w:t>3</w:t>
      </w:r>
      <w:r>
        <w:rPr/>
        <w:t>）价格风险</w:t>
      </w:r>
    </w:p>
    <w:p>
      <w:pPr>
        <w:pStyle w:val="Heading6"/>
        <w:spacing w:line="240" w:lineRule="auto" w:before="35"/>
        <w:ind w:left="592" w:right="1133" w:firstLine="0"/>
        <w:jc w:val="left"/>
      </w:pPr>
      <w:r>
        <w:rPr/>
        <w:t>本集团目前未面临其他重大价格风险。</w:t>
      </w:r>
    </w:p>
    <w:p>
      <w:pPr>
        <w:pStyle w:val="Heading6"/>
        <w:spacing w:line="550" w:lineRule="atLeast" w:before="18"/>
        <w:ind w:left="592" w:right="1133" w:firstLine="0"/>
        <w:jc w:val="left"/>
      </w:pPr>
      <w:r>
        <w:rPr>
          <w:rFonts w:ascii="Times New Roman" w:hAnsi="Times New Roman" w:cs="Times New Roman" w:eastAsia="Times New Roman" w:hint="default"/>
        </w:rPr>
        <w:t>(2)</w:t>
      </w:r>
      <w:r>
        <w:rPr/>
        <w:t>信用风险</w:t>
      </w:r>
      <w:r>
        <w:rPr>
          <w:spacing w:val="-108"/>
        </w:rPr>
        <w:t> </w:t>
      </w:r>
      <w:r>
        <w:rPr>
          <w:spacing w:val="-108"/>
        </w:rPr>
      </w:r>
      <w:r>
        <w:rPr>
          <w:spacing w:val="-2"/>
        </w:rPr>
        <w:t>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日，可能引起本集团财务损失的最大信用风险敞口主要来自于合同另一方未能履</w:t>
      </w:r>
    </w:p>
    <w:p>
      <w:pPr>
        <w:pStyle w:val="Heading6"/>
        <w:spacing w:line="240" w:lineRule="auto" w:before="7"/>
        <w:ind w:right="1133" w:firstLine="0"/>
        <w:jc w:val="left"/>
      </w:pPr>
      <w:r>
        <w:rPr/>
        <w:t>行义务而导致本集团金融资产产生的损失，具体包括：</w:t>
      </w:r>
    </w:p>
    <w:p>
      <w:pPr>
        <w:spacing w:line="240" w:lineRule="auto" w:before="2"/>
        <w:rPr>
          <w:rFonts w:ascii="宋体" w:hAnsi="宋体" w:cs="宋体" w:eastAsia="宋体" w:hint="default"/>
          <w:sz w:val="20"/>
          <w:szCs w:val="20"/>
        </w:rPr>
      </w:pPr>
    </w:p>
    <w:p>
      <w:pPr>
        <w:pStyle w:val="Heading6"/>
        <w:spacing w:line="259" w:lineRule="auto"/>
        <w:ind w:right="1133"/>
        <w:jc w:val="left"/>
      </w:pPr>
      <w:r>
        <w:rPr>
          <w:spacing w:val="-2"/>
        </w:rPr>
        <w:t>合并资产负债表中已确认的金融资产的账面金额；对于以公允价值计量的金融工具而言，账面价</w:t>
      </w:r>
      <w:r>
        <w:rPr>
          <w:w w:val="100"/>
        </w:rPr>
        <w:t> </w:t>
      </w:r>
      <w:r>
        <w:rPr/>
        <w:t>值反映了其风险敞口，但并非最大风险敞口，其最大风险敞口将随着未来公允价值的变化而改变。</w:t>
      </w:r>
    </w:p>
    <w:p>
      <w:pPr>
        <w:pStyle w:val="Heading6"/>
        <w:spacing w:line="552" w:lineRule="exact" w:before="62"/>
        <w:ind w:left="592" w:right="0" w:firstLine="0"/>
        <w:jc w:val="left"/>
      </w:pPr>
      <w:r>
        <w:rPr/>
        <w:t>本集团的流动资金存放在信用评级较高的银行，故流动资金的信用风险较低。</w:t>
      </w:r>
      <w:r>
        <w:rPr>
          <w:w w:val="100"/>
        </w:rPr>
        <w:t> </w:t>
      </w:r>
      <w:r>
        <w:rPr>
          <w:spacing w:val="-1"/>
        </w:rPr>
        <w:t>本集团采用了必要的政策确保所有销售客户均具有良好的信用记录。除应收账款金额前五名外，</w:t>
      </w:r>
    </w:p>
    <w:p>
      <w:pPr>
        <w:pStyle w:val="Heading6"/>
        <w:spacing w:line="233" w:lineRule="exact"/>
        <w:ind w:right="1133" w:firstLine="0"/>
        <w:jc w:val="left"/>
      </w:pPr>
      <w:r>
        <w:rPr/>
        <w:t>本集团无其他重大信用集中风险。</w:t>
      </w:r>
    </w:p>
    <w:p>
      <w:pPr>
        <w:spacing w:line="240" w:lineRule="auto" w:before="2"/>
        <w:rPr>
          <w:rFonts w:ascii="宋体" w:hAnsi="宋体" w:cs="宋体" w:eastAsia="宋体" w:hint="default"/>
          <w:sz w:val="20"/>
          <w:szCs w:val="20"/>
        </w:rPr>
      </w:pPr>
    </w:p>
    <w:p>
      <w:pPr>
        <w:pStyle w:val="Heading6"/>
        <w:spacing w:line="240" w:lineRule="auto"/>
        <w:ind w:left="592" w:right="1133" w:firstLine="0"/>
        <w:jc w:val="left"/>
      </w:pPr>
      <w:r>
        <w:rPr/>
        <w:t>应收账款前五名金额合计：</w:t>
      </w:r>
      <w:r>
        <w:rPr>
          <w:rFonts w:ascii="Times New Roman" w:hAnsi="Times New Roman" w:cs="Times New Roman" w:eastAsia="Times New Roman" w:hint="default"/>
        </w:rPr>
        <w:t>53,338,753.65</w:t>
      </w:r>
      <w:r>
        <w:rPr/>
        <w:t>元。</w:t>
      </w:r>
    </w:p>
    <w:p>
      <w:pPr>
        <w:pStyle w:val="Heading6"/>
        <w:spacing w:line="530" w:lineRule="atLeast" w:before="22"/>
        <w:ind w:left="592" w:right="1133" w:firstLine="0"/>
        <w:jc w:val="left"/>
      </w:pPr>
      <w:r>
        <w:rPr>
          <w:rFonts w:ascii="Times New Roman" w:hAnsi="Times New Roman" w:cs="Times New Roman" w:eastAsia="Times New Roman" w:hint="default"/>
        </w:rPr>
        <w:t>(3)</w:t>
      </w:r>
      <w:r>
        <w:rPr/>
        <w:t>流动风险</w:t>
      </w:r>
      <w:r>
        <w:rPr>
          <w:spacing w:val="-108"/>
        </w:rPr>
        <w:t> </w:t>
      </w:r>
      <w:r>
        <w:rPr>
          <w:spacing w:val="-108"/>
        </w:rPr>
      </w:r>
      <w:r>
        <w:rPr>
          <w:spacing w:val="-2"/>
        </w:rPr>
        <w:t>流动风险为本集团在到期日无法履行其财务义务的风险。本集团管理流动性风险的方法是确保有</w:t>
      </w:r>
    </w:p>
    <w:p>
      <w:pPr>
        <w:pStyle w:val="Heading6"/>
        <w:spacing w:line="259" w:lineRule="auto" w:before="24"/>
        <w:ind w:right="1133" w:firstLine="0"/>
        <w:jc w:val="left"/>
      </w:pPr>
      <w:r>
        <w:rPr>
          <w:spacing w:val="-2"/>
        </w:rPr>
        <w:t>足够的资金流动性来履行到期债务，而不至于造成不可接受的损失或对企业信誉造成损害。本集团定</w:t>
      </w:r>
      <w:r>
        <w:rPr>
          <w:spacing w:val="-70"/>
        </w:rPr>
        <w:t> </w:t>
      </w:r>
      <w:r>
        <w:rPr>
          <w:spacing w:val="-70"/>
        </w:rPr>
      </w:r>
      <w:r>
        <w:rPr/>
        <w:t>期分析负债结构和期限，以确保有充裕的资金。</w:t>
      </w:r>
    </w:p>
    <w:p>
      <w:pPr>
        <w:spacing w:line="240" w:lineRule="auto" w:before="11"/>
        <w:rPr>
          <w:rFonts w:ascii="宋体" w:hAnsi="宋体" w:cs="宋体" w:eastAsia="宋体" w:hint="default"/>
          <w:sz w:val="18"/>
          <w:szCs w:val="18"/>
        </w:rPr>
      </w:pPr>
    </w:p>
    <w:p>
      <w:pPr>
        <w:pStyle w:val="Heading6"/>
        <w:spacing w:line="261" w:lineRule="auto"/>
        <w:ind w:right="1133"/>
        <w:jc w:val="left"/>
      </w:pPr>
      <w:r>
        <w:rPr>
          <w:spacing w:val="-2"/>
        </w:rPr>
        <w:t>本集团通过利用银行存款及债务维持资金延续性与灵活性之间的平衡，以管理其流动性风险，本</w:t>
      </w:r>
      <w:r>
        <w:rPr>
          <w:w w:val="100"/>
        </w:rPr>
        <w:t> </w:t>
      </w:r>
      <w:r>
        <w:rPr/>
        <w:t>集团的目标是运用多种融资手段以保持公司的正常运行。</w:t>
      </w:r>
    </w:p>
    <w:p>
      <w:pPr>
        <w:pStyle w:val="Heading6"/>
        <w:spacing w:line="552" w:lineRule="exact" w:before="59"/>
        <w:ind w:left="592" w:right="1133" w:hanging="80"/>
        <w:jc w:val="left"/>
      </w:pPr>
      <w:r>
        <w:rPr>
          <w:rFonts w:ascii="宋体" w:hAnsi="宋体" w:cs="宋体" w:eastAsia="宋体" w:hint="default"/>
        </w:rPr>
        <w:t>2</w:t>
      </w:r>
      <w:r>
        <w:rPr/>
        <w:t>、</w:t>
      </w:r>
      <w:r>
        <w:rPr>
          <w:spacing w:val="-82"/>
        </w:rPr>
        <w:t> </w:t>
      </w:r>
      <w:r>
        <w:rPr/>
        <w:t>敏感性分析</w:t>
      </w:r>
      <w:r>
        <w:rPr>
          <w:spacing w:val="-108"/>
        </w:rPr>
        <w:t> </w:t>
      </w:r>
      <w:r>
        <w:rPr>
          <w:spacing w:val="-108"/>
        </w:rPr>
      </w:r>
      <w:r>
        <w:rPr>
          <w:spacing w:val="-2"/>
        </w:rPr>
        <w:t>本集团采用敏感性分析技术分析风险变量的合理、可能变化对当期损益或所有者权益可能产生的</w:t>
      </w:r>
    </w:p>
    <w:p>
      <w:pPr>
        <w:pStyle w:val="Heading6"/>
        <w:spacing w:line="233" w:lineRule="exact"/>
        <w:ind w:right="0" w:firstLine="0"/>
        <w:jc w:val="left"/>
      </w:pPr>
      <w:r>
        <w:rPr/>
        <w:t>影响。由于任何风险变量很少孤立的发生变化，而变量之间存在的相关性对某一风险变量变化的最终</w:t>
      </w:r>
    </w:p>
    <w:p>
      <w:pPr>
        <w:pStyle w:val="Heading6"/>
        <w:spacing w:line="240" w:lineRule="auto" w:before="24"/>
        <w:ind w:right="1133" w:firstLine="0"/>
        <w:jc w:val="left"/>
      </w:pPr>
      <w:r>
        <w:rPr/>
        <w:t>影响金额将产生重大作用，因此下述内容是在假设每一变量的变化是独立的情况下进行的。</w:t>
      </w:r>
    </w:p>
    <w:p>
      <w:pPr>
        <w:spacing w:after="0" w:line="240" w:lineRule="auto"/>
        <w:jc w:val="left"/>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40" w:lineRule="auto" w:before="32"/>
        <w:ind w:left="592" w:right="1133" w:firstLine="0"/>
        <w:jc w:val="left"/>
      </w:pPr>
      <w:r>
        <w:rPr>
          <w:rFonts w:ascii="Times New Roman" w:hAnsi="Times New Roman" w:cs="Times New Roman" w:eastAsia="Times New Roman" w:hint="default"/>
        </w:rPr>
        <w:t>(1)</w:t>
      </w:r>
      <w:r>
        <w:rPr/>
        <w:t>外汇风险敏感性分析</w:t>
      </w:r>
    </w:p>
    <w:p>
      <w:pPr>
        <w:pStyle w:val="Heading6"/>
        <w:spacing w:line="552" w:lineRule="exact" w:before="63"/>
        <w:ind w:left="592" w:right="1133" w:firstLine="0"/>
        <w:jc w:val="left"/>
      </w:pPr>
      <w:r>
        <w:rPr/>
        <w:t>外汇风险敏感性分析假设：所有境外经营净投资套期及现金流量套期均高度有效。</w:t>
      </w:r>
      <w:r>
        <w:rPr>
          <w:w w:val="100"/>
        </w:rPr>
        <w:t> </w:t>
      </w:r>
      <w:r>
        <w:rPr>
          <w:spacing w:val="-2"/>
        </w:rPr>
        <w:t>在上述假设的基础上，在其它变量不变的情况下，汇率可能发生的合理变动对当期损益和权益的</w:t>
      </w:r>
    </w:p>
    <w:p>
      <w:pPr>
        <w:pStyle w:val="Heading6"/>
        <w:spacing w:line="233" w:lineRule="exact"/>
        <w:ind w:right="1133" w:firstLine="0"/>
        <w:jc w:val="left"/>
      </w:pPr>
      <w:r>
        <w:rPr/>
        <w:t>税后影响如下：</w:t>
      </w:r>
    </w:p>
    <w:p>
      <w:pPr>
        <w:spacing w:line="240" w:lineRule="auto" w:before="11"/>
        <w:rPr>
          <w:rFonts w:ascii="宋体" w:hAnsi="宋体" w:cs="宋体" w:eastAsia="宋体" w:hint="default"/>
          <w:sz w:val="21"/>
          <w:szCs w:val="21"/>
        </w:rPr>
      </w:pPr>
    </w:p>
    <w:tbl>
      <w:tblPr>
        <w:tblW w:w="0" w:type="auto"/>
        <w:jc w:val="left"/>
        <w:tblInd w:w="145" w:type="dxa"/>
        <w:tblLayout w:type="fixed"/>
        <w:tblCellMar>
          <w:top w:w="0" w:type="dxa"/>
          <w:left w:w="0" w:type="dxa"/>
          <w:bottom w:w="0" w:type="dxa"/>
          <w:right w:w="0" w:type="dxa"/>
        </w:tblCellMar>
        <w:tblLook w:val="01E0"/>
      </w:tblPr>
      <w:tblGrid>
        <w:gridCol w:w="1008"/>
        <w:gridCol w:w="1510"/>
        <w:gridCol w:w="1277"/>
        <w:gridCol w:w="1702"/>
        <w:gridCol w:w="1457"/>
        <w:gridCol w:w="1649"/>
      </w:tblGrid>
      <w:tr>
        <w:trPr>
          <w:trHeight w:val="348" w:hRule="exact"/>
        </w:trPr>
        <w:tc>
          <w:tcPr>
            <w:tcW w:w="100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b/>
                <w:bCs/>
                <w:sz w:val="18"/>
                <w:szCs w:val="18"/>
              </w:rPr>
              <w:t>項目</w:t>
            </w:r>
            <w:r>
              <w:rPr>
                <w:rFonts w:ascii="宋体" w:hAnsi="宋体" w:cs="宋体" w:eastAsia="宋体" w:hint="default"/>
                <w:sz w:val="18"/>
                <w:szCs w:val="18"/>
              </w:rPr>
            </w:r>
          </w:p>
        </w:tc>
        <w:tc>
          <w:tcPr>
            <w:tcW w:w="151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2979"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年度</w:t>
            </w:r>
            <w:r>
              <w:rPr>
                <w:rFonts w:ascii="宋体" w:hAnsi="宋体" w:cs="宋体" w:eastAsia="宋体" w:hint="default"/>
                <w:sz w:val="18"/>
                <w:szCs w:val="18"/>
              </w:rPr>
            </w:r>
          </w:p>
        </w:tc>
        <w:tc>
          <w:tcPr>
            <w:tcW w:w="310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658" w:hRule="exact"/>
        </w:trPr>
        <w:tc>
          <w:tcPr>
            <w:tcW w:w="1008" w:type="dxa"/>
            <w:vMerge/>
            <w:tcBorders>
              <w:left w:val="single" w:sz="6" w:space="0" w:color="000000"/>
              <w:bottom w:val="single" w:sz="6" w:space="0" w:color="000000"/>
              <w:right w:val="single" w:sz="6" w:space="0" w:color="000000"/>
            </w:tcBorders>
            <w:shd w:val="clear" w:color="auto" w:fill="D9D9D9"/>
          </w:tcPr>
          <w:p>
            <w:pPr/>
          </w:p>
        </w:tc>
        <w:tc>
          <w:tcPr>
            <w:tcW w:w="1510" w:type="dxa"/>
            <w:vMerge/>
            <w:tcBorders>
              <w:left w:val="single" w:sz="6" w:space="0" w:color="000000"/>
              <w:bottom w:val="single" w:sz="6" w:space="0" w:color="000000"/>
              <w:right w:val="single" w:sz="6" w:space="0" w:color="000000"/>
            </w:tcBorders>
            <w:shd w:val="clear" w:color="auto" w:fill="D9D9D9"/>
          </w:tcPr>
          <w:p>
            <w:pP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7"/>
              <w:ind w:left="542" w:right="87" w:hanging="455"/>
              <w:jc w:val="left"/>
              <w:rPr>
                <w:rFonts w:ascii="宋体" w:hAnsi="宋体" w:cs="宋体" w:eastAsia="宋体" w:hint="default"/>
                <w:sz w:val="18"/>
                <w:szCs w:val="18"/>
              </w:rPr>
            </w:pPr>
            <w:r>
              <w:rPr>
                <w:rFonts w:ascii="宋体" w:hAnsi="宋体" w:cs="宋体" w:eastAsia="宋体" w:hint="default"/>
                <w:b/>
                <w:bCs/>
                <w:sz w:val="18"/>
                <w:szCs w:val="18"/>
              </w:rPr>
              <w:t>对净利润的影</w:t>
            </w:r>
            <w:r>
              <w:rPr>
                <w:rFonts w:ascii="宋体" w:hAnsi="宋体" w:cs="宋体" w:eastAsia="宋体" w:hint="default"/>
                <w:b/>
                <w:bCs/>
                <w:w w:val="99"/>
                <w:sz w:val="18"/>
                <w:szCs w:val="18"/>
              </w:rPr>
              <w:t> </w:t>
            </w:r>
            <w:r>
              <w:rPr>
                <w:rFonts w:ascii="宋体" w:hAnsi="宋体" w:cs="宋体" w:eastAsia="宋体" w:hint="default"/>
                <w:b/>
                <w:bCs/>
                <w:sz w:val="18"/>
                <w:szCs w:val="18"/>
              </w:rPr>
              <w:t>响</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b/>
                <w:bCs/>
                <w:w w:val="95"/>
                <w:sz w:val="18"/>
                <w:szCs w:val="18"/>
              </w:rPr>
              <w:t>对所有者权益的影响</w:t>
            </w:r>
            <w:r>
              <w:rPr>
                <w:rFonts w:ascii="宋体" w:hAnsi="宋体" w:cs="宋体" w:eastAsia="宋体" w:hint="default"/>
                <w:sz w:val="18"/>
                <w:szCs w:val="18"/>
              </w:rPr>
            </w:r>
          </w:p>
        </w:tc>
        <w:tc>
          <w:tcPr>
            <w:tcW w:w="14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b/>
                <w:bCs/>
                <w:sz w:val="18"/>
                <w:szCs w:val="18"/>
              </w:rPr>
              <w:t>对净利润的影响</w:t>
            </w:r>
            <w:r>
              <w:rPr>
                <w:rFonts w:ascii="宋体" w:hAnsi="宋体" w:cs="宋体" w:eastAsia="宋体" w:hint="default"/>
                <w:sz w:val="18"/>
                <w:szCs w:val="18"/>
              </w:rPr>
            </w:r>
          </w:p>
        </w:tc>
        <w:tc>
          <w:tcPr>
            <w:tcW w:w="16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hAnsi="宋体" w:cs="宋体" w:eastAsia="宋体" w:hint="default"/>
                <w:b/>
                <w:bCs/>
                <w:w w:val="95"/>
                <w:sz w:val="18"/>
                <w:szCs w:val="18"/>
              </w:rPr>
              <w:t>对所有者权益的影响</w:t>
            </w:r>
            <w:r>
              <w:rPr>
                <w:rFonts w:ascii="宋体" w:hAnsi="宋体" w:cs="宋体" w:eastAsia="宋体" w:hint="default"/>
                <w:sz w:val="18"/>
                <w:szCs w:val="18"/>
              </w:rPr>
            </w:r>
          </w:p>
        </w:tc>
      </w:tr>
      <w:tr>
        <w:trPr>
          <w:trHeight w:val="348"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所有外币</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929,971.60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185,327,571.12</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763,731.54</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36,218,481.65</w:t>
            </w:r>
          </w:p>
        </w:tc>
      </w:tr>
      <w:tr>
        <w:trPr>
          <w:trHeight w:val="348"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所有外币</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-929,971.60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-185,327,571.12</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-763,731.54</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-36,218,481.65</w:t>
            </w:r>
          </w:p>
        </w:tc>
      </w:tr>
    </w:tbl>
    <w:p>
      <w:pPr>
        <w:spacing w:line="240" w:lineRule="auto" w:before="2"/>
        <w:rPr>
          <w:rFonts w:ascii="宋体" w:hAnsi="宋体" w:cs="宋体" w:eastAsia="宋体" w:hint="default"/>
          <w:sz w:val="14"/>
          <w:szCs w:val="14"/>
        </w:rPr>
      </w:pPr>
    </w:p>
    <w:p>
      <w:pPr>
        <w:pStyle w:val="Heading6"/>
        <w:spacing w:line="448" w:lineRule="auto" w:before="32"/>
        <w:ind w:left="592" w:right="4634" w:firstLine="0"/>
        <w:jc w:val="left"/>
      </w:pPr>
      <w:r>
        <w:rPr>
          <w:rFonts w:ascii="Times New Roman" w:hAnsi="Times New Roman" w:cs="Times New Roman" w:eastAsia="Times New Roman" w:hint="default"/>
        </w:rPr>
        <w:t>(2)</w:t>
      </w:r>
      <w:r>
        <w:rPr/>
        <w:t>利率风险敏感性分析</w:t>
      </w:r>
      <w:r>
        <w:rPr>
          <w:w w:val="100"/>
        </w:rPr>
        <w:t> </w:t>
      </w:r>
      <w:r>
        <w:rPr/>
        <w:t>利率风险敏感性分析基于下述假设：</w:t>
      </w:r>
      <w:r>
        <w:rPr>
          <w:w w:val="100"/>
        </w:rPr>
        <w:t> </w:t>
      </w:r>
      <w:r>
        <w:rPr>
          <w:spacing w:val="-1"/>
        </w:rPr>
        <w:t>市场利率变化影响可变利率金融工具的利息收入或费用；</w:t>
      </w:r>
    </w:p>
    <w:p>
      <w:pPr>
        <w:pStyle w:val="Heading6"/>
        <w:spacing w:line="240" w:lineRule="auto" w:before="72"/>
        <w:ind w:left="592" w:right="1133" w:firstLine="0"/>
        <w:jc w:val="left"/>
      </w:pPr>
      <w:r>
        <w:rPr/>
        <w:t>对于以公允价值计量的固定利率金融工具，市场利率变化仅仅影响其利息收入或费用；</w:t>
      </w:r>
    </w:p>
    <w:p>
      <w:pPr>
        <w:spacing w:line="240" w:lineRule="auto" w:before="2"/>
        <w:rPr>
          <w:rFonts w:ascii="宋体" w:hAnsi="宋体" w:cs="宋体" w:eastAsia="宋体" w:hint="default"/>
          <w:sz w:val="20"/>
          <w:szCs w:val="20"/>
        </w:rPr>
      </w:pPr>
    </w:p>
    <w:p>
      <w:pPr>
        <w:pStyle w:val="Heading6"/>
        <w:spacing w:line="259" w:lineRule="auto"/>
        <w:ind w:right="1133"/>
        <w:jc w:val="left"/>
      </w:pPr>
      <w:r>
        <w:rPr>
          <w:spacing w:val="-2"/>
        </w:rPr>
        <w:t>以资产负债表日市场利率采用现金流量折现法计算衍生金融工具及其它金融资产和负债的公允</w:t>
      </w:r>
      <w:r>
        <w:rPr>
          <w:spacing w:val="-3"/>
          <w:w w:val="100"/>
        </w:rPr>
        <w:t> </w:t>
      </w:r>
      <w:r>
        <w:rPr/>
        <w:t>价值变化。</w:t>
      </w:r>
    </w:p>
    <w:p>
      <w:pPr>
        <w:spacing w:line="240" w:lineRule="auto" w:before="11"/>
        <w:rPr>
          <w:rFonts w:ascii="宋体" w:hAnsi="宋体" w:cs="宋体" w:eastAsia="宋体" w:hint="default"/>
          <w:sz w:val="18"/>
          <w:szCs w:val="18"/>
        </w:rPr>
      </w:pPr>
    </w:p>
    <w:p>
      <w:pPr>
        <w:pStyle w:val="Heading6"/>
        <w:spacing w:line="259" w:lineRule="auto"/>
        <w:ind w:right="1133"/>
        <w:jc w:val="left"/>
      </w:pPr>
      <w:r>
        <w:rPr>
          <w:spacing w:val="-2"/>
        </w:rPr>
        <w:t>在上述假设的基础上，在其它变量不变的情况下，利率可能发生的合理变动对当期损益和权益的</w:t>
      </w:r>
      <w:r>
        <w:rPr>
          <w:w w:val="100"/>
        </w:rPr>
        <w:t> </w:t>
      </w:r>
      <w:r>
        <w:rPr/>
        <w:t>税后影响如下：</w:t>
      </w:r>
    </w:p>
    <w:p>
      <w:pPr>
        <w:spacing w:line="240" w:lineRule="auto" w:before="7"/>
        <w:rPr>
          <w:rFonts w:ascii="宋体" w:hAnsi="宋体" w:cs="宋体" w:eastAsia="宋体" w:hint="default"/>
          <w:sz w:val="20"/>
          <w:szCs w:val="20"/>
        </w:rPr>
      </w:pPr>
    </w:p>
    <w:tbl>
      <w:tblPr>
        <w:tblW w:w="0" w:type="auto"/>
        <w:jc w:val="left"/>
        <w:tblInd w:w="145" w:type="dxa"/>
        <w:tblLayout w:type="fixed"/>
        <w:tblCellMar>
          <w:top w:w="0" w:type="dxa"/>
          <w:left w:w="0" w:type="dxa"/>
          <w:bottom w:w="0" w:type="dxa"/>
          <w:right w:w="0" w:type="dxa"/>
        </w:tblCellMar>
        <w:tblLook w:val="01E0"/>
      </w:tblPr>
      <w:tblGrid>
        <w:gridCol w:w="2535"/>
        <w:gridCol w:w="1774"/>
        <w:gridCol w:w="2264"/>
        <w:gridCol w:w="2153"/>
      </w:tblGrid>
      <w:tr>
        <w:trPr>
          <w:trHeight w:val="346" w:hRule="exact"/>
        </w:trPr>
        <w:tc>
          <w:tcPr>
            <w:tcW w:w="253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7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b/>
                <w:bCs/>
                <w:sz w:val="18"/>
                <w:szCs w:val="18"/>
              </w:rPr>
              <w:t>利率变动</w:t>
            </w:r>
            <w:r>
              <w:rPr>
                <w:rFonts w:ascii="宋体" w:hAnsi="宋体" w:cs="宋体" w:eastAsia="宋体" w:hint="default"/>
                <w:sz w:val="18"/>
                <w:szCs w:val="18"/>
              </w:rPr>
            </w:r>
          </w:p>
        </w:tc>
        <w:tc>
          <w:tcPr>
            <w:tcW w:w="441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48" w:hRule="exact"/>
        </w:trPr>
        <w:tc>
          <w:tcPr>
            <w:tcW w:w="2535" w:type="dxa"/>
            <w:vMerge/>
            <w:tcBorders>
              <w:left w:val="single" w:sz="6" w:space="0" w:color="000000"/>
              <w:bottom w:val="single" w:sz="6" w:space="0" w:color="000000"/>
              <w:right w:val="single" w:sz="6" w:space="0" w:color="000000"/>
            </w:tcBorders>
            <w:shd w:val="clear" w:color="auto" w:fill="D9D9D9"/>
          </w:tcPr>
          <w:p>
            <w:pPr/>
          </w:p>
        </w:tc>
        <w:tc>
          <w:tcPr>
            <w:tcW w:w="1774" w:type="dxa"/>
            <w:vMerge/>
            <w:tcBorders>
              <w:left w:val="single" w:sz="6" w:space="0" w:color="000000"/>
              <w:bottom w:val="single" w:sz="6" w:space="0" w:color="000000"/>
              <w:right w:val="single" w:sz="6" w:space="0" w:color="000000"/>
            </w:tcBorders>
            <w:shd w:val="clear" w:color="auto" w:fill="D9D9D9"/>
          </w:tcPr>
          <w:p>
            <w:pPr/>
          </w:p>
        </w:tc>
        <w:tc>
          <w:tcPr>
            <w:tcW w:w="22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94" w:right="0"/>
              <w:jc w:val="left"/>
              <w:rPr>
                <w:rFonts w:ascii="宋体" w:hAnsi="宋体" w:cs="宋体" w:eastAsia="宋体" w:hint="default"/>
                <w:sz w:val="18"/>
                <w:szCs w:val="18"/>
              </w:rPr>
            </w:pPr>
            <w:r>
              <w:rPr>
                <w:rFonts w:ascii="宋体" w:hAnsi="宋体" w:cs="宋体" w:eastAsia="宋体" w:hint="default"/>
                <w:b/>
                <w:bCs/>
                <w:sz w:val="18"/>
                <w:szCs w:val="18"/>
              </w:rPr>
              <w:t>对净利润的影响</w:t>
            </w:r>
            <w:r>
              <w:rPr>
                <w:rFonts w:ascii="宋体" w:hAnsi="宋体" w:cs="宋体" w:eastAsia="宋体" w:hint="default"/>
                <w:sz w:val="18"/>
                <w:szCs w:val="18"/>
              </w:rPr>
            </w:r>
          </w:p>
        </w:tc>
        <w:tc>
          <w:tcPr>
            <w:tcW w:w="21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48" w:right="0"/>
              <w:jc w:val="left"/>
              <w:rPr>
                <w:rFonts w:ascii="宋体" w:hAnsi="宋体" w:cs="宋体" w:eastAsia="宋体" w:hint="default"/>
                <w:sz w:val="18"/>
                <w:szCs w:val="18"/>
              </w:rPr>
            </w:pPr>
            <w:r>
              <w:rPr>
                <w:rFonts w:ascii="宋体" w:hAnsi="宋体" w:cs="宋体" w:eastAsia="宋体" w:hint="default"/>
                <w:b/>
                <w:bCs/>
                <w:sz w:val="18"/>
                <w:szCs w:val="18"/>
              </w:rPr>
              <w:t>对股东权益的影响</w:t>
            </w:r>
            <w:r>
              <w:rPr>
                <w:rFonts w:ascii="宋体" w:hAnsi="宋体" w:cs="宋体" w:eastAsia="宋体" w:hint="default"/>
                <w:sz w:val="18"/>
                <w:szCs w:val="18"/>
              </w:rPr>
            </w:r>
          </w:p>
        </w:tc>
      </w:tr>
      <w:tr>
        <w:trPr>
          <w:trHeight w:val="346" w:hRule="exact"/>
        </w:trPr>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浮动利率借款</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1%</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1,920.52</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1,920.52</w:t>
            </w:r>
          </w:p>
        </w:tc>
      </w:tr>
      <w:tr>
        <w:trPr>
          <w:trHeight w:val="348" w:hRule="exact"/>
        </w:trPr>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浮动利率借款</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Times New Roman" w:hAnsi="Times New Roman" w:cs="Times New Roman" w:eastAsia="Times New Roman" w:hint="default"/>
                <w:sz w:val="18"/>
                <w:szCs w:val="18"/>
              </w:rPr>
              <w:t>1%</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-1,920.52</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-1,920.52</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十一、关联方及关联交易</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86"/>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6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54.76%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54.76%</w:t>
            </w:r>
          </w:p>
        </w:tc>
      </w:tr>
    </w:tbl>
    <w:p>
      <w:pPr>
        <w:spacing w:line="360" w:lineRule="auto" w:before="49"/>
        <w:ind w:left="152" w:right="8594"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无</w:t>
      </w:r>
    </w:p>
    <w:p>
      <w:pPr>
        <w:spacing w:line="357" w:lineRule="auto" w:before="27"/>
        <w:ind w:left="152" w:right="8414" w:firstLine="0"/>
        <w:jc w:val="left"/>
        <w:rPr>
          <w:rFonts w:ascii="宋体" w:hAnsi="宋体" w:cs="宋体" w:eastAsia="宋体" w:hint="default"/>
          <w:sz w:val="18"/>
          <w:szCs w:val="18"/>
        </w:rPr>
      </w:pPr>
      <w:r>
        <w:rPr>
          <w:rFonts w:ascii="宋体" w:hAnsi="宋体" w:cs="宋体" w:eastAsia="宋体" w:hint="default"/>
          <w:sz w:val="18"/>
          <w:szCs w:val="18"/>
        </w:rPr>
        <w:t>本企业最终控制方是李仲初。 其他说明：</w:t>
      </w:r>
    </w:p>
    <w:p>
      <w:pPr>
        <w:spacing w:before="29"/>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544" w:lineRule="auto" w:before="36"/>
        <w:ind w:left="152" w:right="64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.1.(1)</w:t>
      </w:r>
      <w:r>
        <w:rPr>
          <w:rFonts w:ascii="宋体" w:hAnsi="宋体" w:cs="宋体" w:eastAsia="宋体" w:hint="default"/>
          <w:sz w:val="18"/>
          <w:szCs w:val="18"/>
        </w:rPr>
        <w:t>企业集团的构成。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40" w:lineRule="auto" w:before="49"/>
        <w:ind w:left="152" w:right="229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3</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青岛海信智能商用系统有限公司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科传计算机科技控股有限公司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357" w:lineRule="auto" w:before="49"/>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淘宝（中国）软件有限公司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其他持股在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以上的法人股东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百望股份有限公司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其他持股在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以上的法人股东</w:t>
            </w:r>
          </w:p>
        </w:tc>
      </w:tr>
    </w:tbl>
    <w:p>
      <w:pPr>
        <w:spacing w:line="357" w:lineRule="auto" w:before="49"/>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6"/>
        <w:gridCol w:w="1707"/>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青岛海信智能商用 系统股份有限公司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59,741,334.28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3,680,355.50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71,362,369.01</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center"/>
              <w:rPr>
                <w:rFonts w:ascii="宋体" w:hAnsi="宋体" w:cs="宋体" w:eastAsia="宋体" w:hint="default"/>
                <w:sz w:val="18"/>
                <w:szCs w:val="18"/>
              </w:rPr>
            </w:pPr>
            <w:r>
              <w:rPr>
                <w:rFonts w:ascii="宋体" w:hAnsi="宋体" w:cs="宋体" w:eastAsia="宋体" w:hint="default"/>
                <w:sz w:val="18"/>
                <w:szCs w:val="18"/>
              </w:rPr>
              <w:t>百望股份有限公司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2,410,807.64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2,410,807.64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3,166,816.55</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科传计算机科技控 股有限公司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2,844,827.59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2,844,827.59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青岛海信智能商用系统股份有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2" w:right="0"/>
              <w:jc w:val="left"/>
              <w:rPr>
                <w:rFonts w:ascii="Times New Roman" w:hAnsi="Times New Roman" w:cs="Times New Roman" w:eastAsia="Times New Roman" w:hint="default"/>
                <w:sz w:val="18"/>
                <w:szCs w:val="18"/>
              </w:rPr>
            </w:pPr>
            <w:r>
              <w:rPr>
                <w:rFonts w:ascii="Times New Roman"/>
                <w:sz w:val="18"/>
              </w:rPr>
              <w:t>5,733,660.98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5" w:right="0"/>
              <w:jc w:val="left"/>
              <w:rPr>
                <w:rFonts w:ascii="Times New Roman" w:hAnsi="Times New Roman" w:cs="Times New Roman" w:eastAsia="Times New Roman" w:hint="default"/>
                <w:sz w:val="18"/>
                <w:szCs w:val="18"/>
              </w:rPr>
            </w:pPr>
            <w:r>
              <w:rPr>
                <w:rFonts w:ascii="Times New Roman"/>
                <w:sz w:val="18"/>
              </w:rPr>
              <w:t>6,821,807.80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淘宝（中国）软件有限公司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14,128,201.91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4,519,899.45</w:t>
            </w:r>
          </w:p>
        </w:tc>
      </w:tr>
      <w:tr>
        <w:trPr>
          <w:trHeight w:val="40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百望股份有限公司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1,407,908.49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科传计算机科技控股有限公司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70,592.81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57" w:lineRule="auto" w:before="49"/>
        <w:ind w:left="152" w:right="7334"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8,221,700.00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7,440,900.00</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青岛海信智能商用 系统有限公司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745,231.83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7,452.32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淘宝（中国）软件有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6,429,144.33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321,457.22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百望股份有限公司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1,490,673.80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74,533.69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百望股份有限公司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2,321,559.18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青岛海信智能商用 系统有限公司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1,158,000.00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112,761.58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19"/>
              <w:jc w:val="right"/>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青岛海信智能商用系统有限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6,825,386.71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9,987,500.86</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17"/>
              <w:jc w:val="right"/>
              <w:rPr>
                <w:rFonts w:ascii="宋体" w:hAnsi="宋体" w:cs="宋体" w:eastAsia="宋体" w:hint="default"/>
                <w:sz w:val="18"/>
                <w:szCs w:val="18"/>
              </w:rPr>
            </w:pPr>
            <w:r>
              <w:rPr>
                <w:rFonts w:ascii="宋体" w:hAnsi="宋体" w:cs="宋体" w:eastAsia="宋体" w:hint="default"/>
                <w:sz w:val="18"/>
                <w:szCs w:val="18"/>
              </w:rPr>
              <w:t>百望股份有限公司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261,573.79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7"/>
              <w:jc w:val="right"/>
              <w:rPr>
                <w:rFonts w:ascii="宋体" w:hAnsi="宋体" w:cs="宋体" w:eastAsia="宋体" w:hint="default"/>
                <w:sz w:val="18"/>
                <w:szCs w:val="18"/>
              </w:rPr>
            </w:pPr>
            <w:r>
              <w:rPr>
                <w:rFonts w:ascii="宋体" w:hAnsi="宋体" w:cs="宋体" w:eastAsia="宋体" w:hint="default"/>
                <w:sz w:val="18"/>
                <w:szCs w:val="18"/>
              </w:rPr>
              <w:t>百望股份有限公司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1,320.00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113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
        <w:rPr>
          <w:rFonts w:ascii="宋体" w:hAnsi="宋体" w:cs="宋体" w:eastAsia="宋体" w:hint="default"/>
          <w:b/>
          <w:bCs/>
          <w:sz w:val="24"/>
          <w:szCs w:val="24"/>
        </w:rPr>
      </w:pPr>
    </w:p>
    <w:p>
      <w:pPr>
        <w:pStyle w:val="Heading6"/>
        <w:spacing w:line="249" w:lineRule="auto"/>
        <w:ind w:left="513" w:right="1129" w:firstLine="0"/>
        <w:jc w:val="both"/>
      </w:pPr>
      <w:r>
        <w:rPr>
          <w:spacing w:val="-3"/>
        </w:rPr>
        <w:t>（</w:t>
      </w:r>
      <w:r>
        <w:rPr>
          <w:rFonts w:ascii="Times New Roman" w:hAnsi="Times New Roman" w:cs="Times New Roman" w:eastAsia="Times New Roman" w:hint="default"/>
          <w:spacing w:val="-3"/>
        </w:rPr>
        <w:t>1</w:t>
      </w:r>
      <w:r>
        <w:rPr>
          <w:spacing w:val="-3"/>
        </w:rPr>
        <w:t>）本集团之子公司中电器件固定资产中位于北京朝阳区新源街</w:t>
      </w:r>
      <w:r>
        <w:rPr>
          <w:rFonts w:ascii="Times New Roman" w:hAnsi="Times New Roman" w:cs="Times New Roman" w:eastAsia="Times New Roman" w:hint="default"/>
          <w:spacing w:val="-3"/>
        </w:rPr>
        <w:t>18</w:t>
      </w:r>
      <w:r>
        <w:rPr>
          <w:spacing w:val="-3"/>
        </w:rPr>
        <w:t>号楼房产目前未取得土地使用</w:t>
      </w:r>
      <w:r>
        <w:rPr>
          <w:spacing w:val="-54"/>
        </w:rPr>
        <w:t> </w:t>
      </w:r>
      <w:r>
        <w:rPr>
          <w:spacing w:val="-54"/>
        </w:rPr>
      </w:r>
      <w:r>
        <w:rPr/>
        <w:t>权证。该房产建筑面积为</w:t>
      </w:r>
      <w:r>
        <w:rPr>
          <w:rFonts w:ascii="Times New Roman" w:hAnsi="Times New Roman" w:cs="Times New Roman" w:eastAsia="Times New Roman" w:hint="default"/>
        </w:rPr>
        <w:t>1,521.80</w:t>
      </w:r>
      <w:r>
        <w:rPr/>
        <w:t>平方米，房产账面原值为</w:t>
      </w:r>
      <w:r>
        <w:rPr>
          <w:rFonts w:ascii="Times New Roman" w:hAnsi="Times New Roman" w:cs="Times New Roman" w:eastAsia="Times New Roman" w:hint="default"/>
        </w:rPr>
        <w:t>1,157.84</w:t>
      </w:r>
      <w:r>
        <w:rPr/>
        <w:t>万元，目前用于对外出租，该</w:t>
      </w:r>
      <w:r>
        <w:rPr>
          <w:spacing w:val="-75"/>
        </w:rPr>
        <w:t> </w:t>
      </w:r>
      <w:r>
        <w:rPr>
          <w:spacing w:val="6"/>
        </w:rPr>
        <w:t>房产在公司</w:t>
      </w:r>
      <w:r>
        <w:rPr>
          <w:rFonts w:ascii="Times New Roman" w:hAnsi="Times New Roman" w:cs="Times New Roman" w:eastAsia="Times New Roman" w:hint="default"/>
          <w:spacing w:val="6"/>
        </w:rPr>
        <w:t>2006</w:t>
      </w:r>
      <w:r>
        <w:rPr>
          <w:spacing w:val="6"/>
        </w:rPr>
        <w:t>年改制前由子公司的前身中国电子器件工业总公司所有，并已取得</w:t>
      </w:r>
      <w:r>
        <w:rPr>
          <w:rFonts w:ascii="Times New Roman" w:hAnsi="Times New Roman" w:cs="Times New Roman" w:eastAsia="Times New Roman" w:hint="default"/>
          <w:spacing w:val="6"/>
        </w:rPr>
        <w:t>“</w:t>
      </w:r>
      <w:r>
        <w:rPr>
          <w:spacing w:val="6"/>
        </w:rPr>
        <w:t>朝全字第</w:t>
      </w:r>
      <w:r>
        <w:rPr/>
        <w:t> </w:t>
      </w:r>
      <w:r>
        <w:rPr/>
      </w:r>
      <w:r>
        <w:rPr>
          <w:rFonts w:ascii="Times New Roman" w:hAnsi="Times New Roman" w:cs="Times New Roman" w:eastAsia="Times New Roman" w:hint="default"/>
        </w:rPr>
        <w:t>08263</w:t>
      </w:r>
      <w:r>
        <w:rPr/>
        <w:t>号</w:t>
      </w:r>
      <w:r>
        <w:rPr>
          <w:rFonts w:ascii="Times New Roman" w:hAnsi="Times New Roman" w:cs="Times New Roman" w:eastAsia="Times New Roman" w:hint="default"/>
        </w:rPr>
        <w:t>”</w:t>
      </w:r>
      <w:r>
        <w:rPr/>
        <w:t>房产证，但未取得对应土地使用权证。中电器件</w:t>
      </w:r>
      <w:r>
        <w:rPr>
          <w:rFonts w:ascii="Times New Roman" w:hAnsi="Times New Roman" w:cs="Times New Roman" w:eastAsia="Times New Roman" w:hint="default"/>
        </w:rPr>
        <w:t>2006</w:t>
      </w:r>
      <w:r>
        <w:rPr/>
        <w:t>年改制后，该房产一直由中电器件</w:t>
      </w:r>
      <w:r>
        <w:rPr>
          <w:spacing w:val="-61"/>
        </w:rPr>
        <w:t> </w:t>
      </w:r>
      <w:r>
        <w:rPr>
          <w:spacing w:val="-61"/>
        </w:rPr>
      </w:r>
      <w:r>
        <w:rPr/>
        <w:t>实际所有并用于对外出租，且租金收益归中电器件所有。公司控股股东及实际控制人李仲初先生</w:t>
      </w:r>
      <w:r>
        <w:rPr>
          <w:spacing w:val="-71"/>
        </w:rPr>
        <w:t> </w:t>
      </w:r>
      <w:r>
        <w:rPr>
          <w:spacing w:val="-71"/>
        </w:rPr>
      </w:r>
      <w:r>
        <w:rPr/>
        <w:t>承诺，如未来上市公司在正常运行中，因未取得该房产权属证明而遭受任何损失，李仲初先生承</w:t>
      </w:r>
      <w:r>
        <w:rPr>
          <w:spacing w:val="-71"/>
        </w:rPr>
        <w:t> </w:t>
      </w:r>
      <w:r>
        <w:rPr>
          <w:spacing w:val="-71"/>
        </w:rPr>
      </w:r>
      <w:r>
        <w:rPr/>
        <w:t>诺将给予足额补偿。</w:t>
      </w:r>
    </w:p>
    <w:p>
      <w:pPr>
        <w:spacing w:line="240" w:lineRule="auto" w:before="7"/>
        <w:rPr>
          <w:rFonts w:ascii="宋体" w:hAnsi="宋体" w:cs="宋体" w:eastAsia="宋体" w:hint="default"/>
          <w:sz w:val="19"/>
          <w:szCs w:val="19"/>
        </w:rPr>
      </w:pPr>
    </w:p>
    <w:p>
      <w:pPr>
        <w:pStyle w:val="Heading6"/>
        <w:spacing w:line="240" w:lineRule="auto"/>
        <w:ind w:left="513" w:right="0" w:firstLine="0"/>
        <w:jc w:val="both"/>
      </w:pPr>
      <w:r>
        <w:rPr/>
        <w:t>（</w:t>
      </w:r>
      <w:r>
        <w:rPr>
          <w:rFonts w:ascii="Times New Roman" w:hAnsi="Times New Roman" w:cs="Times New Roman" w:eastAsia="Times New Roman" w:hint="default"/>
        </w:rPr>
        <w:t>2</w:t>
      </w:r>
      <w:r>
        <w:rPr/>
        <w:t>）本集团之子公司中电器件投资性房地产中账面原值为</w:t>
      </w:r>
      <w:r>
        <w:rPr>
          <w:rFonts w:ascii="Times New Roman" w:hAnsi="Times New Roman" w:cs="Times New Roman" w:eastAsia="Times New Roman" w:hint="default"/>
        </w:rPr>
        <w:t>3,100.92</w:t>
      </w:r>
      <w:r>
        <w:rPr/>
        <w:t>万元位于海淀区复兴路甲</w:t>
      </w:r>
      <w:r>
        <w:rPr>
          <w:rFonts w:ascii="Times New Roman" w:hAnsi="Times New Roman" w:cs="Times New Roman" w:eastAsia="Times New Roman" w:hint="default"/>
        </w:rPr>
        <w:t>65</w:t>
      </w:r>
      <w:r>
        <w:rPr/>
        <w:t>号</w:t>
      </w:r>
    </w:p>
    <w:p>
      <w:pPr>
        <w:pStyle w:val="Heading6"/>
        <w:spacing w:line="252" w:lineRule="auto" w:before="7"/>
        <w:ind w:left="513" w:right="0" w:firstLine="0"/>
        <w:jc w:val="left"/>
      </w:pPr>
      <w:r>
        <w:rPr>
          <w:spacing w:val="-3"/>
        </w:rPr>
        <w:t>（底商部分）的房产，在中电器件</w:t>
      </w:r>
      <w:r>
        <w:rPr>
          <w:rFonts w:ascii="Times New Roman" w:hAnsi="Times New Roman" w:cs="Times New Roman" w:eastAsia="Times New Roman" w:hint="default"/>
          <w:spacing w:val="-3"/>
        </w:rPr>
        <w:t>2006</w:t>
      </w:r>
      <w:r>
        <w:rPr>
          <w:spacing w:val="-3"/>
        </w:rPr>
        <w:t>年改制前由中电器件的前身中国电子器件工业总公司所有，</w:t>
      </w:r>
      <w:r>
        <w:rPr>
          <w:spacing w:val="-55"/>
        </w:rPr>
        <w:t> </w:t>
      </w:r>
      <w:r>
        <w:rPr>
          <w:spacing w:val="-55"/>
        </w:rPr>
      </w:r>
      <w:r>
        <w:rPr>
          <w:spacing w:val="-2"/>
        </w:rPr>
        <w:t>并已取得</w:t>
      </w:r>
      <w:r>
        <w:rPr>
          <w:rFonts w:ascii="Times New Roman" w:hAnsi="Times New Roman" w:cs="Times New Roman" w:eastAsia="Times New Roman" w:hint="default"/>
          <w:spacing w:val="-2"/>
        </w:rPr>
        <w:t>“</w:t>
      </w:r>
      <w:r>
        <w:rPr>
          <w:spacing w:val="-2"/>
        </w:rPr>
        <w:t>京房权证海国更字第</w:t>
      </w:r>
      <w:r>
        <w:rPr>
          <w:rFonts w:ascii="Times New Roman" w:hAnsi="Times New Roman" w:cs="Times New Roman" w:eastAsia="Times New Roman" w:hint="default"/>
          <w:spacing w:val="-2"/>
        </w:rPr>
        <w:t>00701</w:t>
      </w:r>
      <w:r>
        <w:rPr>
          <w:spacing w:val="-2"/>
        </w:rPr>
        <w:t>号</w:t>
      </w:r>
      <w:r>
        <w:rPr>
          <w:rFonts w:ascii="Times New Roman" w:hAnsi="Times New Roman" w:cs="Times New Roman" w:eastAsia="Times New Roman" w:hint="default"/>
          <w:spacing w:val="-2"/>
        </w:rPr>
        <w:t>”</w:t>
      </w:r>
      <w:r>
        <w:rPr>
          <w:spacing w:val="-2"/>
        </w:rPr>
        <w:t>房产证。中电器件</w:t>
      </w:r>
      <w:r>
        <w:rPr>
          <w:rFonts w:ascii="Times New Roman" w:hAnsi="Times New Roman" w:cs="Times New Roman" w:eastAsia="Times New Roman" w:hint="default"/>
          <w:spacing w:val="-2"/>
        </w:rPr>
        <w:t>2006</w:t>
      </w:r>
      <w:r>
        <w:rPr>
          <w:spacing w:val="-2"/>
        </w:rPr>
        <w:t>年改制后，该房产一直由中电器件</w:t>
      </w:r>
      <w:r>
        <w:rPr>
          <w:spacing w:val="-67"/>
        </w:rPr>
        <w:t> </w:t>
      </w:r>
      <w:r>
        <w:rPr>
          <w:spacing w:val="-67"/>
        </w:rPr>
      </w:r>
      <w:r>
        <w:rPr/>
        <w:t>实际所有并用于对外出租，且租金收益归中电器件所有。公司控股股东及实际控制人李仲初先生</w:t>
      </w:r>
      <w:r>
        <w:rPr>
          <w:spacing w:val="-72"/>
        </w:rPr>
        <w:t> </w:t>
      </w:r>
      <w:r>
        <w:rPr>
          <w:spacing w:val="-72"/>
        </w:rPr>
      </w:r>
      <w:r>
        <w:rPr/>
        <w:t>承诺，如未来上市公司在正常运行中，因未取得该房产权属证明而遭受任何损失，李仲初先生将</w:t>
      </w:r>
      <w:r>
        <w:rPr>
          <w:spacing w:val="-71"/>
        </w:rPr>
        <w:t> </w:t>
      </w:r>
      <w:r>
        <w:rPr>
          <w:spacing w:val="-71"/>
        </w:rPr>
      </w:r>
      <w:r>
        <w:rPr/>
        <w:t>给予足额补偿。</w:t>
      </w:r>
    </w:p>
    <w:p>
      <w:pPr>
        <w:spacing w:line="240" w:lineRule="auto" w:before="4"/>
        <w:rPr>
          <w:rFonts w:ascii="宋体" w:hAnsi="宋体" w:cs="宋体" w:eastAsia="宋体" w:hint="default"/>
          <w:sz w:val="19"/>
          <w:szCs w:val="19"/>
        </w:rPr>
      </w:pPr>
    </w:p>
    <w:p>
      <w:pPr>
        <w:pStyle w:val="Heading6"/>
        <w:spacing w:line="244" w:lineRule="auto"/>
        <w:ind w:left="513" w:right="1128" w:firstLine="0"/>
        <w:jc w:val="both"/>
      </w:pPr>
      <w:r>
        <w:rPr>
          <w:spacing w:val="-3"/>
        </w:rPr>
        <w:t>（</w:t>
      </w:r>
      <w:r>
        <w:rPr>
          <w:rFonts w:ascii="Times New Roman" w:hAnsi="Times New Roman" w:cs="Times New Roman" w:eastAsia="Times New Roman" w:hint="default"/>
          <w:spacing w:val="-3"/>
        </w:rPr>
        <w:t>3</w:t>
      </w:r>
      <w:r>
        <w:rPr>
          <w:spacing w:val="-3"/>
        </w:rPr>
        <w:t>）本公司之控股子公司深圳京宝实业有限公司因营业期限过期（超期经营），自</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8"/>
        </w:rPr>
        <w:t> </w:t>
      </w:r>
      <w:r>
        <w:rPr/>
        <w:t>日至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日被自动限制超期经营。目前，深圳京宝实业有限公司的锁定限制信息状态栏</w:t>
      </w:r>
      <w:r>
        <w:rPr>
          <w:spacing w:val="-74"/>
        </w:rPr>
        <w:t> </w:t>
      </w:r>
      <w:r>
        <w:rPr>
          <w:spacing w:val="-74"/>
        </w:rPr>
      </w:r>
      <w:r>
        <w:rPr/>
        <w:t>显示其仍处于</w:t>
      </w:r>
      <w:r>
        <w:rPr>
          <w:rFonts w:ascii="Times New Roman" w:hAnsi="Times New Roman" w:cs="Times New Roman" w:eastAsia="Times New Roman" w:hint="default"/>
        </w:rPr>
        <w:t>“</w:t>
      </w:r>
      <w:r>
        <w:rPr/>
        <w:t>限制中</w:t>
      </w:r>
      <w:r>
        <w:rPr>
          <w:rFonts w:ascii="Times New Roman" w:hAnsi="Times New Roman" w:cs="Times New Roman" w:eastAsia="Times New Roman" w:hint="default"/>
        </w:rPr>
        <w:t>”</w:t>
      </w:r>
      <w:r>
        <w:rPr/>
        <w:t>。本公司控股股东及实际控制人李仲初先生承诺，如深圳京宝实业有限公</w:t>
      </w:r>
      <w:r>
        <w:rPr>
          <w:spacing w:val="-51"/>
        </w:rPr>
        <w:t> </w:t>
      </w:r>
      <w:r>
        <w:rPr>
          <w:spacing w:val="-51"/>
        </w:rPr>
      </w:r>
      <w:r>
        <w:rPr/>
        <w:t>司需承担任何形式的负债</w:t>
      </w:r>
      <w:r>
        <w:rPr>
          <w:rFonts w:ascii="Times New Roman" w:hAnsi="Times New Roman" w:cs="Times New Roman" w:eastAsia="Times New Roman" w:hint="default"/>
        </w:rPr>
        <w:t>/</w:t>
      </w:r>
      <w:r>
        <w:rPr/>
        <w:t>或有负债对中电器件造成损失，其愿意承担经济补偿责任。</w:t>
      </w:r>
    </w:p>
    <w:p>
      <w:pPr>
        <w:spacing w:line="240" w:lineRule="auto" w:before="12"/>
        <w:rPr>
          <w:rFonts w:ascii="宋体" w:hAnsi="宋体" w:cs="宋体" w:eastAsia="宋体" w:hint="default"/>
          <w:sz w:val="21"/>
          <w:szCs w:val="21"/>
        </w:rPr>
      </w:pPr>
    </w:p>
    <w:p>
      <w:pPr>
        <w:pStyle w:val="Heading3"/>
        <w:spacing w:line="240" w:lineRule="auto"/>
        <w:ind w:right="1133"/>
        <w:jc w:val="left"/>
        <w:rPr>
          <w:b w:val="0"/>
          <w:bCs w:val="0"/>
        </w:rPr>
      </w:pPr>
      <w:r>
        <w:rPr/>
        <w:t>十二、股份支付</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5"/>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27,981,404.65</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1,315,903.47</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3,183,331.60</w:t>
            </w:r>
          </w:p>
        </w:tc>
      </w:tr>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行权价格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25.24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股；可行权期限自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pacing w:val="-3"/>
                <w:sz w:val="18"/>
                <w:szCs w:val="18"/>
              </w:rPr>
              <w:t>日止</w:t>
            </w:r>
            <w:r>
              <w:rPr>
                <w:rFonts w:ascii="宋体" w:hAnsi="宋体" w:cs="宋体" w:eastAsia="宋体" w:hint="default"/>
                <w:sz w:val="18"/>
                <w:szCs w:val="18"/>
              </w:rPr>
            </w:r>
          </w:p>
        </w:tc>
      </w:tr>
    </w:tbl>
    <w:p>
      <w:pPr>
        <w:spacing w:line="357" w:lineRule="auto" w:before="49"/>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舒尔斯</w:t>
            </w:r>
            <w:r>
              <w:rPr>
                <w:rFonts w:ascii="Times New Roman" w:hAnsi="Times New Roman" w:cs="Times New Roman" w:eastAsia="Times New Roman" w:hint="default"/>
                <w:sz w:val="18"/>
                <w:szCs w:val="18"/>
              </w:rPr>
              <w:t>"</w:t>
            </w:r>
            <w:r>
              <w:rPr>
                <w:rFonts w:ascii="宋体" w:hAnsi="宋体" w:cs="宋体" w:eastAsia="宋体" w:hint="default"/>
                <w:sz w:val="18"/>
                <w:szCs w:val="18"/>
              </w:rPr>
              <w:t>期权定价模型</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根据首次授予股票期权的可行权条件成就与否与行权期的</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36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约定确定</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59,413,262.18</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24,798,073.05</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20"/>
        <w:ind w:right="113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spacing w:line="506" w:lineRule="auto" w:before="0"/>
        <w:ind w:left="152" w:right="8345" w:firstLine="0"/>
        <w:jc w:val="left"/>
        <w:rPr>
          <w:rFonts w:ascii="宋体" w:hAnsi="宋体" w:cs="宋体" w:eastAsia="宋体" w:hint="default"/>
          <w:sz w:val="18"/>
          <w:szCs w:val="18"/>
        </w:rPr>
      </w:pP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pStyle w:val="Heading6"/>
        <w:spacing w:line="240" w:lineRule="auto" w:before="86"/>
        <w:ind w:left="549" w:right="1133" w:firstLine="0"/>
        <w:jc w:val="left"/>
      </w:pPr>
      <w:r>
        <w:rPr/>
        <w:t>不可撤销经营租赁</w:t>
      </w:r>
    </w:p>
    <w:p>
      <w:pPr>
        <w:spacing w:line="240" w:lineRule="auto" w:before="9"/>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5961"/>
        <w:gridCol w:w="3397"/>
      </w:tblGrid>
      <w:tr>
        <w:trPr>
          <w:trHeight w:val="346" w:hRule="exact"/>
        </w:trPr>
        <w:tc>
          <w:tcPr>
            <w:tcW w:w="59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2785"/>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06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48" w:hRule="exact"/>
        </w:trPr>
        <w:tc>
          <w:tcPr>
            <w:tcW w:w="5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8" w:hRule="exact"/>
        </w:trPr>
        <w:tc>
          <w:tcPr>
            <w:tcW w:w="5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41,357,193.94</w:t>
            </w:r>
          </w:p>
        </w:tc>
      </w:tr>
      <w:tr>
        <w:trPr>
          <w:trHeight w:val="346" w:hRule="exact"/>
        </w:trPr>
        <w:tc>
          <w:tcPr>
            <w:tcW w:w="5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24,327,263.24</w:t>
            </w:r>
          </w:p>
        </w:tc>
      </w:tr>
      <w:tr>
        <w:trPr>
          <w:trHeight w:val="348" w:hRule="exact"/>
        </w:trPr>
        <w:tc>
          <w:tcPr>
            <w:tcW w:w="5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年及以后年度</w:t>
            </w:r>
          </w:p>
        </w:tc>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27,736,099.45</w:t>
            </w:r>
          </w:p>
        </w:tc>
      </w:tr>
      <w:tr>
        <w:trPr>
          <w:trHeight w:val="348" w:hRule="exact"/>
        </w:trPr>
        <w:tc>
          <w:tcPr>
            <w:tcW w:w="5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785"/>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93,420,556.63</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7"/>
        <w:spacing w:line="240" w:lineRule="auto" w:before="36"/>
        <w:ind w:right="113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0"/>
        <w:rPr>
          <w:rFonts w:ascii="宋体" w:hAnsi="宋体" w:cs="宋体" w:eastAsia="宋体" w:hint="default"/>
          <w:b/>
          <w:bCs/>
          <w:sz w:val="24"/>
          <w:szCs w:val="24"/>
        </w:rPr>
      </w:pPr>
    </w:p>
    <w:p>
      <w:pPr>
        <w:pStyle w:val="Heading6"/>
        <w:spacing w:line="240" w:lineRule="auto"/>
        <w:ind w:left="592" w:right="1133" w:firstLine="0"/>
        <w:jc w:val="left"/>
      </w:pPr>
      <w:r>
        <w:rPr/>
        <w:t>本公司截至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日，存在以下两起重大或有事项，具体如下：</w:t>
      </w:r>
    </w:p>
    <w:p>
      <w:pPr>
        <w:spacing w:line="240" w:lineRule="auto" w:before="12"/>
        <w:rPr>
          <w:rFonts w:ascii="宋体" w:hAnsi="宋体" w:cs="宋体" w:eastAsia="宋体" w:hint="default"/>
          <w:sz w:val="18"/>
          <w:szCs w:val="18"/>
        </w:rPr>
      </w:pPr>
    </w:p>
    <w:p>
      <w:pPr>
        <w:pStyle w:val="Heading6"/>
        <w:spacing w:line="247" w:lineRule="auto"/>
        <w:ind w:right="1020"/>
        <w:jc w:val="left"/>
      </w:pPr>
      <w:r>
        <w:rPr>
          <w:rFonts w:ascii="Times New Roman" w:hAnsi="Times New Roman" w:cs="Times New Roman" w:eastAsia="Times New Roman" w:hint="default"/>
          <w:spacing w:val="-4"/>
        </w:rPr>
        <w:t>1.</w:t>
      </w:r>
      <w:r>
        <w:rPr>
          <w:spacing w:val="-4"/>
        </w:rPr>
        <w:t>本集团之子公司中电器件应收南京汇贤科技有限公司（以下简称南京汇贤）款项</w:t>
      </w:r>
      <w:r>
        <w:rPr>
          <w:rFonts w:ascii="Times New Roman" w:hAnsi="Times New Roman" w:cs="Times New Roman" w:eastAsia="Times New Roman" w:hint="default"/>
          <w:spacing w:val="-4"/>
        </w:rPr>
        <w:t>2,052,636.89</w:t>
      </w:r>
      <w:r>
        <w:rPr>
          <w:spacing w:val="-4"/>
        </w:rPr>
        <w:t>元，</w:t>
      </w:r>
      <w:r>
        <w:rPr>
          <w:w w:val="100"/>
        </w:rPr>
        <w:t> </w:t>
      </w:r>
      <w:r>
        <w:rPr/>
        <w:t>账龄</w:t>
      </w:r>
      <w:r>
        <w:rPr>
          <w:rFonts w:ascii="Times New Roman" w:hAnsi="Times New Roman" w:cs="Times New Roman" w:eastAsia="Times New Roman" w:hint="default"/>
        </w:rPr>
        <w:t>1-2</w:t>
      </w:r>
      <w:r>
        <w:rPr/>
        <w:t>年</w:t>
      </w:r>
      <w:r>
        <w:rPr>
          <w:rFonts w:ascii="Times New Roman" w:hAnsi="Times New Roman" w:cs="Times New Roman" w:eastAsia="Times New Roman" w:hint="default"/>
        </w:rPr>
        <w:t>827,880.00</w:t>
      </w:r>
      <w:r>
        <w:rPr/>
        <w:t>元，</w:t>
      </w:r>
      <w:r>
        <w:rPr>
          <w:rFonts w:ascii="Times New Roman" w:hAnsi="Times New Roman" w:cs="Times New Roman" w:eastAsia="Times New Roman" w:hint="default"/>
        </w:rPr>
        <w:t>2-3</w:t>
      </w:r>
      <w:r>
        <w:rPr/>
        <w:t>年为</w:t>
      </w:r>
      <w:r>
        <w:rPr>
          <w:rFonts w:ascii="Times New Roman" w:hAnsi="Times New Roman" w:cs="Times New Roman" w:eastAsia="Times New Roman" w:hint="default"/>
        </w:rPr>
        <w:t>1,224,756.89</w:t>
      </w:r>
      <w:r>
        <w:rPr/>
        <w:t>元；因南京汇贤（法定代表人：高国峰）与第三方单位</w:t>
      </w:r>
      <w:r>
        <w:rPr>
          <w:spacing w:val="-29"/>
        </w:rPr>
        <w:t> </w:t>
      </w:r>
      <w:r>
        <w:rPr>
          <w:spacing w:val="-29"/>
        </w:rPr>
      </w:r>
      <w:r>
        <w:rPr/>
        <w:t>存在买卖合同纠纷，南京汇贤被申请破产清算，中电器件于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日向法院申请财产保全，请</w:t>
      </w:r>
      <w:r>
        <w:rPr>
          <w:spacing w:val="-44"/>
        </w:rPr>
        <w:t> </w:t>
      </w:r>
      <w:r>
        <w:rPr>
          <w:spacing w:val="-44"/>
        </w:rPr>
      </w:r>
      <w:r>
        <w:rPr>
          <w:spacing w:val="-3"/>
        </w:rPr>
        <w:t>求对被申请人南京汇贤、高国峰名下价值</w:t>
      </w:r>
      <w:r>
        <w:rPr>
          <w:rFonts w:ascii="Times New Roman" w:hAnsi="Times New Roman" w:cs="Times New Roman" w:eastAsia="Times New Roman" w:hint="default"/>
          <w:spacing w:val="-3"/>
        </w:rPr>
        <w:t>2,212,392.00</w:t>
      </w:r>
      <w:r>
        <w:rPr>
          <w:spacing w:val="-3"/>
        </w:rPr>
        <w:t>元的财产提供担保。经法院经审查认为，申请人</w:t>
      </w:r>
      <w:r>
        <w:rPr>
          <w:spacing w:val="-61"/>
        </w:rPr>
        <w:t> </w:t>
      </w:r>
      <w:r>
        <w:rPr>
          <w:spacing w:val="-61"/>
        </w:rPr>
      </w:r>
      <w:r>
        <w:rPr>
          <w:spacing w:val="-3"/>
        </w:rPr>
        <w:t>中电器件的申请符合法律规定，裁定如下：冻结南京汇贤、高国峰名下价值</w:t>
      </w:r>
      <w:r>
        <w:rPr>
          <w:rFonts w:ascii="Times New Roman" w:hAnsi="Times New Roman" w:cs="Times New Roman" w:eastAsia="Times New Roman" w:hint="default"/>
          <w:spacing w:val="-3"/>
        </w:rPr>
        <w:t>2,212,392.00</w:t>
      </w:r>
      <w:r>
        <w:rPr>
          <w:spacing w:val="-3"/>
        </w:rPr>
        <w:t>元的财产，并</w:t>
      </w:r>
      <w:r>
        <w:rPr>
          <w:spacing w:val="-63"/>
        </w:rPr>
        <w:t> </w:t>
      </w:r>
      <w:r>
        <w:rPr>
          <w:spacing w:val="-63"/>
        </w:rPr>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日立即执行财产保全措施，</w:t>
      </w:r>
      <w:r>
        <w:rPr>
          <w:rFonts w:ascii="Times New Roman" w:hAnsi="Times New Roman" w:cs="Times New Roman" w:eastAsia="Times New Roman" w:hint="default"/>
        </w:rPr>
        <w:t>2018</w:t>
      </w:r>
      <w:r>
        <w:rPr/>
        <w:t>年无新的进展情况。本公司基于对上述债权已执行财</w:t>
      </w:r>
      <w:r>
        <w:rPr>
          <w:spacing w:val="-51"/>
        </w:rPr>
        <w:t> </w:t>
      </w:r>
      <w:r>
        <w:rPr>
          <w:spacing w:val="-51"/>
        </w:rPr>
      </w:r>
      <w:r>
        <w:rPr/>
        <w:t>产保全措施考虑，认为相应应收款项不具备重大减值风险，故此按照信用风险组合计提坏账准备，计</w:t>
      </w:r>
      <w:r>
        <w:rPr>
          <w:w w:val="100"/>
        </w:rPr>
        <w:t> </w:t>
      </w:r>
      <w:r>
        <w:rPr/>
        <w:t>提坏账准备</w:t>
      </w:r>
      <w:r>
        <w:rPr>
          <w:rFonts w:ascii="Times New Roman" w:hAnsi="Times New Roman" w:cs="Times New Roman" w:eastAsia="Times New Roman" w:hint="default"/>
        </w:rPr>
        <w:t>860,742.45</w:t>
      </w:r>
      <w:r>
        <w:rPr/>
        <w:t>元。</w:t>
      </w:r>
    </w:p>
    <w:p>
      <w:pPr>
        <w:spacing w:line="240" w:lineRule="auto" w:before="5"/>
        <w:rPr>
          <w:rFonts w:ascii="宋体" w:hAnsi="宋体" w:cs="宋体" w:eastAsia="宋体" w:hint="default"/>
          <w:sz w:val="18"/>
          <w:szCs w:val="18"/>
        </w:rPr>
      </w:pPr>
    </w:p>
    <w:p>
      <w:pPr>
        <w:pStyle w:val="Heading6"/>
        <w:spacing w:line="240" w:lineRule="auto"/>
        <w:ind w:left="592" w:right="0" w:firstLine="0"/>
        <w:jc w:val="left"/>
      </w:pPr>
      <w:r>
        <w:rPr>
          <w:rFonts w:ascii="Times New Roman" w:hAnsi="Times New Roman" w:cs="Times New Roman" w:eastAsia="Times New Roman" w:hint="default"/>
        </w:rPr>
        <w:t>2. </w:t>
      </w:r>
      <w:r>
        <w:rPr>
          <w:spacing w:val="20"/>
        </w:rPr>
        <w:t>本集团之子公司中电器件应收北京益心康达投资管理有限公司（</w:t>
      </w:r>
      <w:r>
        <w:rPr>
          <w:spacing w:val="-35"/>
        </w:rPr>
        <w:t> </w:t>
      </w:r>
      <w:r>
        <w:rPr>
          <w:spacing w:val="19"/>
        </w:rPr>
        <w:t>以下简称益心康达）</w:t>
      </w:r>
    </w:p>
    <w:p>
      <w:pPr>
        <w:pStyle w:val="Heading6"/>
        <w:spacing w:line="240" w:lineRule="auto" w:before="7"/>
        <w:ind w:right="1133" w:firstLine="0"/>
        <w:jc w:val="left"/>
      </w:pPr>
      <w:r>
        <w:rPr>
          <w:rFonts w:ascii="Times New Roman" w:hAnsi="Times New Roman" w:cs="Times New Roman" w:eastAsia="Times New Roman" w:hint="default"/>
        </w:rPr>
        <w:t>5,600,000.00</w:t>
      </w:r>
      <w:r>
        <w:rPr/>
        <w:t>元，账龄为</w:t>
      </w:r>
      <w:r>
        <w:rPr>
          <w:rFonts w:ascii="Times New Roman" w:hAnsi="Times New Roman" w:cs="Times New Roman" w:eastAsia="Times New Roman" w:hint="default"/>
        </w:rPr>
        <w:t>3-4</w:t>
      </w:r>
      <w:r>
        <w:rPr/>
        <w:t>年。此笔债权形成原因如下：</w:t>
      </w:r>
    </w:p>
    <w:p>
      <w:pPr>
        <w:spacing w:after="0" w:line="240" w:lineRule="auto"/>
        <w:jc w:val="left"/>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49" w:lineRule="auto" w:before="32"/>
        <w:ind w:right="109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日，中电器件与益心康达签订《医疗设备买卖合同》（下称买卖合同），购买设备</w:t>
      </w:r>
      <w:r>
        <w:rPr>
          <w:w w:val="100"/>
        </w:rPr>
        <w:t> </w:t>
      </w:r>
      <w:r>
        <w:rPr>
          <w:spacing w:val="-4"/>
        </w:rPr>
        <w:t>用于台州市博爱医院磁共振中心项目（下称项目）；买卖合同项下的标的设备价款</w:t>
      </w:r>
      <w:r>
        <w:rPr>
          <w:rFonts w:ascii="Times New Roman" w:hAnsi="Times New Roman" w:cs="Times New Roman" w:eastAsia="Times New Roman" w:hint="default"/>
          <w:spacing w:val="-4"/>
        </w:rPr>
        <w:t>800</w:t>
      </w:r>
      <w:r>
        <w:rPr>
          <w:spacing w:val="-4"/>
        </w:rPr>
        <w:t>万元，另收</w:t>
      </w:r>
      <w:r>
        <w:rPr>
          <w:rFonts w:ascii="Times New Roman" w:hAnsi="Times New Roman" w:cs="Times New Roman" w:eastAsia="Times New Roman" w:hint="default"/>
          <w:spacing w:val="-4"/>
        </w:rPr>
        <w:t>10%</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即</w:t>
      </w:r>
      <w:r>
        <w:rPr>
          <w:rFonts w:ascii="Times New Roman" w:hAnsi="Times New Roman" w:cs="Times New Roman" w:eastAsia="Times New Roman" w:hint="default"/>
        </w:rPr>
        <w:t>80</w:t>
      </w:r>
      <w:r>
        <w:rPr/>
        <w:t>万元的代理费。合同约定：签订后</w:t>
      </w:r>
      <w:r>
        <w:rPr>
          <w:rFonts w:ascii="Times New Roman" w:hAnsi="Times New Roman" w:cs="Times New Roman" w:eastAsia="Times New Roman" w:hint="default"/>
        </w:rPr>
        <w:t>10</w:t>
      </w:r>
      <w:r>
        <w:rPr/>
        <w:t>日内益心康达公司支付</w:t>
      </w:r>
      <w:r>
        <w:rPr>
          <w:rFonts w:ascii="Times New Roman" w:hAnsi="Times New Roman" w:cs="Times New Roman" w:eastAsia="Times New Roman" w:hint="default"/>
        </w:rPr>
        <w:t>280</w:t>
      </w:r>
      <w:r>
        <w:rPr/>
        <w:t>万元，设备余款及代理费最迟于</w:t>
      </w:r>
      <w:r>
        <w:rPr>
          <w:spacing w:val="-46"/>
        </w:rPr>
        <w:t> </w:t>
      </w:r>
      <w:r>
        <w:rPr>
          <w:spacing w:val="-46"/>
        </w:rPr>
      </w:r>
      <w:r>
        <w:rPr>
          <w:spacing w:val="-2"/>
        </w:rPr>
        <w:t>一年内付清，并约定一年内按季度支付资金利息，益心康达未付清全部货款前，买卖合同所涉全部产</w:t>
      </w:r>
      <w:r>
        <w:rPr>
          <w:spacing w:val="-66"/>
        </w:rPr>
        <w:t> </w:t>
      </w:r>
      <w:r>
        <w:rPr>
          <w:spacing w:val="-66"/>
        </w:rPr>
      </w:r>
      <w:r>
        <w:rPr>
          <w:spacing w:val="-2"/>
        </w:rPr>
        <w:t>品的所有权归中电器件所有，益心康达以该项目中的运营收入作为履约担保。买卖合同在违约责任条</w:t>
      </w:r>
      <w:r>
        <w:rPr>
          <w:spacing w:val="-70"/>
        </w:rPr>
        <w:t> </w:t>
      </w:r>
      <w:r>
        <w:rPr>
          <w:spacing w:val="-70"/>
        </w:rPr>
      </w:r>
      <w:r>
        <w:rPr>
          <w:spacing w:val="-1"/>
        </w:rPr>
        <w:t>款中约定：如益心康达逾期付款超过</w:t>
      </w:r>
      <w:r>
        <w:rPr>
          <w:rFonts w:ascii="Times New Roman" w:hAnsi="Times New Roman" w:cs="Times New Roman" w:eastAsia="Times New Roman" w:hint="default"/>
          <w:spacing w:val="-1"/>
        </w:rPr>
        <w:t>30</w:t>
      </w:r>
      <w:r>
        <w:rPr>
          <w:spacing w:val="-1"/>
        </w:rPr>
        <w:t>天，益心康达应支付合同总价款</w:t>
      </w:r>
      <w:r>
        <w:rPr>
          <w:rFonts w:ascii="Times New Roman" w:hAnsi="Times New Roman" w:cs="Times New Roman" w:eastAsia="Times New Roman" w:hint="default"/>
          <w:spacing w:val="-1"/>
        </w:rPr>
        <w:t>30%</w:t>
      </w:r>
      <w:r>
        <w:rPr>
          <w:spacing w:val="-1"/>
        </w:rPr>
        <w:t>的违约金，并中电器件有</w:t>
      </w:r>
      <w:r>
        <w:rPr>
          <w:spacing w:val="-69"/>
        </w:rPr>
        <w:t> </w:t>
      </w:r>
      <w:r>
        <w:rPr>
          <w:spacing w:val="-69"/>
        </w:rPr>
      </w:r>
      <w:r>
        <w:rPr>
          <w:spacing w:val="-2"/>
        </w:rPr>
        <w:t>权解除合同；超过</w:t>
      </w:r>
      <w:r>
        <w:rPr>
          <w:rFonts w:ascii="Times New Roman" w:hAnsi="Times New Roman" w:cs="Times New Roman" w:eastAsia="Times New Roman" w:hint="default"/>
          <w:spacing w:val="-2"/>
        </w:rPr>
        <w:t>60</w:t>
      </w:r>
      <w:r>
        <w:rPr>
          <w:spacing w:val="-2"/>
        </w:rPr>
        <w:t>天仍未付款，中电器件除追究其违约责任外，可以收回设备自行处置，并有权要</w:t>
      </w:r>
      <w:r>
        <w:rPr>
          <w:spacing w:val="-69"/>
        </w:rPr>
        <w:t> </w:t>
      </w:r>
      <w:r>
        <w:rPr>
          <w:spacing w:val="-69"/>
        </w:rPr>
      </w:r>
      <w:r>
        <w:rPr>
          <w:spacing w:val="-1"/>
        </w:rPr>
        <w:t>求益心康达支付设备折旧费。同时，益心康达和博爱医院与本公司签订了《医疗设备合作三方协议》</w:t>
      </w:r>
    </w:p>
    <w:p>
      <w:pPr>
        <w:pStyle w:val="Heading6"/>
        <w:spacing w:line="256" w:lineRule="auto" w:before="15"/>
        <w:ind w:right="1025" w:firstLine="0"/>
        <w:jc w:val="left"/>
      </w:pPr>
      <w:r>
        <w:rPr>
          <w:spacing w:val="-2"/>
        </w:rPr>
        <w:t>（下称三方协议），三方协议约定与买卖合同相同，益心康达到期未足额支付剩余货款，由博爱医院</w:t>
      </w:r>
      <w:r>
        <w:rPr>
          <w:spacing w:val="-68"/>
        </w:rPr>
        <w:t> </w:t>
      </w:r>
      <w:r>
        <w:rPr>
          <w:spacing w:val="-68"/>
        </w:rPr>
      </w:r>
      <w:r>
        <w:rPr>
          <w:spacing w:val="-2"/>
        </w:rPr>
        <w:t>将益心康达应得收益全部汇入中电器件账户。合同签订后，中电器件履行了合同义务，设备由博爱医</w:t>
      </w:r>
      <w:r>
        <w:rPr>
          <w:spacing w:val="-67"/>
        </w:rPr>
        <w:t> </w:t>
      </w:r>
      <w:r>
        <w:rPr>
          <w:spacing w:val="-67"/>
        </w:rPr>
      </w:r>
      <w:r>
        <w:rPr>
          <w:spacing w:val="-2"/>
        </w:rPr>
        <w:t>院验收，投入至今，益心康达公司未按约定支付后续货款及代理费等，博爱医院亦未按约定向中电器</w:t>
      </w:r>
      <w:r>
        <w:rPr>
          <w:spacing w:val="-71"/>
        </w:rPr>
        <w:t> </w:t>
      </w:r>
      <w:r>
        <w:rPr>
          <w:spacing w:val="-71"/>
        </w:rPr>
      </w:r>
      <w:r>
        <w:rPr>
          <w:spacing w:val="-5"/>
        </w:rPr>
        <w:t>件支付运营收入。中电器件将益心康达及博爱医院诉至法院，经北京市海淀区人民法院一审判决：一、</w:t>
      </w:r>
      <w:r>
        <w:rPr>
          <w:spacing w:val="-49"/>
        </w:rPr>
        <w:t> </w:t>
      </w:r>
      <w:r>
        <w:rPr>
          <w:spacing w:val="-49"/>
        </w:rPr>
      </w:r>
      <w:r>
        <w:rPr/>
        <w:t>解除中电器件与益心康达于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日签订的《医疗设备买卖合同》；二、中电器件拟于判决生</w:t>
      </w:r>
      <w:r>
        <w:rPr>
          <w:spacing w:val="-45"/>
        </w:rPr>
        <w:t> </w:t>
      </w:r>
      <w:r>
        <w:rPr>
          <w:spacing w:val="-45"/>
        </w:rPr>
      </w:r>
      <w:r>
        <w:rPr>
          <w:spacing w:val="-2"/>
        </w:rPr>
        <w:t>效后十日内自行前往博爱医院处取回合同设备；三、中电器件于判决生效后十日内向益心康达返还款</w:t>
      </w:r>
      <w:r>
        <w:rPr>
          <w:spacing w:val="-70"/>
        </w:rPr>
        <w:t> </w:t>
      </w:r>
      <w:r>
        <w:rPr>
          <w:spacing w:val="-70"/>
        </w:rPr>
      </w:r>
      <w:r>
        <w:rPr/>
        <w:t>项</w:t>
      </w:r>
      <w:r>
        <w:rPr>
          <w:rFonts w:ascii="Times New Roman" w:hAnsi="Times New Roman" w:cs="Times New Roman" w:eastAsia="Times New Roman" w:hint="default"/>
        </w:rPr>
        <w:t>352,592.00</w:t>
      </w:r>
      <w:r>
        <w:rPr/>
        <w:t>元（已付：</w:t>
      </w:r>
      <w:r>
        <w:rPr>
          <w:rFonts w:ascii="Times New Roman" w:hAnsi="Times New Roman" w:cs="Times New Roman" w:eastAsia="Times New Roman" w:hint="default"/>
        </w:rPr>
        <w:t>280</w:t>
      </w:r>
      <w:r>
        <w:rPr/>
        <w:t>万</w:t>
      </w:r>
      <w:r>
        <w:rPr>
          <w:rFonts w:ascii="Times New Roman" w:hAnsi="Times New Roman" w:cs="Times New Roman" w:eastAsia="Times New Roman" w:hint="default"/>
        </w:rPr>
        <w:t>+270,400.00</w:t>
      </w:r>
      <w:r>
        <w:rPr/>
        <w:t>元</w:t>
      </w:r>
      <w:r>
        <w:rPr>
          <w:rFonts w:ascii="Times New Roman" w:hAnsi="Times New Roman" w:cs="Times New Roman" w:eastAsia="Times New Roman" w:hint="default"/>
        </w:rPr>
        <w:t>-</w:t>
      </w:r>
      <w:r>
        <w:rPr/>
        <w:t>折旧费用</w:t>
      </w:r>
      <w:r>
        <w:rPr>
          <w:rFonts w:ascii="Times New Roman" w:hAnsi="Times New Roman" w:cs="Times New Roman" w:eastAsia="Times New Roman" w:hint="default"/>
        </w:rPr>
        <w:t>2,717,808</w:t>
      </w:r>
      <w:r>
        <w:rPr/>
        <w:t>元）；四、驳回中电器件的其他诉讼</w:t>
      </w:r>
      <w:r>
        <w:rPr>
          <w:spacing w:val="-30"/>
        </w:rPr>
        <w:t> </w:t>
      </w:r>
      <w:r>
        <w:rPr>
          <w:spacing w:val="-30"/>
        </w:rPr>
      </w:r>
      <w:r>
        <w:rPr>
          <w:spacing w:val="-2"/>
        </w:rPr>
        <w:t>请求。中电器件不服一审判决，上诉于北京市第一中级人民法院，该法院经检查认为：一审法院针对</w:t>
      </w:r>
      <w:r>
        <w:rPr>
          <w:spacing w:val="-70"/>
        </w:rPr>
        <w:t> </w:t>
      </w:r>
      <w:r>
        <w:rPr>
          <w:spacing w:val="-70"/>
        </w:rPr>
      </w:r>
      <w:r>
        <w:rPr>
          <w:spacing w:val="-2"/>
        </w:rPr>
        <w:t>中电器件与益心康达之间的买卖合同关系进行了审理，但并未对中电器件与益心康达、博爱医院之间</w:t>
      </w:r>
      <w:r>
        <w:rPr>
          <w:spacing w:val="-70"/>
        </w:rPr>
        <w:t> </w:t>
      </w:r>
      <w:r>
        <w:rPr>
          <w:spacing w:val="-70"/>
        </w:rPr>
      </w:r>
      <w:r>
        <w:rPr>
          <w:spacing w:val="-2"/>
        </w:rPr>
        <w:t>的法律关系进行审理确定。二审法院裁定如下：一、撤销一审民事判决；二、发回北京市海淀区人民</w:t>
      </w:r>
      <w:r>
        <w:rPr>
          <w:spacing w:val="-74"/>
        </w:rPr>
        <w:t> </w:t>
      </w:r>
      <w:r>
        <w:rPr>
          <w:spacing w:val="-74"/>
        </w:rPr>
      </w:r>
      <w:r>
        <w:rPr/>
        <w:t>法院重审。</w:t>
      </w:r>
      <w:r>
        <w:rPr>
          <w:rFonts w:ascii="Times New Roman" w:hAnsi="Times New Roman" w:cs="Times New Roman" w:eastAsia="Times New Roman" w:hint="default"/>
        </w:rPr>
        <w:t>2018</w:t>
      </w:r>
      <w:r>
        <w:rPr/>
        <w:t>年发回重审开庭一次，目前无明确进展情况。</w:t>
      </w:r>
    </w:p>
    <w:p>
      <w:pPr>
        <w:spacing w:line="240" w:lineRule="auto" w:before="8"/>
        <w:rPr>
          <w:rFonts w:ascii="宋体" w:hAnsi="宋体" w:cs="宋体" w:eastAsia="宋体" w:hint="default"/>
          <w:sz w:val="17"/>
          <w:szCs w:val="17"/>
        </w:rPr>
      </w:pPr>
    </w:p>
    <w:p>
      <w:pPr>
        <w:pStyle w:val="Heading6"/>
        <w:spacing w:line="259" w:lineRule="auto"/>
        <w:ind w:right="0"/>
        <w:jc w:val="left"/>
      </w:pPr>
      <w:r>
        <w:rPr/>
        <w:t>基于上述事项，本公司聘请案件代理律师对此案件结果做出合理预计，律师认定此案件被重新改</w:t>
      </w:r>
      <w:r>
        <w:rPr>
          <w:w w:val="100"/>
        </w:rPr>
        <w:t> </w:t>
      </w:r>
      <w:r>
        <w:rPr>
          <w:spacing w:val="-5"/>
        </w:rPr>
        <w:t>判的可能性较大，此笔债权不存在重大减值风险。公司依此对此笔债权按信用风险组合计提坏账准备，</w:t>
      </w:r>
      <w:r>
        <w:rPr>
          <w:spacing w:val="-44"/>
        </w:rPr>
        <w:t> </w:t>
      </w:r>
      <w:r>
        <w:rPr>
          <w:spacing w:val="-44"/>
        </w:rPr>
      </w:r>
      <w:r>
        <w:rPr/>
        <w:t>期末计提坏账准备余额为</w:t>
      </w:r>
      <w:r>
        <w:rPr>
          <w:rFonts w:ascii="Times New Roman" w:hAnsi="Times New Roman" w:cs="Times New Roman" w:eastAsia="Times New Roman" w:hint="default"/>
        </w:rPr>
        <w:t>5,600,000.00</w:t>
      </w:r>
      <w:r>
        <w:rPr/>
        <w:t>元。</w:t>
      </w:r>
    </w:p>
    <w:p>
      <w:pPr>
        <w:spacing w:line="240" w:lineRule="auto" w:before="10"/>
        <w:rPr>
          <w:rFonts w:ascii="宋体" w:hAnsi="宋体" w:cs="宋体" w:eastAsia="宋体" w:hint="default"/>
          <w:sz w:val="20"/>
          <w:szCs w:val="20"/>
        </w:rPr>
      </w:pPr>
    </w:p>
    <w:p>
      <w:pPr>
        <w:pStyle w:val="Heading3"/>
        <w:spacing w:line="240" w:lineRule="auto"/>
        <w:ind w:right="1133"/>
        <w:jc w:val="left"/>
        <w:rPr>
          <w:b w:val="0"/>
          <w:bCs w:val="0"/>
        </w:rPr>
      </w:pPr>
      <w:r>
        <w:rPr/>
        <w:t>十四、资产负债表日后事项</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2"/>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106,690,335.30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106,690,335.30</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13" w:right="1126"/>
        <w:jc w:val="both"/>
      </w:pPr>
      <w:r>
        <w:rPr>
          <w:spacing w:val="-3"/>
        </w:rPr>
        <w:t>（</w:t>
      </w:r>
      <w:r>
        <w:rPr>
          <w:rFonts w:ascii="Times New Roman" w:hAnsi="Times New Roman" w:cs="Times New Roman" w:eastAsia="Times New Roman" w:hint="default"/>
          <w:spacing w:val="-3"/>
        </w:rPr>
        <w:t>1</w:t>
      </w:r>
      <w:r>
        <w:rPr>
          <w:spacing w:val="-3"/>
        </w:rPr>
        <w:t>）根据本公司之子公司北海石基于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29</w:t>
      </w:r>
      <w:r>
        <w:rPr>
          <w:spacing w:val="-3"/>
        </w:rPr>
        <w:t>日召开的北海石基股东会会议及</w:t>
      </w:r>
      <w:r>
        <w:rPr>
          <w:rFonts w:ascii="Times New Roman" w:hAnsi="Times New Roman" w:cs="Times New Roman" w:eastAsia="Times New Roman" w:hint="default"/>
          <w:spacing w:val="-3"/>
        </w:rPr>
        <w:t>2018</w:t>
      </w:r>
      <w:r>
        <w:rPr>
          <w:spacing w:val="-3"/>
        </w:rPr>
        <w:t>年第九次总裁</w:t>
      </w:r>
      <w:r>
        <w:rPr>
          <w:spacing w:val="-25"/>
        </w:rPr>
        <w:t> </w:t>
      </w:r>
      <w:r>
        <w:rPr>
          <w:spacing w:val="-25"/>
        </w:rPr>
      </w:r>
      <w:r>
        <w:rPr>
          <w:spacing w:val="-1"/>
        </w:rPr>
        <w:t>办公会议审议通过，北海石基与追溯云信息发展股份有限公司（以下简称追溯云）及其现有股东签订</w:t>
      </w:r>
    </w:p>
    <w:p>
      <w:pPr>
        <w:pStyle w:val="BodyText"/>
        <w:spacing w:line="256" w:lineRule="auto" w:before="22"/>
        <w:ind w:left="513" w:right="1126"/>
        <w:jc w:val="both"/>
      </w:pPr>
      <w:r>
        <w:rPr/>
        <w:t>《股份转让及认购协议》，北海石基拟以自有资金合计人民币</w:t>
      </w:r>
      <w:r>
        <w:rPr>
          <w:rFonts w:ascii="Times New Roman" w:hAnsi="Times New Roman" w:cs="Times New Roman" w:eastAsia="Times New Roman" w:hint="default"/>
        </w:rPr>
        <w:t>1.00</w:t>
      </w:r>
      <w:r>
        <w:rPr/>
        <w:t>亿元收购追溯云原股东持有的部分</w:t>
      </w:r>
      <w:r>
        <w:rPr>
          <w:spacing w:val="-18"/>
        </w:rPr>
        <w:t> </w:t>
      </w:r>
      <w:r>
        <w:rPr>
          <w:spacing w:val="-18"/>
        </w:rPr>
      </w:r>
      <w:r>
        <w:rPr>
          <w:spacing w:val="-1"/>
        </w:rPr>
        <w:t>股份并认购追溯云新增注册资本，本次交易完成后，北海石基将持有追溯云</w:t>
      </w:r>
      <w:r>
        <w:rPr>
          <w:rFonts w:ascii="Times New Roman" w:hAnsi="Times New Roman" w:cs="Times New Roman" w:eastAsia="Times New Roman" w:hint="default"/>
          <w:spacing w:val="-1"/>
        </w:rPr>
        <w:t>25.59%</w:t>
      </w:r>
      <w:r>
        <w:rPr>
          <w:spacing w:val="-1"/>
        </w:rPr>
        <w:t>股权，追溯云将成</w:t>
      </w:r>
      <w:r>
        <w:rPr>
          <w:spacing w:val="-39"/>
        </w:rPr>
        <w:t> </w:t>
      </w:r>
      <w:r>
        <w:rPr>
          <w:spacing w:val="-39"/>
        </w:rPr>
      </w:r>
      <w:r>
        <w:rPr/>
        <w:t>为北海石基的联营企业。</w:t>
      </w:r>
    </w:p>
    <w:p>
      <w:pPr>
        <w:spacing w:line="240" w:lineRule="auto" w:before="1"/>
        <w:rPr>
          <w:rFonts w:ascii="宋体" w:hAnsi="宋体" w:cs="宋体" w:eastAsia="宋体" w:hint="default"/>
          <w:sz w:val="20"/>
          <w:szCs w:val="20"/>
        </w:rPr>
      </w:pPr>
    </w:p>
    <w:p>
      <w:pPr>
        <w:pStyle w:val="BodyText"/>
        <w:spacing w:line="256" w:lineRule="auto"/>
        <w:ind w:left="513" w:right="1126"/>
        <w:jc w:val="both"/>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24</w:t>
      </w:r>
      <w:r>
        <w:rPr>
          <w:spacing w:val="-1"/>
        </w:rPr>
        <w:t>日本公司</w:t>
      </w:r>
      <w:r>
        <w:rPr>
          <w:rFonts w:ascii="Times New Roman" w:hAnsi="Times New Roman" w:cs="Times New Roman" w:eastAsia="Times New Roman" w:hint="default"/>
          <w:spacing w:val="-1"/>
        </w:rPr>
        <w:t>2019</w:t>
      </w:r>
      <w:r>
        <w:rPr>
          <w:spacing w:val="-1"/>
        </w:rPr>
        <w:t>年第六届第二十二次会议审议通过《全资子公司杭州西软参股拓易科</w:t>
      </w:r>
      <w:r>
        <w:rPr>
          <w:spacing w:val="-19"/>
        </w:rPr>
        <w:t> </w:t>
      </w:r>
      <w:r>
        <w:rPr>
          <w:spacing w:val="-19"/>
        </w:rPr>
      </w:r>
      <w:r>
        <w:rPr/>
        <w:t>技暨关联交易》的决议，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日杭州西软与李仲初先生签订股权转让协议，以</w:t>
      </w:r>
      <w:r>
        <w:rPr>
          <w:rFonts w:ascii="Times New Roman" w:hAnsi="Times New Roman" w:cs="Times New Roman" w:eastAsia="Times New Roman" w:hint="default"/>
        </w:rPr>
        <w:t>5,173,969.60</w:t>
      </w:r>
      <w:r>
        <w:rPr/>
        <w:t>元</w:t>
      </w:r>
      <w:r>
        <w:rPr>
          <w:spacing w:val="-21"/>
        </w:rPr>
        <w:t> </w:t>
      </w:r>
      <w:r>
        <w:rPr>
          <w:spacing w:val="-1"/>
        </w:rPr>
        <w:t>受让李仲初先生所持拓易科技</w:t>
      </w:r>
      <w:r>
        <w:rPr>
          <w:rFonts w:ascii="Times New Roman" w:hAnsi="Times New Roman" w:cs="Times New Roman" w:eastAsia="Times New Roman" w:hint="default"/>
          <w:spacing w:val="-1"/>
        </w:rPr>
        <w:t>28.7%</w:t>
      </w:r>
      <w:r>
        <w:rPr>
          <w:spacing w:val="-1"/>
        </w:rPr>
        <w:t>股权，</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24</w:t>
      </w:r>
      <w:r>
        <w:rPr>
          <w:spacing w:val="-1"/>
        </w:rPr>
        <w:t>日杭州西软与肖欣先生签订股权转让协议，以</w:t>
      </w:r>
      <w:r>
        <w:rPr>
          <w:spacing w:val="-37"/>
        </w:rPr>
        <w:t> </w:t>
      </w:r>
      <w:r>
        <w:rPr>
          <w:spacing w:val="-37"/>
        </w:rPr>
      </w:r>
      <w:r>
        <w:rPr>
          <w:rFonts w:ascii="Times New Roman" w:hAnsi="Times New Roman" w:cs="Times New Roman" w:eastAsia="Times New Roman" w:hint="default"/>
          <w:spacing w:val="-3"/>
        </w:rPr>
        <w:t>526,410.07</w:t>
      </w:r>
      <w:r>
        <w:rPr>
          <w:spacing w:val="-3"/>
        </w:rPr>
        <w:t>元受让肖欣先生所持拓易科技</w:t>
      </w:r>
      <w:r>
        <w:rPr>
          <w:rFonts w:ascii="Times New Roman" w:hAnsi="Times New Roman" w:cs="Times New Roman" w:eastAsia="Times New Roman" w:hint="default"/>
          <w:spacing w:val="-3"/>
        </w:rPr>
        <w:t>2.92%</w:t>
      </w:r>
      <w:r>
        <w:rPr>
          <w:spacing w:val="-3"/>
        </w:rPr>
        <w:t>股权，</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24</w:t>
      </w:r>
      <w:r>
        <w:rPr>
          <w:spacing w:val="-3"/>
        </w:rPr>
        <w:t>日杭州西软与拓易科技公司签订《增</w:t>
      </w:r>
    </w:p>
    <w:p>
      <w:pPr>
        <w:spacing w:after="0" w:line="256"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56" w:lineRule="auto" w:before="36"/>
        <w:ind w:left="513" w:right="1128"/>
        <w:jc w:val="both"/>
      </w:pPr>
      <w:r>
        <w:rPr>
          <w:spacing w:val="-3"/>
        </w:rPr>
        <w:t>资扩股协议》，杭州西软以现金认购新增注册资本</w:t>
      </w:r>
      <w:r>
        <w:rPr>
          <w:rFonts w:ascii="Times New Roman" w:hAnsi="Times New Roman" w:cs="Times New Roman" w:eastAsia="Times New Roman" w:hint="default"/>
          <w:spacing w:val="-3"/>
        </w:rPr>
        <w:t>6,056,282.12</w:t>
      </w:r>
      <w:r>
        <w:rPr>
          <w:spacing w:val="-3"/>
        </w:rPr>
        <w:t>元，认购价</w:t>
      </w:r>
      <w:r>
        <w:rPr>
          <w:rFonts w:ascii="Times New Roman" w:hAnsi="Times New Roman" w:cs="Times New Roman" w:eastAsia="Times New Roman" w:hint="default"/>
          <w:spacing w:val="-3"/>
        </w:rPr>
        <w:t>6,056,282.12</w:t>
      </w:r>
      <w:r>
        <w:rPr>
          <w:spacing w:val="-3"/>
        </w:rPr>
        <w:t>元；杭州西软与</w:t>
      </w:r>
      <w:r>
        <w:rPr>
          <w:spacing w:val="-11"/>
        </w:rPr>
        <w:t> </w:t>
      </w:r>
      <w:r>
        <w:rPr>
          <w:spacing w:val="-11"/>
        </w:rPr>
      </w:r>
      <w:r>
        <w:rPr/>
        <w:t>拓易部分原股东共同向拓易科技进行增资，本次交易完成后，拓易科技注册资本由</w:t>
      </w:r>
      <w:r>
        <w:rPr>
          <w:rFonts w:ascii="Times New Roman" w:hAnsi="Times New Roman" w:cs="Times New Roman" w:eastAsia="Times New Roman" w:hint="default"/>
        </w:rPr>
        <w:t>18,046,303.99</w:t>
      </w:r>
      <w:r>
        <w:rPr/>
        <w:t>增加</w:t>
      </w:r>
      <w:r>
        <w:rPr>
          <w:spacing w:val="-16"/>
        </w:rPr>
        <w:t> </w:t>
      </w:r>
      <w:r>
        <w:rPr/>
        <w:t>到</w:t>
      </w:r>
      <w:r>
        <w:rPr>
          <w:rFonts w:ascii="Times New Roman" w:hAnsi="Times New Roman" w:cs="Times New Roman" w:eastAsia="Times New Roman" w:hint="default"/>
        </w:rPr>
        <w:t>27,941,673.59</w:t>
      </w:r>
      <w:r>
        <w:rPr/>
        <w:t>元，杭州西软合计持股</w:t>
      </w:r>
      <w:r>
        <w:rPr>
          <w:rFonts w:ascii="Times New Roman" w:hAnsi="Times New Roman" w:cs="Times New Roman" w:eastAsia="Times New Roman" w:hint="default"/>
        </w:rPr>
        <w:t>42.08%</w:t>
      </w:r>
      <w:r>
        <w:rPr/>
        <w:t>，拓易成为杭州西软参股子公司；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日杭州西</w:t>
      </w:r>
      <w:r>
        <w:rPr>
          <w:spacing w:val="-35"/>
        </w:rPr>
        <w:t> </w:t>
      </w:r>
      <w:r>
        <w:rPr>
          <w:spacing w:val="-35"/>
        </w:rPr>
      </w:r>
      <w:r>
        <w:rPr/>
        <w:t>软支付李仲初前述股权转让价款</w:t>
      </w:r>
      <w:r>
        <w:rPr>
          <w:rFonts w:ascii="Times New Roman" w:hAnsi="Times New Roman" w:cs="Times New Roman" w:eastAsia="Times New Roman" w:hint="default"/>
        </w:rPr>
        <w:t>5,173,969.60</w:t>
      </w:r>
      <w:r>
        <w:rPr/>
        <w:t>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日杭州西软支付肖欣前述股权转让价款</w:t>
      </w:r>
      <w:r>
        <w:rPr>
          <w:spacing w:val="66"/>
        </w:rPr>
        <w:t> </w:t>
      </w:r>
      <w:r>
        <w:rPr>
          <w:spacing w:val="66"/>
        </w:rPr>
      </w:r>
      <w:r>
        <w:rPr>
          <w:rFonts w:ascii="Times New Roman" w:hAnsi="Times New Roman" w:cs="Times New Roman" w:eastAsia="Times New Roman" w:hint="default"/>
        </w:rPr>
        <w:t>526,410.07</w:t>
      </w:r>
      <w:r>
        <w:rPr/>
        <w:t>元。截止财务报告报出日，尚未完成股权交割。</w:t>
      </w:r>
    </w:p>
    <w:p>
      <w:pPr>
        <w:spacing w:line="240" w:lineRule="auto" w:before="9"/>
        <w:rPr>
          <w:rFonts w:ascii="宋体" w:hAnsi="宋体" w:cs="宋体" w:eastAsia="宋体" w:hint="default"/>
          <w:sz w:val="18"/>
          <w:szCs w:val="18"/>
        </w:rPr>
      </w:pPr>
    </w:p>
    <w:p>
      <w:pPr>
        <w:pStyle w:val="BodyText"/>
        <w:spacing w:line="259" w:lineRule="auto"/>
        <w:ind w:left="513" w:right="1126"/>
        <w:jc w:val="both"/>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12</w:t>
      </w:r>
      <w:r>
        <w:rPr>
          <w:spacing w:val="-1"/>
        </w:rPr>
        <w:t>日本公司第六届董事会</w:t>
      </w:r>
      <w:r>
        <w:rPr>
          <w:rFonts w:ascii="Times New Roman" w:hAnsi="Times New Roman" w:cs="Times New Roman" w:eastAsia="Times New Roman" w:hint="default"/>
          <w:spacing w:val="-1"/>
        </w:rPr>
        <w:t>2019</w:t>
      </w:r>
      <w:r>
        <w:rPr>
          <w:spacing w:val="-1"/>
        </w:rPr>
        <w:t>年第三次临时会议审议通过《关于石基商用拟参与海信</w:t>
      </w:r>
      <w:r>
        <w:rPr>
          <w:spacing w:val="-20"/>
        </w:rPr>
        <w:t> </w:t>
      </w:r>
      <w:r>
        <w:rPr>
          <w:spacing w:val="-20"/>
        </w:rPr>
      </w:r>
      <w:r>
        <w:rPr>
          <w:spacing w:val="-1"/>
        </w:rPr>
        <w:t>智能商用</w:t>
      </w:r>
      <w:r>
        <w:rPr>
          <w:rFonts w:ascii="Times New Roman" w:hAnsi="Times New Roman" w:cs="Times New Roman" w:eastAsia="Times New Roman" w:hint="default"/>
          <w:spacing w:val="-1"/>
        </w:rPr>
        <w:t>57.75%</w:t>
      </w:r>
      <w:r>
        <w:rPr>
          <w:spacing w:val="-1"/>
        </w:rPr>
        <w:t>股权摘牌的议案》的决议，本公司之子公司石基商用拟以自有资金</w:t>
      </w:r>
      <w:r>
        <w:rPr>
          <w:rFonts w:ascii="Times New Roman" w:hAnsi="Times New Roman" w:cs="Times New Roman" w:eastAsia="Times New Roman" w:hint="default"/>
          <w:spacing w:val="-1"/>
        </w:rPr>
        <w:t>46,231.80</w:t>
      </w:r>
      <w:r>
        <w:rPr>
          <w:spacing w:val="-1"/>
        </w:rPr>
        <w:t>万元以公</w:t>
      </w:r>
      <w:r>
        <w:rPr>
          <w:spacing w:val="-38"/>
        </w:rPr>
        <w:t> </w:t>
      </w:r>
      <w:r>
        <w:rPr>
          <w:spacing w:val="-38"/>
        </w:rPr>
      </w:r>
      <w:r>
        <w:rPr/>
        <w:t>开摘牌方式受让海信智能</w:t>
      </w:r>
      <w:r>
        <w:rPr>
          <w:rFonts w:ascii="Times New Roman" w:hAnsi="Times New Roman" w:cs="Times New Roman" w:eastAsia="Times New Roman" w:hint="default"/>
        </w:rPr>
        <w:t>57.75%</w:t>
      </w:r>
      <w:r>
        <w:rPr/>
        <w:t>股权，公司已直接持有海信智能</w:t>
      </w:r>
      <w:r>
        <w:rPr>
          <w:rFonts w:ascii="Times New Roman" w:hAnsi="Times New Roman" w:cs="Times New Roman" w:eastAsia="Times New Roman" w:hint="default"/>
        </w:rPr>
        <w:t>25%</w:t>
      </w:r>
      <w:r>
        <w:rPr/>
        <w:t>的股权，合并计算后，公司共持</w:t>
      </w:r>
      <w:r>
        <w:rPr>
          <w:spacing w:val="-51"/>
        </w:rPr>
        <w:t> </w:t>
      </w:r>
      <w:r>
        <w:rPr>
          <w:spacing w:val="-51"/>
        </w:rPr>
      </w:r>
      <w:r>
        <w:rPr>
          <w:spacing w:val="-3"/>
        </w:rPr>
        <w:t>有海信智能</w:t>
      </w:r>
      <w:r>
        <w:rPr>
          <w:rFonts w:ascii="Times New Roman" w:hAnsi="Times New Roman" w:cs="Times New Roman" w:eastAsia="Times New Roman" w:hint="default"/>
          <w:spacing w:val="-3"/>
        </w:rPr>
        <w:t>82.75%</w:t>
      </w:r>
      <w:r>
        <w:rPr>
          <w:spacing w:val="-3"/>
        </w:rPr>
        <w:t>股权，海信智能商用将成为公司控股子公司。</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14</w:t>
      </w:r>
      <w:r>
        <w:rPr>
          <w:spacing w:val="-3"/>
        </w:rPr>
        <w:t>日，青交所关于海信网络</w:t>
      </w:r>
      <w:r>
        <w:rPr>
          <w:spacing w:val="-45"/>
        </w:rPr>
        <w:t> </w:t>
      </w:r>
      <w:r>
        <w:rPr>
          <w:spacing w:val="-45"/>
        </w:rPr>
      </w:r>
      <w:r>
        <w:rPr>
          <w:spacing w:val="-1"/>
        </w:rPr>
        <w:t>科技公开挂牌转让海信智能</w:t>
      </w:r>
      <w:r>
        <w:rPr>
          <w:rFonts w:ascii="Times New Roman" w:hAnsi="Times New Roman" w:cs="Times New Roman" w:eastAsia="Times New Roman" w:hint="default"/>
          <w:spacing w:val="-1"/>
        </w:rPr>
        <w:t>57.75%</w:t>
      </w:r>
      <w:r>
        <w:rPr>
          <w:spacing w:val="-1"/>
        </w:rPr>
        <w:t>股权相关信息披露截止后，石基商用作为唯一的意向受让方，以公</w:t>
      </w:r>
      <w:r>
        <w:rPr>
          <w:spacing w:val="-40"/>
        </w:rPr>
        <w:t> </w:t>
      </w:r>
      <w:r>
        <w:rPr>
          <w:spacing w:val="-40"/>
        </w:rPr>
      </w:r>
      <w:r>
        <w:rPr>
          <w:spacing w:val="-3"/>
        </w:rPr>
        <w:t>开转让底价</w:t>
      </w:r>
      <w:r>
        <w:rPr>
          <w:rFonts w:ascii="Times New Roman" w:hAnsi="Times New Roman" w:cs="Times New Roman" w:eastAsia="Times New Roman" w:hint="default"/>
          <w:spacing w:val="-3"/>
        </w:rPr>
        <w:t>46,231.80</w:t>
      </w:r>
      <w:r>
        <w:rPr>
          <w:spacing w:val="-3"/>
        </w:rPr>
        <w:t>万元为成交价与海信网络科技签署了《股权转让协议》，</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28</w:t>
      </w:r>
      <w:r>
        <w:rPr>
          <w:spacing w:val="-3"/>
        </w:rPr>
        <w:t>日，海信智</w:t>
      </w:r>
      <w:r>
        <w:rPr>
          <w:spacing w:val="-21"/>
        </w:rPr>
        <w:t> </w:t>
      </w:r>
      <w:r>
        <w:rPr>
          <w:spacing w:val="-21"/>
        </w:rPr>
      </w:r>
      <w:r>
        <w:rPr>
          <w:spacing w:val="-1"/>
        </w:rPr>
        <w:t>能向石基商用提供最新的股东名称及最新营业执照，完成工商变更登记备案手续，标的股份正式完成</w:t>
      </w:r>
      <w:r>
        <w:rPr>
          <w:spacing w:val="-21"/>
        </w:rPr>
        <w:t> </w:t>
      </w:r>
      <w:r>
        <w:rPr>
          <w:spacing w:val="-21"/>
        </w:rPr>
      </w:r>
      <w:r>
        <w:rPr/>
        <w:t>交割。石基商用持有海信智能</w:t>
      </w:r>
      <w:r>
        <w:rPr>
          <w:rFonts w:ascii="Times New Roman" w:hAnsi="Times New Roman" w:cs="Times New Roman" w:eastAsia="Times New Roman" w:hint="default"/>
        </w:rPr>
        <w:t>57.75%</w:t>
      </w:r>
      <w:r>
        <w:rPr/>
        <w:t>股权，本公司直接持有海信智能</w:t>
      </w:r>
      <w:r>
        <w:rPr>
          <w:rFonts w:ascii="Times New Roman" w:hAnsi="Times New Roman" w:cs="Times New Roman" w:eastAsia="Times New Roman" w:hint="default"/>
        </w:rPr>
        <w:t>25%</w:t>
      </w:r>
      <w:r>
        <w:rPr/>
        <w:t>股权，海信智能成为本公司</w:t>
      </w:r>
      <w:r>
        <w:rPr>
          <w:spacing w:val="-49"/>
        </w:rPr>
        <w:t> </w:t>
      </w:r>
      <w:r>
        <w:rPr>
          <w:spacing w:val="-49"/>
        </w:rPr>
      </w:r>
      <w:r>
        <w:rPr/>
        <w:t>控股子公司。</w:t>
      </w:r>
    </w:p>
    <w:p>
      <w:pPr>
        <w:spacing w:line="240" w:lineRule="auto" w:before="12"/>
        <w:rPr>
          <w:rFonts w:ascii="宋体" w:hAnsi="宋体" w:cs="宋体" w:eastAsia="宋体" w:hint="default"/>
          <w:sz w:val="19"/>
          <w:szCs w:val="19"/>
        </w:rPr>
      </w:pPr>
    </w:p>
    <w:p>
      <w:pPr>
        <w:pStyle w:val="BodyText"/>
        <w:spacing w:line="256" w:lineRule="auto"/>
        <w:ind w:left="513" w:right="1068"/>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月，本公司之子公司</w:t>
      </w:r>
      <w:r>
        <w:rPr>
          <w:rFonts w:ascii="Times New Roman" w:hAnsi="Times New Roman" w:cs="Times New Roman" w:eastAsia="Times New Roman" w:hint="default"/>
        </w:rPr>
        <w:t>Shiji (US) Inc.</w:t>
      </w:r>
      <w:r>
        <w:rPr/>
        <w:t>以</w:t>
      </w:r>
      <w:r>
        <w:rPr>
          <w:rFonts w:ascii="Times New Roman" w:hAnsi="Times New Roman" w:cs="Times New Roman" w:eastAsia="Times New Roman" w:hint="default"/>
        </w:rPr>
        <w:t>290</w:t>
      </w:r>
      <w:r>
        <w:rPr/>
        <w:t>万美元收购</w:t>
      </w:r>
      <w:r>
        <w:rPr>
          <w:rFonts w:ascii="Times New Roman" w:hAnsi="Times New Roman" w:cs="Times New Roman" w:eastAsia="Times New Roman" w:hint="default"/>
        </w:rPr>
        <w:t>Touchpeak Software inc.</w:t>
      </w:r>
      <w:r>
        <w:rPr>
          <w:rFonts w:ascii="Times New Roman" w:hAnsi="Times New Roman" w:cs="Times New Roman" w:eastAsia="Times New Roman" w:hint="default"/>
          <w:spacing w:val="-17"/>
        </w:rPr>
        <w:t> </w:t>
      </w:r>
      <w:r>
        <w:rPr>
          <w:rFonts w:ascii="Times New Roman" w:hAnsi="Times New Roman" w:cs="Times New Roman" w:eastAsia="Times New Roman" w:hint="default"/>
        </w:rPr>
        <w:t>60%</w:t>
      </w:r>
      <w:r>
        <w:rPr/>
        <w:t>的股权，</w:t>
      </w:r>
      <w:r>
        <w:rPr>
          <w:w w:val="100"/>
        </w:rPr>
        <w:t> </w:t>
      </w:r>
      <w:r>
        <w:rPr/>
        <w:t>收购完成后</w:t>
      </w:r>
      <w:r>
        <w:rPr>
          <w:rFonts w:ascii="Times New Roman" w:hAnsi="Times New Roman" w:cs="Times New Roman" w:eastAsia="Times New Roman" w:hint="default"/>
        </w:rPr>
        <w:t>Touchpeak Software</w:t>
      </w:r>
      <w:r>
        <w:rPr>
          <w:rFonts w:ascii="Times New Roman" w:hAnsi="Times New Roman" w:cs="Times New Roman" w:eastAsia="Times New Roman" w:hint="default"/>
          <w:spacing w:val="-7"/>
        </w:rPr>
        <w:t> </w:t>
      </w:r>
      <w:r>
        <w:rPr>
          <w:rFonts w:ascii="Times New Roman" w:hAnsi="Times New Roman" w:cs="Times New Roman" w:eastAsia="Times New Roman" w:hint="default"/>
        </w:rPr>
        <w:t>inc</w:t>
      </w:r>
      <w:r>
        <w:rPr/>
        <w:t>成为本公司全资子公司，上述事项经本公司总裁办公会审议通过。</w:t>
      </w:r>
    </w:p>
    <w:p>
      <w:pPr>
        <w:spacing w:line="240" w:lineRule="auto" w:before="9"/>
        <w:rPr>
          <w:rFonts w:ascii="宋体" w:hAnsi="宋体" w:cs="宋体" w:eastAsia="宋体" w:hint="default"/>
          <w:sz w:val="18"/>
          <w:szCs w:val="18"/>
        </w:rPr>
      </w:pPr>
    </w:p>
    <w:p>
      <w:pPr>
        <w:pStyle w:val="BodyText"/>
        <w:spacing w:line="256" w:lineRule="auto"/>
        <w:ind w:left="513" w:right="1126"/>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日，本公司之子公司</w:t>
      </w:r>
      <w:r>
        <w:rPr>
          <w:rFonts w:ascii="Times New Roman" w:hAnsi="Times New Roman" w:cs="Times New Roman" w:eastAsia="Times New Roman" w:hint="default"/>
        </w:rPr>
        <w:t>Shiji</w:t>
      </w:r>
      <w:r>
        <w:rPr>
          <w:rFonts w:ascii="Times New Roman" w:hAnsi="Times New Roman" w:cs="Times New Roman" w:eastAsia="Times New Roman" w:hint="default"/>
          <w:spacing w:val="-11"/>
        </w:rPr>
        <w:t> </w:t>
      </w:r>
      <w:r>
        <w:rPr>
          <w:rFonts w:ascii="Times New Roman" w:hAnsi="Times New Roman" w:cs="Times New Roman" w:eastAsia="Times New Roman" w:hint="default"/>
        </w:rPr>
        <w:t>(US)</w:t>
      </w:r>
      <w:r>
        <w:rPr>
          <w:rFonts w:ascii="Times New Roman" w:hAnsi="Times New Roman" w:cs="Times New Roman" w:eastAsia="Times New Roman" w:hint="default"/>
          <w:spacing w:val="-11"/>
        </w:rPr>
        <w:t> </w:t>
      </w:r>
      <w:r>
        <w:rPr>
          <w:rFonts w:ascii="Times New Roman" w:hAnsi="Times New Roman" w:cs="Times New Roman" w:eastAsia="Times New Roman" w:hint="default"/>
        </w:rPr>
        <w:t>Inc.</w:t>
      </w:r>
      <w:r>
        <w:rPr/>
        <w:t>以</w:t>
      </w:r>
      <w:r>
        <w:rPr>
          <w:rFonts w:ascii="Times New Roman" w:hAnsi="Times New Roman" w:cs="Times New Roman" w:eastAsia="Times New Roman" w:hint="default"/>
        </w:rPr>
        <w:t>1,350.00</w:t>
      </w:r>
      <w:r>
        <w:rPr/>
        <w:t>万美元收购</w:t>
      </w:r>
      <w:r>
        <w:rPr>
          <w:rFonts w:ascii="Times New Roman" w:hAnsi="Times New Roman" w:cs="Times New Roman" w:eastAsia="Times New Roman" w:hint="default"/>
        </w:rPr>
        <w:t>Ice</w:t>
      </w:r>
      <w:r>
        <w:rPr>
          <w:rFonts w:ascii="Times New Roman" w:hAnsi="Times New Roman" w:cs="Times New Roman" w:eastAsia="Times New Roman" w:hint="default"/>
          <w:spacing w:val="-11"/>
        </w:rPr>
        <w:t> </w:t>
      </w:r>
      <w:r>
        <w:rPr>
          <w:rFonts w:ascii="Times New Roman" w:hAnsi="Times New Roman" w:cs="Times New Roman" w:eastAsia="Times New Roman" w:hint="default"/>
        </w:rPr>
        <w:t>Portal</w:t>
      </w:r>
      <w:r>
        <w:rPr>
          <w:rFonts w:ascii="Times New Roman" w:hAnsi="Times New Roman" w:cs="Times New Roman" w:eastAsia="Times New Roman" w:hint="default"/>
          <w:spacing w:val="-12"/>
        </w:rPr>
        <w:t> </w:t>
      </w:r>
      <w:r>
        <w:rPr>
          <w:rFonts w:ascii="Times New Roman" w:hAnsi="Times New Roman" w:cs="Times New Roman" w:eastAsia="Times New Roman" w:hint="default"/>
        </w:rPr>
        <w:t>Inc.100%</w:t>
      </w:r>
      <w:r>
        <w:rPr/>
        <w:t>股权，上</w:t>
      </w:r>
      <w:r>
        <w:rPr>
          <w:w w:val="100"/>
        </w:rPr>
        <w:t> </w:t>
      </w:r>
      <w:r>
        <w:rPr/>
        <w:t>述事项经本公司总裁办公会审议通过。</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pStyle w:val="Heading6"/>
        <w:spacing w:line="530" w:lineRule="atLeast" w:before="89"/>
        <w:ind w:left="592" w:right="1133" w:firstLine="0"/>
        <w:jc w:val="both"/>
      </w:pPr>
      <w:r>
        <w:rPr>
          <w:rFonts w:ascii="Times New Roman" w:hAnsi="Times New Roman" w:cs="Times New Roman" w:eastAsia="Times New Roman" w:hint="default"/>
        </w:rPr>
        <w:t>1</w:t>
      </w:r>
      <w:r>
        <w:rPr/>
        <w:t>）经营分部的基本情况</w:t>
      </w:r>
      <w:r>
        <w:rPr>
          <w:spacing w:val="-108"/>
        </w:rPr>
        <w:t> </w:t>
      </w:r>
      <w:r>
        <w:rPr>
          <w:spacing w:val="-108"/>
        </w:rPr>
      </w:r>
      <w:r>
        <w:rPr>
          <w:spacing w:val="-2"/>
        </w:rPr>
        <w:t>本公司的经营业务根据业务的性质以及所提供的产品分开组织和管理。本公司的每个经营分部是</w:t>
      </w:r>
    </w:p>
    <w:p>
      <w:pPr>
        <w:pStyle w:val="Heading6"/>
        <w:spacing w:line="259" w:lineRule="auto" w:before="24"/>
        <w:ind w:right="1133" w:firstLine="0"/>
        <w:jc w:val="left"/>
      </w:pPr>
      <w:r>
        <w:rPr>
          <w:spacing w:val="-2"/>
        </w:rPr>
        <w:t>一种不同的业务类型与模式，提供面临不同于其他经营分部的风险并取得不同于其他经营分部的报酬</w:t>
      </w:r>
      <w:r>
        <w:rPr>
          <w:spacing w:val="-73"/>
        </w:rPr>
        <w:t> </w:t>
      </w:r>
      <w:r>
        <w:rPr>
          <w:spacing w:val="-73"/>
        </w:rPr>
      </w:r>
      <w:r>
        <w:rPr/>
        <w:t>的产品和服务。</w:t>
      </w:r>
    </w:p>
    <w:p>
      <w:pPr>
        <w:spacing w:line="240" w:lineRule="auto" w:before="11"/>
        <w:rPr>
          <w:rFonts w:ascii="宋体" w:hAnsi="宋体" w:cs="宋体" w:eastAsia="宋体" w:hint="default"/>
          <w:sz w:val="18"/>
          <w:szCs w:val="18"/>
        </w:rPr>
      </w:pPr>
    </w:p>
    <w:p>
      <w:pPr>
        <w:pStyle w:val="Heading6"/>
        <w:spacing w:line="240" w:lineRule="auto"/>
        <w:ind w:left="592" w:right="0" w:firstLine="0"/>
        <w:jc w:val="both"/>
      </w:pPr>
      <w:r>
        <w:rPr/>
        <w:t>本公司经营分部的分类与内容如下：</w:t>
      </w:r>
    </w:p>
    <w:p>
      <w:pPr>
        <w:pStyle w:val="Heading6"/>
        <w:spacing w:line="530" w:lineRule="atLeast" w:before="38"/>
        <w:ind w:left="592" w:right="1132" w:firstLine="0"/>
        <w:jc w:val="both"/>
      </w:pPr>
      <w:r>
        <w:rPr>
          <w:rFonts w:ascii="Times New Roman" w:hAnsi="Times New Roman" w:cs="Times New Roman" w:eastAsia="Times New Roman" w:hint="default"/>
        </w:rPr>
        <w:t>a</w:t>
      </w:r>
      <w:r>
        <w:rPr/>
        <w:t>计算机应用及服务行业</w:t>
      </w:r>
      <w:r>
        <w:rPr>
          <w:w w:val="100"/>
        </w:rPr>
        <w:t> </w:t>
      </w:r>
      <w:r>
        <w:rPr>
          <w:spacing w:val="-3"/>
        </w:rPr>
        <w:t>计算机应用及服务行业主要业务内容包括：技术开发、技术咨询、技术转让、技术服务、技术培</w:t>
      </w:r>
    </w:p>
    <w:p>
      <w:pPr>
        <w:pStyle w:val="Heading6"/>
        <w:spacing w:line="259" w:lineRule="auto" w:before="24"/>
        <w:ind w:right="1133" w:firstLine="0"/>
        <w:jc w:val="left"/>
      </w:pPr>
      <w:r>
        <w:rPr>
          <w:spacing w:val="-2"/>
        </w:rPr>
        <w:t>训；销售开发后的产品、计算机及外围设备；提供信息源服务；网络技术服务；电子商务；安装计算</w:t>
      </w:r>
      <w:r>
        <w:rPr>
          <w:spacing w:val="-73"/>
        </w:rPr>
        <w:t> </w:t>
      </w:r>
      <w:r>
        <w:rPr>
          <w:spacing w:val="-73"/>
        </w:rPr>
      </w:r>
      <w:r>
        <w:rPr/>
        <w:t>机；货物进出口、技术进出口、代理进出口等业务。</w:t>
      </w:r>
    </w:p>
    <w:p>
      <w:pPr>
        <w:pStyle w:val="Heading6"/>
        <w:spacing w:line="530" w:lineRule="atLeast" w:before="21"/>
        <w:ind w:left="592" w:right="1132" w:firstLine="0"/>
        <w:jc w:val="both"/>
      </w:pPr>
      <w:r>
        <w:rPr>
          <w:rFonts w:ascii="Times New Roman" w:hAnsi="Times New Roman" w:cs="Times New Roman" w:eastAsia="Times New Roman" w:hint="default"/>
        </w:rPr>
        <w:t>b</w:t>
      </w:r>
      <w:r>
        <w:rPr/>
        <w:t>商品批发流通行业</w:t>
      </w:r>
      <w:r>
        <w:rPr>
          <w:w w:val="100"/>
        </w:rPr>
        <w:t> </w:t>
      </w:r>
      <w:r>
        <w:rPr>
          <w:spacing w:val="-2"/>
        </w:rPr>
        <w:t>商品批发流通行业主要业务内容包括：电子元器件、设备、专用材料、电子产品及应用产品的设</w:t>
      </w:r>
    </w:p>
    <w:p>
      <w:pPr>
        <w:pStyle w:val="Heading6"/>
        <w:spacing w:line="240" w:lineRule="auto" w:before="24"/>
        <w:ind w:right="0" w:firstLine="0"/>
        <w:jc w:val="left"/>
      </w:pPr>
      <w:r>
        <w:rPr/>
        <w:t>计、开发、生产、销售、售后服务及维修；电子器件系统工程的总承包；承办组织进出口货源和配套</w:t>
      </w:r>
    </w:p>
    <w:p>
      <w:pPr>
        <w:spacing w:after="0" w:line="240" w:lineRule="auto"/>
        <w:jc w:val="left"/>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56" w:lineRule="auto" w:before="32"/>
        <w:ind w:right="1089" w:firstLine="0"/>
        <w:jc w:val="both"/>
      </w:pPr>
      <w:r>
        <w:rPr>
          <w:spacing w:val="-2"/>
        </w:rPr>
        <w:t>服务；进出口业务；五金交电、通讯器材、计算机及外部设备、钢材、建筑材料、照明设备、仪器议</w:t>
      </w:r>
      <w:r>
        <w:rPr>
          <w:spacing w:val="-72"/>
        </w:rPr>
        <w:t> </w:t>
      </w:r>
      <w:r>
        <w:rPr>
          <w:spacing w:val="-72"/>
        </w:rPr>
      </w:r>
      <w:r>
        <w:rPr>
          <w:spacing w:val="-2"/>
        </w:rPr>
        <w:t>表、一般化工材料、办公用品及设备、服装百货的销售；与上述业务有关的技术咨询、技术服务、信</w:t>
      </w:r>
      <w:r>
        <w:rPr>
          <w:spacing w:val="-74"/>
        </w:rPr>
        <w:t> </w:t>
      </w:r>
      <w:r>
        <w:rPr>
          <w:spacing w:val="-74"/>
        </w:rPr>
      </w:r>
      <w:r>
        <w:rPr>
          <w:spacing w:val="-2"/>
        </w:rPr>
        <w:t>息服务；物业管理。医用电子仪器设备；医用光学器具、仪器及内窥镜设备；医用超声仪器及有关设</w:t>
      </w:r>
      <w:r>
        <w:rPr>
          <w:spacing w:val="-72"/>
        </w:rPr>
        <w:t> </w:t>
      </w:r>
      <w:r>
        <w:rPr>
          <w:spacing w:val="-72"/>
        </w:rPr>
      </w:r>
      <w:r>
        <w:rPr/>
        <w:t>备；医用激光仪器设备；医用高频仪器设备；医用磁共振设备、医用</w:t>
      </w:r>
      <w:r>
        <w:rPr>
          <w:rFonts w:ascii="Times New Roman" w:hAnsi="Times New Roman" w:cs="Times New Roman" w:eastAsia="Times New Roman" w:hint="default"/>
        </w:rPr>
        <w:t>X</w:t>
      </w:r>
      <w:r>
        <w:rPr/>
        <w:t>射线设备；医用</w:t>
      </w:r>
      <w:r>
        <w:rPr>
          <w:rFonts w:ascii="Times New Roman" w:hAnsi="Times New Roman" w:cs="Times New Roman" w:eastAsia="Times New Roman" w:hint="default"/>
        </w:rPr>
        <w:t>X</w:t>
      </w:r>
      <w:r>
        <w:rPr/>
        <w:t>射线附属设</w:t>
      </w:r>
      <w:r>
        <w:rPr>
          <w:spacing w:val="-31"/>
        </w:rPr>
        <w:t> </w:t>
      </w:r>
      <w:r>
        <w:rPr>
          <w:spacing w:val="-31"/>
        </w:rPr>
      </w:r>
      <w:r>
        <w:rPr>
          <w:spacing w:val="-2"/>
        </w:rPr>
        <w:t>备及部件；医用化验和基础设备器具；体外循环及血液处理设备、手术室、急救室、诊疗室设备及器</w:t>
      </w:r>
      <w:r>
        <w:rPr>
          <w:spacing w:val="-72"/>
        </w:rPr>
        <w:t> </w:t>
      </w:r>
      <w:r>
        <w:rPr>
          <w:spacing w:val="-72"/>
        </w:rPr>
      </w:r>
      <w:r>
        <w:rPr>
          <w:spacing w:val="-1"/>
        </w:rPr>
        <w:t>具；医用高分子材料及制品；物理治疗及健康设备；体外检验分析器；病房护理设备及器具的经营；</w:t>
      </w:r>
      <w:r>
        <w:rPr>
          <w:spacing w:val="-73"/>
        </w:rPr>
        <w:t> </w:t>
      </w:r>
      <w:r>
        <w:rPr>
          <w:spacing w:val="-73"/>
        </w:rPr>
      </w:r>
      <w:r>
        <w:rPr/>
        <w:t>批发预包装食品。说明报告分部的具体确定依据、分部会计政策。</w:t>
      </w:r>
    </w:p>
    <w:p>
      <w:pPr>
        <w:spacing w:line="240" w:lineRule="auto" w:before="4"/>
        <w:rPr>
          <w:rFonts w:ascii="宋体" w:hAnsi="宋体" w:cs="宋体" w:eastAsia="宋体" w:hint="default"/>
          <w:sz w:val="24"/>
          <w:szCs w:val="24"/>
        </w:rPr>
      </w:pPr>
    </w:p>
    <w:p>
      <w:pPr>
        <w:pStyle w:val="Heading7"/>
        <w:spacing w:line="240" w:lineRule="auto"/>
        <w:ind w:right="0"/>
        <w:jc w:val="both"/>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1913"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1,978,205,379.45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1,158,236,824.36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38,922,812.36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3,097,519,391.45</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682,437,637.41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1,062,540,108.03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38,440,916.29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1,706,536,829.15</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192,682,862.02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36,270,574.70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5,224.13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228,948,212.59</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153,922,403.50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394,751.16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154,317,154.66</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-159,679,407.61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249,137.41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-159,430,270.20</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对联营企业和合营企业 的投资收益</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2,280,197.96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2,280,197.96</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40,925,408.42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7,703,231.08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3,585,929.58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45,042,709.92</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折旧费和摊销费</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101,607,742.44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23,412,524.26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125,020,266.70</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596,439,755.30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7,580,710.89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-3,109,257.64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607,129,723.83</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9,541,432,464.38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754,680,688.02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67,857,677.46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10,228,255,474.94</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1,188,305,099.07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215,530,647.80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67,891,302.90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1,335,944,443.97</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对联营企业和合营企业 的长期股权投资</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426,420,725.56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426,420,725.56</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1"/>
        <w:rPr>
          <w:rFonts w:ascii="宋体" w:hAnsi="宋体" w:cs="宋体" w:eastAsia="宋体" w:hint="default"/>
          <w:b/>
          <w:bCs/>
          <w:sz w:val="23"/>
          <w:szCs w:val="23"/>
        </w:rPr>
      </w:pPr>
    </w:p>
    <w:p>
      <w:pPr>
        <w:pStyle w:val="Heading6"/>
        <w:spacing w:line="240" w:lineRule="auto"/>
        <w:ind w:right="1133" w:firstLine="0"/>
        <w:jc w:val="left"/>
      </w:pPr>
      <w:r>
        <w:rPr>
          <w:rFonts w:ascii="宋体" w:hAnsi="宋体" w:cs="宋体" w:eastAsia="宋体" w:hint="default"/>
        </w:rPr>
        <w:t>1.</w:t>
      </w:r>
      <w:r>
        <w:rPr>
          <w:rFonts w:ascii="宋体" w:hAnsi="宋体" w:cs="宋体" w:eastAsia="宋体" w:hint="default"/>
          <w:spacing w:val="30"/>
        </w:rPr>
        <w:t> </w:t>
      </w:r>
      <w:r>
        <w:rPr/>
        <w:t>对外交易收入信息</w:t>
      </w:r>
    </w:p>
    <w:p>
      <w:pPr>
        <w:spacing w:line="240" w:lineRule="auto" w:before="2"/>
        <w:rPr>
          <w:rFonts w:ascii="宋体" w:hAnsi="宋体" w:cs="宋体" w:eastAsia="宋体" w:hint="default"/>
          <w:sz w:val="20"/>
          <w:szCs w:val="20"/>
        </w:rPr>
      </w:pPr>
    </w:p>
    <w:p>
      <w:pPr>
        <w:pStyle w:val="Heading6"/>
        <w:spacing w:line="240" w:lineRule="auto"/>
        <w:ind w:left="592" w:right="1133" w:firstLine="0"/>
        <w:jc w:val="left"/>
      </w:pPr>
      <w:r>
        <w:rPr>
          <w:rFonts w:ascii="Times New Roman" w:hAnsi="Times New Roman" w:cs="Times New Roman" w:eastAsia="Times New Roman" w:hint="default"/>
        </w:rPr>
        <w:t>1</w:t>
      </w:r>
      <w:r>
        <w:rPr/>
        <w:t>）分产品类别的对外交易收入</w:t>
      </w:r>
    </w:p>
    <w:p>
      <w:pPr>
        <w:spacing w:line="240" w:lineRule="auto" w:before="5"/>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3687"/>
        <w:gridCol w:w="2835"/>
        <w:gridCol w:w="2693"/>
      </w:tblGrid>
      <w:tr>
        <w:trPr>
          <w:trHeight w:val="331" w:hRule="exact"/>
        </w:trPr>
        <w:tc>
          <w:tcPr>
            <w:tcW w:w="3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652"/>
              <w:jc w:val="right"/>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890"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65" w:hRule="exact"/>
        </w:trPr>
        <w:tc>
          <w:tcPr>
            <w:tcW w:w="368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0"/>
              <w:ind w:left="4"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283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1,978,205,379.45</w:t>
            </w:r>
          </w:p>
        </w:tc>
        <w:tc>
          <w:tcPr>
            <w:tcW w:w="269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1,719,039,394.64</w:t>
            </w:r>
          </w:p>
        </w:tc>
      </w:tr>
      <w:tr>
        <w:trPr>
          <w:trHeight w:val="346"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1,119,314,012.00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1,242,147,196.00</w:t>
            </w:r>
          </w:p>
        </w:tc>
      </w:tr>
      <w:tr>
        <w:trPr>
          <w:trHeight w:val="34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649"/>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b/>
                <w:spacing w:val="-1"/>
                <w:sz w:val="18"/>
              </w:rPr>
              <w:t>3,097,519,391.45</w:t>
            </w:r>
            <w:r>
              <w:rPr>
                <w:rFonts w:ascii="Times New Roman"/>
                <w:spacing w:val="-1"/>
                <w:sz w:val="18"/>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b/>
                <w:spacing w:val="-1"/>
                <w:sz w:val="18"/>
              </w:rPr>
              <w:t>2,961,186,590.64</w:t>
            </w:r>
            <w:r>
              <w:rPr>
                <w:rFonts w:ascii="Times New Roman"/>
                <w:spacing w:val="-1"/>
                <w:sz w:val="18"/>
              </w:rPr>
            </w:r>
          </w:p>
        </w:tc>
      </w:tr>
    </w:tbl>
    <w:p>
      <w:pPr>
        <w:spacing w:line="240" w:lineRule="auto" w:before="2"/>
        <w:rPr>
          <w:rFonts w:ascii="宋体" w:hAnsi="宋体" w:cs="宋体" w:eastAsia="宋体" w:hint="default"/>
          <w:sz w:val="14"/>
          <w:szCs w:val="14"/>
        </w:rPr>
      </w:pPr>
    </w:p>
    <w:p>
      <w:pPr>
        <w:pStyle w:val="Heading6"/>
        <w:spacing w:line="240" w:lineRule="auto" w:before="32"/>
        <w:ind w:left="592" w:right="1133" w:firstLine="0"/>
        <w:jc w:val="left"/>
      </w:pPr>
      <w:r>
        <w:rPr>
          <w:rFonts w:ascii="Times New Roman" w:hAnsi="Times New Roman" w:cs="Times New Roman" w:eastAsia="Times New Roman" w:hint="default"/>
        </w:rPr>
        <w:t>2</w:t>
      </w:r>
      <w:r>
        <w:rPr/>
        <w:t>）分地区的对外交易收入</w:t>
      </w:r>
    </w:p>
    <w:p>
      <w:pPr>
        <w:spacing w:line="240" w:lineRule="auto" w:before="5"/>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3829"/>
        <w:gridCol w:w="2693"/>
        <w:gridCol w:w="2693"/>
      </w:tblGrid>
      <w:tr>
        <w:trPr>
          <w:trHeight w:val="329"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89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890"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829"/>
        <w:gridCol w:w="2693"/>
        <w:gridCol w:w="2693"/>
      </w:tblGrid>
      <w:tr>
        <w:trPr>
          <w:trHeight w:val="34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中国大陆地区</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2,846,796,860.58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2,762,373,395.64</w:t>
            </w:r>
          </w:p>
        </w:tc>
      </w:tr>
      <w:tr>
        <w:trPr>
          <w:trHeight w:val="346"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中国大陆地区以外的国家和地区</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250,722,530.87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198,813,195.00</w:t>
            </w:r>
          </w:p>
        </w:tc>
      </w:tr>
      <w:tr>
        <w:trPr>
          <w:trHeight w:val="34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b/>
                <w:spacing w:val="-1"/>
                <w:sz w:val="18"/>
              </w:rPr>
              <w:t>3,097,519,391.45</w:t>
            </w:r>
            <w:r>
              <w:rPr>
                <w:rFonts w:ascii="Times New Roman"/>
                <w:spacing w:val="-1"/>
                <w:sz w:val="18"/>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b/>
                <w:spacing w:val="-1"/>
                <w:sz w:val="18"/>
              </w:rPr>
              <w:t>2,961,186,590.64</w:t>
            </w:r>
            <w:r>
              <w:rPr>
                <w:rFonts w:ascii="Times New Roman"/>
                <w:spacing w:val="-1"/>
                <w:sz w:val="18"/>
              </w:rPr>
            </w:r>
          </w:p>
        </w:tc>
      </w:tr>
    </w:tbl>
    <w:p>
      <w:pPr>
        <w:spacing w:line="240" w:lineRule="auto" w:before="2"/>
        <w:rPr>
          <w:rFonts w:ascii="宋体" w:hAnsi="宋体" w:cs="宋体" w:eastAsia="宋体" w:hint="default"/>
          <w:sz w:val="14"/>
          <w:szCs w:val="14"/>
        </w:rPr>
      </w:pPr>
    </w:p>
    <w:p>
      <w:pPr>
        <w:pStyle w:val="Heading6"/>
        <w:spacing w:line="240" w:lineRule="auto" w:before="32"/>
        <w:ind w:right="1133" w:firstLine="0"/>
        <w:jc w:val="left"/>
      </w:pPr>
      <w:r>
        <w:rPr>
          <w:rFonts w:ascii="宋体" w:hAnsi="宋体" w:cs="宋体" w:eastAsia="宋体" w:hint="default"/>
        </w:rPr>
        <w:t>1.</w:t>
      </w:r>
      <w:r>
        <w:rPr>
          <w:rFonts w:ascii="宋体" w:hAnsi="宋体" w:cs="宋体" w:eastAsia="宋体" w:hint="default"/>
          <w:spacing w:val="30"/>
        </w:rPr>
        <w:t> </w:t>
      </w:r>
      <w:r>
        <w:rPr/>
        <w:t>对外交易成本信息</w:t>
      </w:r>
    </w:p>
    <w:p>
      <w:pPr>
        <w:spacing w:line="240" w:lineRule="auto" w:before="2"/>
        <w:rPr>
          <w:rFonts w:ascii="宋体" w:hAnsi="宋体" w:cs="宋体" w:eastAsia="宋体" w:hint="default"/>
          <w:sz w:val="20"/>
          <w:szCs w:val="20"/>
        </w:rPr>
      </w:pPr>
    </w:p>
    <w:p>
      <w:pPr>
        <w:pStyle w:val="Heading6"/>
        <w:spacing w:line="240" w:lineRule="auto"/>
        <w:ind w:left="592" w:right="1133" w:firstLine="0"/>
        <w:jc w:val="left"/>
      </w:pPr>
      <w:r>
        <w:rPr>
          <w:rFonts w:ascii="Times New Roman" w:hAnsi="Times New Roman" w:cs="Times New Roman" w:eastAsia="Times New Roman" w:hint="default"/>
        </w:rPr>
        <w:t>1</w:t>
      </w:r>
      <w:r>
        <w:rPr/>
        <w:t>）分产品类别的对外交易成本</w:t>
      </w:r>
    </w:p>
    <w:p>
      <w:pPr>
        <w:spacing w:line="240" w:lineRule="auto" w:before="5"/>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3829"/>
        <w:gridCol w:w="2693"/>
        <w:gridCol w:w="2693"/>
      </w:tblGrid>
      <w:tr>
        <w:trPr>
          <w:trHeight w:val="329"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724"/>
              <w:jc w:val="right"/>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89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890"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65" w:hRule="exact"/>
        </w:trPr>
        <w:tc>
          <w:tcPr>
            <w:tcW w:w="3829"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31"/>
              <w:ind w:left="4"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2693"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73"/>
              <w:ind w:right="0"/>
              <w:jc w:val="right"/>
              <w:rPr>
                <w:rFonts w:ascii="Times New Roman" w:hAnsi="Times New Roman" w:cs="Times New Roman" w:eastAsia="Times New Roman" w:hint="default"/>
                <w:sz w:val="18"/>
                <w:szCs w:val="18"/>
              </w:rPr>
            </w:pPr>
            <w:r>
              <w:rPr>
                <w:rFonts w:ascii="Times New Roman"/>
                <w:spacing w:val="-1"/>
                <w:sz w:val="18"/>
              </w:rPr>
              <w:t>685,785,694.83</w:t>
            </w:r>
          </w:p>
        </w:tc>
        <w:tc>
          <w:tcPr>
            <w:tcW w:w="2693"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73"/>
              <w:ind w:right="0"/>
              <w:jc w:val="right"/>
              <w:rPr>
                <w:rFonts w:ascii="Times New Roman" w:hAnsi="Times New Roman" w:cs="Times New Roman" w:eastAsia="Times New Roman" w:hint="default"/>
                <w:sz w:val="18"/>
                <w:szCs w:val="18"/>
              </w:rPr>
            </w:pPr>
            <w:r>
              <w:rPr>
                <w:rFonts w:ascii="Times New Roman"/>
                <w:spacing w:val="-1"/>
                <w:sz w:val="18"/>
              </w:rPr>
              <w:t>465,154,876.47</w:t>
            </w:r>
          </w:p>
        </w:tc>
      </w:tr>
      <w:tr>
        <w:trPr>
          <w:trHeight w:val="34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1,020,751,134.32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1,174,374,642.99</w:t>
            </w:r>
          </w:p>
        </w:tc>
      </w:tr>
      <w:tr>
        <w:trPr>
          <w:trHeight w:val="34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719"/>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1,706,536,829.15</w:t>
            </w:r>
            <w:r>
              <w:rPr>
                <w:rFonts w:ascii="Times New Roman"/>
                <w:spacing w:val="-1"/>
                <w:sz w:val="18"/>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1,639,529,519.46</w:t>
            </w:r>
            <w:r>
              <w:rPr>
                <w:rFonts w:ascii="Times New Roman"/>
                <w:spacing w:val="-1"/>
                <w:sz w:val="18"/>
              </w:rPr>
            </w:r>
          </w:p>
        </w:tc>
      </w:tr>
    </w:tbl>
    <w:p>
      <w:pPr>
        <w:spacing w:line="240" w:lineRule="auto" w:before="2"/>
        <w:rPr>
          <w:rFonts w:ascii="宋体" w:hAnsi="宋体" w:cs="宋体" w:eastAsia="宋体" w:hint="default"/>
          <w:sz w:val="14"/>
          <w:szCs w:val="14"/>
        </w:rPr>
      </w:pPr>
    </w:p>
    <w:p>
      <w:pPr>
        <w:pStyle w:val="Heading6"/>
        <w:spacing w:line="240" w:lineRule="auto" w:before="32"/>
        <w:ind w:left="592" w:right="1133" w:firstLine="0"/>
        <w:jc w:val="left"/>
      </w:pPr>
      <w:r>
        <w:rPr>
          <w:rFonts w:ascii="Times New Roman" w:hAnsi="Times New Roman" w:cs="Times New Roman" w:eastAsia="Times New Roman" w:hint="default"/>
        </w:rPr>
        <w:t>2</w:t>
      </w:r>
      <w:r>
        <w:rPr/>
        <w:t>）分地区的对外交易成本</w:t>
      </w:r>
    </w:p>
    <w:p>
      <w:pPr>
        <w:spacing w:line="240" w:lineRule="auto" w:before="5"/>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829"/>
        <w:gridCol w:w="2693"/>
        <w:gridCol w:w="2693"/>
      </w:tblGrid>
      <w:tr>
        <w:trPr>
          <w:trHeight w:val="317"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89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890"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65"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宋体" w:hAnsi="宋体" w:cs="宋体" w:eastAsia="宋体" w:hint="default"/>
                <w:sz w:val="18"/>
                <w:szCs w:val="18"/>
              </w:rPr>
            </w:pPr>
            <w:r>
              <w:rPr>
                <w:rFonts w:ascii="宋体" w:hAnsi="宋体" w:cs="宋体" w:eastAsia="宋体" w:hint="default"/>
                <w:sz w:val="18"/>
                <w:szCs w:val="18"/>
              </w:rPr>
              <w:t>中国大陆地区</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spacing w:val="-1"/>
                <w:sz w:val="18"/>
              </w:rPr>
              <w:t>1,618,920,003.81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spacing w:val="-1"/>
                <w:sz w:val="18"/>
              </w:rPr>
              <w:t>1,593,648,974.73</w:t>
            </w:r>
          </w:p>
        </w:tc>
      </w:tr>
      <w:tr>
        <w:trPr>
          <w:trHeight w:val="346"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中国大陆地区以外的国家和地区</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87,616,825.34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45,880,544.73</w:t>
            </w:r>
          </w:p>
        </w:tc>
      </w:tr>
      <w:tr>
        <w:trPr>
          <w:trHeight w:val="34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b/>
                <w:spacing w:val="-1"/>
                <w:sz w:val="18"/>
              </w:rPr>
              <w:t>1,706,536,829.15</w:t>
            </w:r>
            <w:r>
              <w:rPr>
                <w:rFonts w:ascii="Times New Roman"/>
                <w:spacing w:val="-1"/>
                <w:sz w:val="18"/>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b/>
                <w:spacing w:val="-1"/>
                <w:sz w:val="18"/>
              </w:rPr>
              <w:t>1,639,529,519.46</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3"/>
        <w:spacing w:line="240" w:lineRule="auto" w:before="26"/>
        <w:ind w:right="1133"/>
        <w:jc w:val="left"/>
        <w:rPr>
          <w:b w:val="0"/>
          <w:bCs w:val="0"/>
        </w:rPr>
      </w:pPr>
      <w:r>
        <w:rPr/>
        <w:t>十六、母公司财务报表主要项目注释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52,890,217.90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35,762,072.00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52,890,217.90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35,762,072.00</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4"/>
        <w:gridCol w:w="916"/>
        <w:gridCol w:w="608"/>
        <w:gridCol w:w="763"/>
        <w:gridCol w:w="763"/>
        <w:gridCol w:w="845"/>
        <w:gridCol w:w="992"/>
        <w:gridCol w:w="566"/>
        <w:gridCol w:w="852"/>
        <w:gridCol w:w="697"/>
        <w:gridCol w:w="931"/>
      </w:tblGrid>
      <w:tr>
        <w:trPr>
          <w:trHeight w:val="403"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center"/>
              <w:rPr>
                <w:rFonts w:ascii="宋体" w:hAnsi="宋体" w:cs="宋体" w:eastAsia="宋体" w:hint="default"/>
                <w:sz w:val="18"/>
                <w:szCs w:val="18"/>
              </w:rPr>
            </w:pPr>
            <w:r>
              <w:rPr>
                <w:rFonts w:ascii="宋体" w:hAnsi="宋体" w:cs="宋体" w:eastAsia="宋体" w:hint="default"/>
                <w:spacing w:val="-31"/>
                <w:sz w:val="18"/>
                <w:szCs w:val="18"/>
              </w:rPr>
              <w:t>期末余额</w:t>
            </w:r>
          </w:p>
        </w:tc>
        <w:tc>
          <w:tcPr>
            <w:tcW w:w="403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 w:right="0"/>
              <w:jc w:val="center"/>
              <w:rPr>
                <w:rFonts w:ascii="宋体" w:hAnsi="宋体" w:cs="宋体" w:eastAsia="宋体" w:hint="default"/>
                <w:sz w:val="18"/>
                <w:szCs w:val="18"/>
              </w:rPr>
            </w:pPr>
            <w:r>
              <w:rPr>
                <w:rFonts w:ascii="宋体" w:hAnsi="宋体" w:cs="宋体" w:eastAsia="宋体" w:hint="default"/>
                <w:spacing w:val="-31"/>
                <w:sz w:val="18"/>
                <w:szCs w:val="18"/>
              </w:rPr>
              <w:t>期初余额</w:t>
            </w:r>
          </w:p>
        </w:tc>
      </w:tr>
      <w:tr>
        <w:trPr>
          <w:trHeight w:val="206"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pacing w:val="-39"/>
                <w:sz w:val="18"/>
                <w:szCs w:val="18"/>
              </w:rPr>
              <w:t>类别</w:t>
            </w:r>
            <w:r>
              <w:rPr>
                <w:rFonts w:ascii="宋体" w:hAnsi="宋体" w:cs="宋体" w:eastAsia="宋体" w:hint="default"/>
                <w:sz w:val="18"/>
                <w:szCs w:val="18"/>
              </w:rPr>
            </w:r>
          </w:p>
        </w:tc>
        <w:tc>
          <w:tcPr>
            <w:tcW w:w="15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76" w:right="0"/>
              <w:jc w:val="left"/>
              <w:rPr>
                <w:rFonts w:ascii="宋体" w:hAnsi="宋体" w:cs="宋体" w:eastAsia="宋体" w:hint="default"/>
                <w:sz w:val="18"/>
                <w:szCs w:val="18"/>
              </w:rPr>
            </w:pPr>
            <w:r>
              <w:rPr>
                <w:rFonts w:ascii="宋体" w:hAnsi="宋体" w:cs="宋体" w:eastAsia="宋体" w:hint="default"/>
                <w:spacing w:val="-31"/>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spacing w:val="-31"/>
                <w:sz w:val="18"/>
                <w:szCs w:val="18"/>
              </w:rPr>
              <w:t>坏账准备</w:t>
            </w: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pacing w:val="-31"/>
                <w:sz w:val="18"/>
                <w:szCs w:val="18"/>
              </w:rPr>
              <w:t>账面余额</w:t>
            </w:r>
          </w:p>
        </w:tc>
        <w:tc>
          <w:tcPr>
            <w:tcW w:w="15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pacing w:val="-31"/>
                <w:sz w:val="18"/>
                <w:szCs w:val="18"/>
              </w:rPr>
              <w:t>坏账准备</w:t>
            </w: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23"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pacing w:val="-31"/>
                <w:sz w:val="18"/>
                <w:szCs w:val="18"/>
              </w:rPr>
              <w:t>账面价值</w:t>
            </w:r>
          </w:p>
        </w:tc>
        <w:tc>
          <w:tcPr>
            <w:tcW w:w="1558" w:type="dxa"/>
            <w:gridSpan w:val="2"/>
            <w:vMerge/>
            <w:tcBorders>
              <w:left w:val="single" w:sz="4" w:space="0" w:color="000000"/>
              <w:bottom w:val="single" w:sz="4" w:space="0" w:color="000000"/>
              <w:right w:val="single" w:sz="4" w:space="0" w:color="000000"/>
            </w:tcBorders>
            <w:shd w:val="clear" w:color="auto" w:fill="D2D2D2"/>
          </w:tcPr>
          <w:p>
            <w:pPr/>
          </w:p>
        </w:tc>
        <w:tc>
          <w:tcPr>
            <w:tcW w:w="154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pacing w:val="-31"/>
                <w:sz w:val="18"/>
                <w:szCs w:val="18"/>
              </w:rPr>
              <w:t>账面价值</w:t>
            </w:r>
          </w:p>
        </w:tc>
      </w:tr>
      <w:tr>
        <w:trPr>
          <w:trHeight w:val="196" w:hRule="exact"/>
        </w:trPr>
        <w:tc>
          <w:tcPr>
            <w:tcW w:w="1624" w:type="dxa"/>
            <w:vMerge w:val="restart"/>
            <w:tcBorders>
              <w:top w:val="nil" w:sz="6" w:space="0" w:color="auto"/>
              <w:left w:val="single" w:sz="4" w:space="0" w:color="000000"/>
              <w:right w:val="single" w:sz="4" w:space="0" w:color="000000"/>
            </w:tcBorders>
            <w:shd w:val="clear" w:color="auto" w:fill="D2D2D2"/>
          </w:tcPr>
          <w:p>
            <w:pPr/>
          </w:p>
        </w:tc>
        <w:tc>
          <w:tcPr>
            <w:tcW w:w="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pacing w:val="-39"/>
                <w:sz w:val="18"/>
                <w:szCs w:val="18"/>
              </w:rPr>
              <w:t>金额</w:t>
            </w:r>
            <w:r>
              <w:rPr>
                <w:rFonts w:ascii="宋体" w:hAnsi="宋体" w:cs="宋体" w:eastAsia="宋体" w:hint="default"/>
                <w:sz w:val="18"/>
                <w:szCs w:val="18"/>
              </w:rPr>
            </w:r>
          </w:p>
        </w:tc>
        <w:tc>
          <w:tcPr>
            <w:tcW w:w="6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pacing w:val="-39"/>
                <w:sz w:val="18"/>
                <w:szCs w:val="18"/>
              </w:rPr>
              <w:t>比例</w:t>
            </w:r>
            <w:r>
              <w:rPr>
                <w:rFonts w:ascii="宋体" w:hAnsi="宋体" w:cs="宋体" w:eastAsia="宋体" w:hint="default"/>
                <w:sz w:val="18"/>
                <w:szCs w:val="18"/>
              </w:rPr>
            </w: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pacing w:val="-39"/>
                <w:sz w:val="18"/>
                <w:szCs w:val="18"/>
              </w:rPr>
              <w:t>金额</w:t>
            </w:r>
            <w:r>
              <w:rPr>
                <w:rFonts w:ascii="宋体" w:hAnsi="宋体" w:cs="宋体" w:eastAsia="宋体" w:hint="default"/>
                <w:sz w:val="18"/>
                <w:szCs w:val="18"/>
              </w:rPr>
            </w: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pacing w:val="-31"/>
                <w:sz w:val="18"/>
                <w:szCs w:val="18"/>
              </w:rPr>
              <w:t>计提比例</w:t>
            </w:r>
          </w:p>
        </w:tc>
        <w:tc>
          <w:tcPr>
            <w:tcW w:w="845"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pacing w:val="-39"/>
                <w:sz w:val="18"/>
                <w:szCs w:val="18"/>
              </w:rPr>
              <w:t>金额</w:t>
            </w:r>
            <w:r>
              <w:rPr>
                <w:rFonts w:ascii="宋体" w:hAnsi="宋体" w:cs="宋体" w:eastAsia="宋体" w:hint="default"/>
                <w:sz w:val="18"/>
                <w:szCs w:val="18"/>
              </w:rPr>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pacing w:val="-39"/>
                <w:sz w:val="18"/>
                <w:szCs w:val="18"/>
              </w:rPr>
              <w:t>比例</w:t>
            </w:r>
            <w:r>
              <w:rPr>
                <w:rFonts w:ascii="宋体" w:hAnsi="宋体" w:cs="宋体" w:eastAsia="宋体" w:hint="default"/>
                <w:sz w:val="18"/>
                <w:szCs w:val="18"/>
              </w:rPr>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80" w:right="0"/>
              <w:jc w:val="left"/>
              <w:rPr>
                <w:rFonts w:ascii="宋体" w:hAnsi="宋体" w:cs="宋体" w:eastAsia="宋体" w:hint="default"/>
                <w:sz w:val="18"/>
                <w:szCs w:val="18"/>
              </w:rPr>
            </w:pPr>
            <w:r>
              <w:rPr>
                <w:rFonts w:ascii="宋体" w:hAnsi="宋体" w:cs="宋体" w:eastAsia="宋体" w:hint="default"/>
                <w:spacing w:val="-39"/>
                <w:sz w:val="18"/>
                <w:szCs w:val="18"/>
              </w:rPr>
              <w:t>金额</w:t>
            </w:r>
            <w:r>
              <w:rPr>
                <w:rFonts w:ascii="宋体" w:hAnsi="宋体" w:cs="宋体" w:eastAsia="宋体" w:hint="default"/>
                <w:sz w:val="18"/>
                <w:szCs w:val="18"/>
              </w:rPr>
            </w:r>
          </w:p>
        </w:tc>
        <w:tc>
          <w:tcPr>
            <w:tcW w:w="6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4" w:right="0"/>
              <w:jc w:val="left"/>
              <w:rPr>
                <w:rFonts w:ascii="宋体" w:hAnsi="宋体" w:cs="宋体" w:eastAsia="宋体" w:hint="default"/>
                <w:sz w:val="18"/>
                <w:szCs w:val="18"/>
              </w:rPr>
            </w:pPr>
            <w:r>
              <w:rPr>
                <w:rFonts w:ascii="宋体" w:hAnsi="宋体" w:cs="宋体" w:eastAsia="宋体" w:hint="default"/>
                <w:spacing w:val="-31"/>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608"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6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
              <w:jc w:val="left"/>
              <w:rPr>
                <w:rFonts w:ascii="宋体" w:hAnsi="宋体" w:cs="宋体" w:eastAsia="宋体" w:hint="default"/>
                <w:sz w:val="18"/>
                <w:szCs w:val="18"/>
              </w:rPr>
            </w:pPr>
            <w:r>
              <w:rPr>
                <w:rFonts w:ascii="宋体" w:hAnsi="宋体" w:cs="宋体" w:eastAsia="宋体" w:hint="default"/>
                <w:spacing w:val="-37"/>
                <w:sz w:val="18"/>
                <w:szCs w:val="18"/>
              </w:rPr>
              <w:t>按信用风险特征组合计提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6"/>
                <w:sz w:val="18"/>
                <w:szCs w:val="18"/>
              </w:rPr>
              <w:t>坏账准备的应收账款</w:t>
            </w:r>
          </w:p>
        </w:tc>
        <w:tc>
          <w:tcPr>
            <w:tcW w:w="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62,124,258.00</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7"/>
                <w:sz w:val="18"/>
              </w:rPr>
              <w:t>97.22%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pacing w:val="-19"/>
                <w:sz w:val="18"/>
              </w:rPr>
              <w:t>9,234,040.10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7"/>
                <w:sz w:val="18"/>
              </w:rPr>
              <w:t>14.86%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52,890,217.90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43,753,470.61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7"/>
                <w:sz w:val="18"/>
              </w:rPr>
              <w:t>96.59%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7,991,398.61</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7"/>
                <w:sz w:val="18"/>
              </w:rPr>
              <w:t>18.26%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35,762,072.00</w:t>
            </w: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
              <w:jc w:val="left"/>
              <w:rPr>
                <w:rFonts w:ascii="宋体" w:hAnsi="宋体" w:cs="宋体" w:eastAsia="宋体" w:hint="default"/>
                <w:sz w:val="18"/>
                <w:szCs w:val="18"/>
              </w:rPr>
            </w:pPr>
            <w:r>
              <w:rPr>
                <w:rFonts w:ascii="宋体" w:hAnsi="宋体" w:cs="宋体" w:eastAsia="宋体" w:hint="default"/>
                <w:spacing w:val="-37"/>
                <w:sz w:val="18"/>
                <w:szCs w:val="18"/>
              </w:rPr>
              <w:t>单项金额不重大但单独计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7"/>
                <w:sz w:val="18"/>
                <w:szCs w:val="18"/>
              </w:rPr>
              <w:t>提坏账准备的应收账款</w:t>
            </w:r>
          </w:p>
        </w:tc>
        <w:tc>
          <w:tcPr>
            <w:tcW w:w="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1,774,542.78</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2.78%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pacing w:val="-19"/>
                <w:sz w:val="18"/>
              </w:rPr>
              <w:t>1,774,542.78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sz w:val="18"/>
              </w:rPr>
              <w:t>100.00%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1,543,212.43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3.41%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1,543,212.43</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8"/>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917"/>
        <w:gridCol w:w="608"/>
        <w:gridCol w:w="763"/>
        <w:gridCol w:w="763"/>
        <w:gridCol w:w="845"/>
        <w:gridCol w:w="992"/>
        <w:gridCol w:w="566"/>
        <w:gridCol w:w="852"/>
        <w:gridCol w:w="697"/>
        <w:gridCol w:w="931"/>
      </w:tblGrid>
      <w:tr>
        <w:trPr>
          <w:trHeight w:val="71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9"/>
                <w:sz w:val="18"/>
                <w:szCs w:val="18"/>
              </w:rPr>
              <w:t>合计</w:t>
            </w:r>
            <w:r>
              <w:rPr>
                <w:rFonts w:ascii="宋体" w:hAnsi="宋体" w:cs="宋体" w:eastAsia="宋体" w:hint="default"/>
                <w:sz w:val="18"/>
                <w:szCs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pacing w:val="-19"/>
                <w:sz w:val="18"/>
              </w:rPr>
              <w:t>63,898,800.78</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1"/>
              <w:jc w:val="left"/>
              <w:rPr>
                <w:rFonts w:ascii="Times New Roman" w:hAnsi="Times New Roman" w:cs="Times New Roman" w:eastAsia="Times New Roman" w:hint="default"/>
                <w:sz w:val="18"/>
                <w:szCs w:val="18"/>
              </w:rPr>
            </w:pPr>
            <w:r>
              <w:rPr>
                <w:rFonts w:ascii="Times New Roman"/>
                <w:spacing w:val="-18"/>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11,008,582.8</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8</w:t>
            </w:r>
          </w:p>
        </w:tc>
        <w:tc>
          <w:tcPr>
            <w:tcW w:w="76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pacing w:val="-19"/>
                <w:sz w:val="18"/>
              </w:rPr>
              <w:t>52,890,217.90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pacing w:val="-19"/>
                <w:sz w:val="18"/>
              </w:rPr>
              <w:t>45,296,683.04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2"/>
              <w:jc w:val="left"/>
              <w:rPr>
                <w:rFonts w:ascii="Times New Roman" w:hAnsi="Times New Roman" w:cs="Times New Roman" w:eastAsia="Times New Roman" w:hint="default"/>
                <w:sz w:val="18"/>
                <w:szCs w:val="18"/>
              </w:rPr>
            </w:pPr>
            <w:r>
              <w:rPr>
                <w:rFonts w:ascii="Times New Roman"/>
                <w:spacing w:val="-18"/>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pacing w:val="-20"/>
                <w:sz w:val="18"/>
              </w:rPr>
              <w:t>9,534,611.04</w:t>
            </w:r>
          </w:p>
        </w:tc>
        <w:tc>
          <w:tcPr>
            <w:tcW w:w="6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pacing w:val="-19"/>
                <w:sz w:val="18"/>
              </w:rPr>
              <w:t>35,762,072.00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45,707,822.12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2,285,391.11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45,707,822.12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2,285,391.11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6,572,414.55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657,241.46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3,736,406.93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747,281.39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335,524.50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167,762.25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11,920.00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5,343,773.05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5,343,773.05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61,710,841.15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9,213,369.26</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56" w:lineRule="auto" w:before="96"/>
        <w:ind w:right="1122" w:firstLine="420"/>
        <w:jc w:val="left"/>
      </w:pPr>
      <w:r>
        <w:rPr/>
        <w:t>组合</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根据以前年度与之相同或类似的、按账龄段划分的具有类似信用风险特征的应收款项组合的实</w:t>
      </w:r>
      <w:r>
        <w:rPr>
          <w:w w:val="100"/>
        </w:rPr>
        <w:t> </w:t>
      </w:r>
      <w:r>
        <w:rPr/>
        <w:t>际损失率为基础，结合现实情况分析法对计算机及服务行业确定坏账准备计提的比例。</w:t>
      </w:r>
    </w:p>
    <w:p>
      <w:pPr>
        <w:spacing w:line="240" w:lineRule="auto" w:before="0"/>
        <w:rPr>
          <w:rFonts w:ascii="宋体" w:hAnsi="宋体" w:cs="宋体" w:eastAsia="宋体" w:hint="default"/>
          <w:sz w:val="20"/>
          <w:szCs w:val="20"/>
        </w:rPr>
      </w:pPr>
    </w:p>
    <w:p>
      <w:pPr>
        <w:spacing w:before="134"/>
        <w:ind w:left="152" w:right="1133"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2"/>
        <w:rPr>
          <w:rFonts w:ascii="宋体" w:hAnsi="宋体" w:cs="宋体" w:eastAsia="宋体" w:hint="default"/>
          <w:sz w:val="16"/>
          <w:szCs w:val="16"/>
        </w:rPr>
      </w:pPr>
    </w:p>
    <w:p>
      <w:pPr>
        <w:pStyle w:val="Heading6"/>
        <w:spacing w:line="240" w:lineRule="auto"/>
        <w:ind w:right="1133" w:firstLine="0"/>
        <w:jc w:val="left"/>
      </w:pPr>
      <w:r>
        <w:rPr>
          <w:rFonts w:ascii="宋体" w:hAnsi="宋体" w:cs="宋体" w:eastAsia="宋体" w:hint="default"/>
        </w:rPr>
        <w:t>1.</w:t>
      </w:r>
      <w:r>
        <w:rPr>
          <w:rFonts w:ascii="宋体" w:hAnsi="宋体" w:cs="宋体" w:eastAsia="宋体" w:hint="default"/>
          <w:spacing w:val="28"/>
        </w:rPr>
        <w:t> </w:t>
      </w:r>
      <w:r>
        <w:rPr/>
        <w:t>组合中，采用其他方法计提坏账准备的应收账款</w:t>
      </w:r>
    </w:p>
    <w:p>
      <w:pPr>
        <w:spacing w:line="240" w:lineRule="auto" w:before="9"/>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121"/>
        <w:gridCol w:w="2410"/>
        <w:gridCol w:w="1983"/>
        <w:gridCol w:w="1844"/>
      </w:tblGrid>
      <w:tr>
        <w:trPr>
          <w:trHeight w:val="346" w:hRule="exact"/>
        </w:trPr>
        <w:tc>
          <w:tcPr>
            <w:tcW w:w="312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6236"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8" w:hRule="exact"/>
        </w:trPr>
        <w:tc>
          <w:tcPr>
            <w:tcW w:w="3121" w:type="dxa"/>
            <w:vMerge/>
            <w:tcBorders>
              <w:left w:val="single" w:sz="6" w:space="0" w:color="000000"/>
              <w:bottom w:val="single" w:sz="6" w:space="0" w:color="000000"/>
              <w:right w:val="single" w:sz="6" w:space="0" w:color="000000"/>
            </w:tcBorders>
            <w:shd w:val="clear" w:color="auto" w:fill="D9D9D9"/>
          </w:tcPr>
          <w:p>
            <w:pP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9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2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83"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内部关联方组合</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81" w:right="0"/>
              <w:jc w:val="left"/>
              <w:rPr>
                <w:rFonts w:ascii="Times New Roman" w:hAnsi="Times New Roman" w:cs="Times New Roman" w:eastAsia="Times New Roman" w:hint="default"/>
                <w:sz w:val="18"/>
                <w:szCs w:val="18"/>
              </w:rPr>
            </w:pPr>
            <w:r>
              <w:rPr>
                <w:rFonts w:ascii="Times New Roman"/>
                <w:sz w:val="18"/>
              </w:rPr>
              <w:t>413,416.85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45" w:right="0"/>
              <w:jc w:val="left"/>
              <w:rPr>
                <w:rFonts w:ascii="Times New Roman" w:hAnsi="Times New Roman" w:cs="Times New Roman" w:eastAsia="Times New Roman" w:hint="default"/>
                <w:sz w:val="18"/>
                <w:szCs w:val="18"/>
              </w:rPr>
            </w:pPr>
            <w:r>
              <w:rPr>
                <w:rFonts w:ascii="Times New Roman"/>
                <w:sz w:val="18"/>
              </w:rPr>
              <w:t>20,670.84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5.00</w:t>
            </w:r>
          </w:p>
        </w:tc>
      </w:tr>
    </w:tbl>
    <w:p>
      <w:pPr>
        <w:spacing w:line="240" w:lineRule="auto" w:before="2"/>
        <w:rPr>
          <w:rFonts w:ascii="宋体" w:hAnsi="宋体" w:cs="宋体" w:eastAsia="宋体" w:hint="default"/>
          <w:sz w:val="24"/>
          <w:szCs w:val="24"/>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before="102"/>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1,473,971.84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before="10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按欠款方归集的期末余额前五名的应收账款情况</w:t>
      </w:r>
    </w:p>
    <w:p>
      <w:pPr>
        <w:spacing w:line="240" w:lineRule="auto" w:before="3"/>
        <w:rPr>
          <w:rFonts w:ascii="宋体" w:hAnsi="宋体" w:cs="宋体" w:eastAsia="宋体" w:hint="default"/>
          <w:sz w:val="21"/>
          <w:szCs w:val="21"/>
        </w:rPr>
      </w:pPr>
    </w:p>
    <w:p>
      <w:pPr>
        <w:pStyle w:val="Heading6"/>
        <w:spacing w:line="240" w:lineRule="auto"/>
        <w:ind w:right="1133" w:firstLine="0"/>
        <w:jc w:val="left"/>
        <w:rPr>
          <w:rFonts w:ascii="宋体" w:hAnsi="宋体" w:cs="宋体" w:eastAsia="宋体" w:hint="default"/>
        </w:rPr>
      </w:pPr>
      <w:r>
        <w:rPr>
          <w:rFonts w:ascii="宋体"/>
        </w:rPr>
        <w:t>1.</w:t>
      </w:r>
    </w:p>
    <w:p>
      <w:pPr>
        <w:spacing w:line="240" w:lineRule="auto" w:before="4"/>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620"/>
        <w:gridCol w:w="1529"/>
        <w:gridCol w:w="1745"/>
        <w:gridCol w:w="1383"/>
        <w:gridCol w:w="1359"/>
      </w:tblGrid>
      <w:tr>
        <w:trPr>
          <w:trHeight w:val="658" w:hRule="exact"/>
        </w:trPr>
        <w:tc>
          <w:tcPr>
            <w:tcW w:w="36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3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7"/>
              <w:ind w:left="52" w:right="49"/>
              <w:jc w:val="left"/>
              <w:rPr>
                <w:rFonts w:ascii="宋体" w:hAnsi="宋体" w:cs="宋体" w:eastAsia="宋体" w:hint="default"/>
                <w:sz w:val="18"/>
                <w:szCs w:val="18"/>
              </w:rPr>
            </w:pPr>
            <w:r>
              <w:rPr>
                <w:rFonts w:ascii="宋体" w:hAnsi="宋体" w:cs="宋体" w:eastAsia="宋体" w:hint="default"/>
                <w:b/>
                <w:bCs/>
                <w:sz w:val="18"/>
                <w:szCs w:val="18"/>
              </w:rPr>
              <w:t>占应收账款年末</w:t>
            </w:r>
            <w:r>
              <w:rPr>
                <w:rFonts w:ascii="宋体" w:hAnsi="宋体" w:cs="宋体" w:eastAsia="宋体" w:hint="default"/>
                <w:b/>
                <w:bCs/>
                <w:w w:val="99"/>
                <w:sz w:val="18"/>
                <w:szCs w:val="18"/>
              </w:rPr>
              <w:t> </w:t>
            </w:r>
            <w:r>
              <w:rPr>
                <w:rFonts w:ascii="宋体" w:hAnsi="宋体" w:cs="宋体" w:eastAsia="宋体" w:hint="default"/>
                <w:b/>
                <w:bCs/>
                <w:sz w:val="18"/>
                <w:szCs w:val="18"/>
              </w:rPr>
              <w:t>余额合计数的比</w:t>
            </w:r>
            <w:r>
              <w:rPr>
                <w:rFonts w:ascii="宋体" w:hAnsi="宋体" w:cs="宋体" w:eastAsia="宋体" w:hint="default"/>
                <w:sz w:val="18"/>
                <w:szCs w:val="18"/>
              </w:rPr>
            </w:r>
          </w:p>
        </w:tc>
        <w:tc>
          <w:tcPr>
            <w:tcW w:w="13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7"/>
              <w:ind w:left="580" w:right="39" w:hanging="543"/>
              <w:jc w:val="left"/>
              <w:rPr>
                <w:rFonts w:ascii="宋体" w:hAnsi="宋体" w:cs="宋体" w:eastAsia="宋体" w:hint="default"/>
                <w:sz w:val="18"/>
                <w:szCs w:val="18"/>
              </w:rPr>
            </w:pPr>
            <w:r>
              <w:rPr>
                <w:rFonts w:ascii="宋体" w:hAnsi="宋体" w:cs="宋体" w:eastAsia="宋体" w:hint="default"/>
                <w:b/>
                <w:bCs/>
                <w:sz w:val="18"/>
                <w:szCs w:val="18"/>
              </w:rPr>
              <w:t>坏账准备年末余</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620"/>
        <w:gridCol w:w="1529"/>
        <w:gridCol w:w="1745"/>
        <w:gridCol w:w="1383"/>
        <w:gridCol w:w="1356"/>
      </w:tblGrid>
      <w:tr>
        <w:trPr>
          <w:trHeight w:val="348" w:hRule="exact"/>
        </w:trPr>
        <w:tc>
          <w:tcPr>
            <w:tcW w:w="3620"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52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745"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3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46"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56" w:type="dxa"/>
            <w:tcBorders>
              <w:top w:val="single" w:sz="6" w:space="0" w:color="000000"/>
              <w:left w:val="single" w:sz="6" w:space="0" w:color="000000"/>
              <w:bottom w:val="single" w:sz="6" w:space="0" w:color="000000"/>
              <w:right w:val="single" w:sz="6" w:space="0" w:color="000000"/>
            </w:tcBorders>
            <w:shd w:val="clear" w:color="auto" w:fill="D9D9D9"/>
          </w:tcPr>
          <w:p>
            <w:pPr/>
          </w:p>
        </w:tc>
      </w:tr>
      <w:tr>
        <w:trPr>
          <w:trHeight w:val="346"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海南亚特兰蒂斯商旅发展有限公司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7,550,613.00</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11.82</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377,530.65</w:t>
            </w:r>
          </w:p>
        </w:tc>
      </w:tr>
      <w:tr>
        <w:trPr>
          <w:trHeight w:val="34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淘宝</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软件有限公司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6,429,144.33</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10.06</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321,457.22</w:t>
            </w:r>
          </w:p>
        </w:tc>
      </w:tr>
      <w:tr>
        <w:trPr>
          <w:trHeight w:val="346"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星巴克企业管理（中国）有限公司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4,763,298.63</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7.45</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238,164.93</w:t>
            </w:r>
          </w:p>
        </w:tc>
      </w:tr>
      <w:tr>
        <w:trPr>
          <w:trHeight w:val="34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西安迈科商业中心有限公司君悦酒店分公司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3,079,248.00</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4.82</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153,962.40</w:t>
            </w:r>
          </w:p>
        </w:tc>
      </w:tr>
      <w:tr>
        <w:trPr>
          <w:trHeight w:val="65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西宁万达广场投资有限公司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1,579,696.58</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r>
              <w:rPr>
                <w:rFonts w:ascii="Times New Roman" w:hAnsi="Times New Roman" w:cs="Times New Roman" w:eastAsia="Times New Roman" w:hint="default"/>
                <w:sz w:val="18"/>
                <w:szCs w:val="18"/>
              </w:rPr>
              <w:t>1,473,573.43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年以上</w:t>
            </w:r>
            <w:r>
              <w:rPr>
                <w:rFonts w:ascii="Times New Roman" w:hAnsi="Times New Roman" w:cs="Times New Roman" w:eastAsia="Times New Roman" w:hint="default"/>
                <w:sz w:val="18"/>
                <w:szCs w:val="18"/>
              </w:rPr>
              <w:t>106,123.15</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2.47</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400,837.84</w:t>
            </w:r>
          </w:p>
        </w:tc>
      </w:tr>
      <w:tr>
        <w:trPr>
          <w:trHeight w:val="34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b/>
                <w:spacing w:val="-1"/>
                <w:sz w:val="18"/>
              </w:rPr>
              <w:t>23,402,000.54</w:t>
            </w:r>
            <w:r>
              <w:rPr>
                <w:rFonts w:ascii="Times New Roman"/>
                <w:spacing w:val="-1"/>
                <w:sz w:val="18"/>
              </w:rPr>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b/>
                <w:sz w:val="18"/>
              </w:rPr>
              <w:t>36.62</w:t>
            </w:r>
            <w:r>
              <w:rPr>
                <w:rFonts w:ascii="Times New Roman"/>
                <w:sz w:val="18"/>
              </w:rPr>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b/>
                <w:spacing w:val="-1"/>
                <w:sz w:val="18"/>
              </w:rPr>
              <w:t>1,491,953.04</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7"/>
        <w:spacing w:line="240" w:lineRule="auto" w:before="36"/>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51,998,479.31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51,998,479.31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2,188,500,715.42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499,376,993.08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2,240,499,194.73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551,375,472.39</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0"/>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3"/>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27,840,000.00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杭州西软信息技术有限公司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23,675,548.49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23,675,548.49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482,930.82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482,930.82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51,998,479.31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51,998,479.31</w:t>
            </w:r>
          </w:p>
        </w:tc>
      </w:tr>
    </w:tbl>
    <w:p>
      <w:pPr>
        <w:spacing w:before="49"/>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年的应收股利</w:t>
      </w:r>
    </w:p>
    <w:p>
      <w:pPr>
        <w:spacing w:before="103"/>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08"/>
              <w:jc w:val="righ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1"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北京石基昆仑软件有限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7"/>
              <w:jc w:val="right"/>
              <w:rPr>
                <w:rFonts w:ascii="宋体" w:hAnsi="宋体" w:cs="宋体" w:eastAsia="宋体" w:hint="default"/>
                <w:sz w:val="18"/>
                <w:szCs w:val="18"/>
              </w:rPr>
            </w:pPr>
            <w:r>
              <w:rPr>
                <w:rFonts w:ascii="宋体" w:hAnsi="宋体" w:cs="宋体" w:eastAsia="宋体" w:hint="default"/>
                <w:sz w:val="18"/>
                <w:szCs w:val="18"/>
              </w:rPr>
              <w:t>集团资金统一管理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杭州西软信息技术有限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23,675,548.49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7"/>
              <w:jc w:val="right"/>
              <w:rPr>
                <w:rFonts w:ascii="宋体" w:hAnsi="宋体" w:cs="宋体" w:eastAsia="宋体" w:hint="default"/>
                <w:sz w:val="18"/>
                <w:szCs w:val="18"/>
              </w:rPr>
            </w:pPr>
            <w:r>
              <w:rPr>
                <w:rFonts w:ascii="宋体" w:hAnsi="宋体" w:cs="宋体" w:eastAsia="宋体" w:hint="default"/>
                <w:sz w:val="18"/>
                <w:szCs w:val="18"/>
              </w:rPr>
              <w:t>集团资金统一管理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北海石基信息技术有限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482,930.82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7"/>
              <w:jc w:val="right"/>
              <w:rPr>
                <w:rFonts w:ascii="宋体" w:hAnsi="宋体" w:cs="宋体" w:eastAsia="宋体" w:hint="default"/>
                <w:sz w:val="18"/>
                <w:szCs w:val="18"/>
              </w:rPr>
            </w:pPr>
            <w:r>
              <w:rPr>
                <w:rFonts w:ascii="宋体" w:hAnsi="宋体" w:cs="宋体" w:eastAsia="宋体" w:hint="default"/>
                <w:sz w:val="18"/>
                <w:szCs w:val="18"/>
              </w:rPr>
              <w:t>集团资金统一管理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51,998,479.31</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1"/>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3"/>
        <w:gridCol w:w="1133"/>
        <w:gridCol w:w="579"/>
        <w:gridCol w:w="946"/>
        <w:gridCol w:w="763"/>
        <w:gridCol w:w="787"/>
        <w:gridCol w:w="908"/>
        <w:gridCol w:w="566"/>
        <w:gridCol w:w="994"/>
        <w:gridCol w:w="697"/>
        <w:gridCol w:w="931"/>
      </w:tblGrid>
      <w:tr>
        <w:trPr>
          <w:trHeight w:val="402"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20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center"/>
              <w:rPr>
                <w:rFonts w:ascii="宋体" w:hAnsi="宋体" w:cs="宋体" w:eastAsia="宋体" w:hint="default"/>
                <w:sz w:val="18"/>
                <w:szCs w:val="18"/>
              </w:rPr>
            </w:pPr>
            <w:r>
              <w:rPr>
                <w:rFonts w:ascii="宋体" w:hAnsi="宋体" w:cs="宋体" w:eastAsia="宋体" w:hint="default"/>
                <w:spacing w:val="-31"/>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 w:right="0"/>
              <w:jc w:val="center"/>
              <w:rPr>
                <w:rFonts w:ascii="宋体" w:hAnsi="宋体" w:cs="宋体" w:eastAsia="宋体" w:hint="default"/>
                <w:sz w:val="18"/>
                <w:szCs w:val="18"/>
              </w:rPr>
            </w:pPr>
            <w:r>
              <w:rPr>
                <w:rFonts w:ascii="宋体" w:hAnsi="宋体" w:cs="宋体" w:eastAsia="宋体" w:hint="default"/>
                <w:spacing w:val="-31"/>
                <w:sz w:val="18"/>
                <w:szCs w:val="18"/>
              </w:rPr>
              <w:t>期初余额</w:t>
            </w:r>
          </w:p>
        </w:tc>
      </w:tr>
      <w:tr>
        <w:trPr>
          <w:trHeight w:val="205" w:hRule="exact"/>
        </w:trPr>
        <w:tc>
          <w:tcPr>
            <w:tcW w:w="12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39"/>
                <w:sz w:val="18"/>
                <w:szCs w:val="18"/>
              </w:rPr>
              <w:t>类别</w:t>
            </w:r>
            <w:r>
              <w:rPr>
                <w:rFonts w:ascii="宋体" w:hAnsi="宋体" w:cs="宋体" w:eastAsia="宋体" w:hint="default"/>
                <w:sz w:val="18"/>
                <w:szCs w:val="18"/>
              </w:rPr>
            </w:r>
          </w:p>
        </w:tc>
        <w:tc>
          <w:tcPr>
            <w:tcW w:w="17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78" w:right="0"/>
              <w:jc w:val="left"/>
              <w:rPr>
                <w:rFonts w:ascii="宋体" w:hAnsi="宋体" w:cs="宋体" w:eastAsia="宋体" w:hint="default"/>
                <w:sz w:val="18"/>
                <w:szCs w:val="18"/>
              </w:rPr>
            </w:pPr>
            <w:r>
              <w:rPr>
                <w:rFonts w:ascii="宋体" w:hAnsi="宋体" w:cs="宋体" w:eastAsia="宋体" w:hint="default"/>
                <w:spacing w:val="-31"/>
                <w:sz w:val="18"/>
                <w:szCs w:val="18"/>
              </w:rPr>
              <w:t>账面余额</w:t>
            </w:r>
          </w:p>
        </w:tc>
        <w:tc>
          <w:tcPr>
            <w:tcW w:w="170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71" w:right="0"/>
              <w:jc w:val="left"/>
              <w:rPr>
                <w:rFonts w:ascii="宋体" w:hAnsi="宋体" w:cs="宋体" w:eastAsia="宋体" w:hint="default"/>
                <w:sz w:val="18"/>
                <w:szCs w:val="18"/>
              </w:rPr>
            </w:pPr>
            <w:r>
              <w:rPr>
                <w:rFonts w:ascii="宋体" w:hAnsi="宋体" w:cs="宋体" w:eastAsia="宋体" w:hint="default"/>
                <w:spacing w:val="-31"/>
                <w:sz w:val="18"/>
                <w:szCs w:val="18"/>
              </w:rPr>
              <w:t>坏账准备</w:t>
            </w: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53" w:right="0"/>
              <w:jc w:val="left"/>
              <w:rPr>
                <w:rFonts w:ascii="宋体" w:hAnsi="宋体" w:cs="宋体" w:eastAsia="宋体" w:hint="default"/>
                <w:sz w:val="18"/>
                <w:szCs w:val="18"/>
              </w:rPr>
            </w:pPr>
            <w:r>
              <w:rPr>
                <w:rFonts w:ascii="宋体" w:hAnsi="宋体" w:cs="宋体" w:eastAsia="宋体" w:hint="default"/>
                <w:spacing w:val="-31"/>
                <w:sz w:val="18"/>
                <w:szCs w:val="18"/>
              </w:rPr>
              <w:t>账面余额</w:t>
            </w:r>
          </w:p>
        </w:tc>
        <w:tc>
          <w:tcPr>
            <w:tcW w:w="16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pacing w:val="-31"/>
                <w:sz w:val="18"/>
                <w:szCs w:val="18"/>
              </w:rPr>
              <w:t>坏账准备</w:t>
            </w: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253" w:type="dxa"/>
            <w:vMerge/>
            <w:tcBorders>
              <w:left w:val="single" w:sz="4" w:space="0" w:color="000000"/>
              <w:bottom w:val="nil" w:sz="6" w:space="0" w:color="auto"/>
              <w:right w:val="single" w:sz="4" w:space="0" w:color="000000"/>
            </w:tcBorders>
            <w:shd w:val="clear" w:color="auto" w:fill="D2D2D2"/>
          </w:tcPr>
          <w:p>
            <w:pPr/>
          </w:p>
        </w:tc>
        <w:tc>
          <w:tcPr>
            <w:tcW w:w="1712" w:type="dxa"/>
            <w:gridSpan w:val="2"/>
            <w:vMerge/>
            <w:tcBorders>
              <w:left w:val="single" w:sz="4" w:space="0" w:color="000000"/>
              <w:bottom w:val="single" w:sz="4" w:space="0" w:color="000000"/>
              <w:right w:val="single" w:sz="4" w:space="0" w:color="000000"/>
            </w:tcBorders>
            <w:shd w:val="clear" w:color="auto" w:fill="D2D2D2"/>
          </w:tcPr>
          <w:p>
            <w:pPr/>
          </w:p>
        </w:tc>
        <w:tc>
          <w:tcPr>
            <w:tcW w:w="1709"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pacing w:val="-31"/>
                <w:sz w:val="18"/>
                <w:szCs w:val="18"/>
              </w:rPr>
              <w:t>账面价值</w:t>
            </w:r>
          </w:p>
        </w:tc>
        <w:tc>
          <w:tcPr>
            <w:tcW w:w="1474" w:type="dxa"/>
            <w:gridSpan w:val="2"/>
            <w:vMerge/>
            <w:tcBorders>
              <w:left w:val="single" w:sz="4" w:space="0" w:color="000000"/>
              <w:bottom w:val="single" w:sz="4" w:space="0" w:color="000000"/>
              <w:right w:val="single" w:sz="4" w:space="0" w:color="000000"/>
            </w:tcBorders>
            <w:shd w:val="clear" w:color="auto" w:fill="D2D2D2"/>
          </w:tcPr>
          <w:p>
            <w:pPr/>
          </w:p>
        </w:tc>
        <w:tc>
          <w:tcPr>
            <w:tcW w:w="16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pacing w:val="-31"/>
                <w:sz w:val="18"/>
                <w:szCs w:val="18"/>
              </w:rPr>
              <w:t>账面价值</w:t>
            </w:r>
          </w:p>
        </w:tc>
      </w:tr>
      <w:tr>
        <w:trPr>
          <w:trHeight w:val="197" w:hRule="exact"/>
        </w:trPr>
        <w:tc>
          <w:tcPr>
            <w:tcW w:w="1253" w:type="dxa"/>
            <w:vMerge w:val="restart"/>
            <w:tcBorders>
              <w:top w:val="nil" w:sz="6" w:space="0" w:color="auto"/>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pacing w:val="-39"/>
                <w:sz w:val="18"/>
                <w:szCs w:val="18"/>
              </w:rPr>
              <w:t>金额</w:t>
            </w:r>
            <w:r>
              <w:rPr>
                <w:rFonts w:ascii="宋体" w:hAnsi="宋体" w:cs="宋体" w:eastAsia="宋体" w:hint="default"/>
                <w:sz w:val="18"/>
                <w:szCs w:val="18"/>
              </w:rPr>
            </w:r>
          </w:p>
        </w:tc>
        <w:tc>
          <w:tcPr>
            <w:tcW w:w="5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pacing w:val="-39"/>
                <w:sz w:val="18"/>
                <w:szCs w:val="18"/>
              </w:rPr>
              <w:t>比例</w:t>
            </w:r>
            <w:r>
              <w:rPr>
                <w:rFonts w:ascii="宋体" w:hAnsi="宋体" w:cs="宋体" w:eastAsia="宋体" w:hint="default"/>
                <w:sz w:val="18"/>
                <w:szCs w:val="18"/>
              </w:rPr>
            </w:r>
          </w:p>
        </w:tc>
        <w:tc>
          <w:tcPr>
            <w:tcW w:w="9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9"/>
                <w:sz w:val="18"/>
                <w:szCs w:val="18"/>
              </w:rPr>
              <w:t>金额</w:t>
            </w:r>
            <w:r>
              <w:rPr>
                <w:rFonts w:ascii="宋体" w:hAnsi="宋体" w:cs="宋体" w:eastAsia="宋体" w:hint="default"/>
                <w:sz w:val="18"/>
                <w:szCs w:val="18"/>
              </w:rPr>
            </w: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pacing w:val="-31"/>
                <w:sz w:val="18"/>
                <w:szCs w:val="18"/>
              </w:rPr>
              <w:t>计提比例</w:t>
            </w:r>
          </w:p>
        </w:tc>
        <w:tc>
          <w:tcPr>
            <w:tcW w:w="787" w:type="dxa"/>
            <w:vMerge/>
            <w:tcBorders>
              <w:left w:val="single" w:sz="4" w:space="0" w:color="000000"/>
              <w:bottom w:val="nil" w:sz="6" w:space="0" w:color="auto"/>
              <w:right w:val="single" w:sz="4" w:space="0" w:color="000000"/>
            </w:tcBorders>
            <w:shd w:val="clear" w:color="auto" w:fill="D2D2D2"/>
          </w:tcPr>
          <w:p>
            <w:pPr/>
          </w:p>
        </w:tc>
        <w:tc>
          <w:tcPr>
            <w:tcW w:w="9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pacing w:val="-39"/>
                <w:sz w:val="18"/>
                <w:szCs w:val="18"/>
              </w:rPr>
              <w:t>金额</w:t>
            </w:r>
            <w:r>
              <w:rPr>
                <w:rFonts w:ascii="宋体" w:hAnsi="宋体" w:cs="宋体" w:eastAsia="宋体" w:hint="default"/>
                <w:sz w:val="18"/>
                <w:szCs w:val="18"/>
              </w:rPr>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pacing w:val="-39"/>
                <w:sz w:val="18"/>
                <w:szCs w:val="18"/>
              </w:rPr>
              <w:t>比例</w:t>
            </w:r>
            <w:r>
              <w:rPr>
                <w:rFonts w:ascii="宋体" w:hAnsi="宋体" w:cs="宋体" w:eastAsia="宋体" w:hint="default"/>
                <w:sz w:val="18"/>
                <w:szCs w:val="18"/>
              </w:rPr>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pacing w:val="-39"/>
                <w:sz w:val="18"/>
                <w:szCs w:val="18"/>
              </w:rPr>
              <w:t>金额</w:t>
            </w:r>
            <w:r>
              <w:rPr>
                <w:rFonts w:ascii="宋体" w:hAnsi="宋体" w:cs="宋体" w:eastAsia="宋体" w:hint="default"/>
                <w:sz w:val="18"/>
                <w:szCs w:val="18"/>
              </w:rPr>
            </w:r>
          </w:p>
        </w:tc>
        <w:tc>
          <w:tcPr>
            <w:tcW w:w="6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pacing w:val="-31"/>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579" w:type="dxa"/>
            <w:vMerge/>
            <w:tcBorders>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90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6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67"/>
              <w:jc w:val="both"/>
              <w:rPr>
                <w:rFonts w:ascii="宋体" w:hAnsi="宋体" w:cs="宋体" w:eastAsia="宋体" w:hint="default"/>
                <w:sz w:val="18"/>
                <w:szCs w:val="18"/>
              </w:rPr>
            </w:pPr>
            <w:r>
              <w:rPr>
                <w:rFonts w:ascii="宋体" w:hAnsi="宋体" w:cs="宋体" w:eastAsia="宋体" w:hint="default"/>
                <w:spacing w:val="-36"/>
                <w:sz w:val="18"/>
                <w:szCs w:val="18"/>
              </w:rPr>
              <w:t>按信用风险特征组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合计提坏账准备的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2"/>
                <w:sz w:val="18"/>
                <w:szCs w:val="18"/>
              </w:rPr>
              <w:t>其他应收款</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2,300,663,686.32</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7"/>
                <w:sz w:val="18"/>
              </w:rPr>
              <w:t>99.73%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115,055,474.90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5.00%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9"/>
                <w:sz w:val="18"/>
              </w:rPr>
              <w:t>2,185,608,21</w:t>
            </w:r>
          </w:p>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6"/>
                <w:sz w:val="18"/>
              </w:rPr>
              <w:t>1.42</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525,668,925.00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7"/>
                <w:sz w:val="18"/>
              </w:rPr>
              <w:t>99.61%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26,291,931.92</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5.00%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499,376,993.08</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68"/>
              <w:jc w:val="both"/>
              <w:rPr>
                <w:rFonts w:ascii="宋体" w:hAnsi="宋体" w:cs="宋体" w:eastAsia="宋体" w:hint="default"/>
                <w:sz w:val="18"/>
                <w:szCs w:val="18"/>
              </w:rPr>
            </w:pPr>
            <w:r>
              <w:rPr>
                <w:rFonts w:ascii="宋体" w:hAnsi="宋体" w:cs="宋体" w:eastAsia="宋体" w:hint="default"/>
                <w:spacing w:val="-36"/>
                <w:sz w:val="18"/>
                <w:szCs w:val="18"/>
              </w:rPr>
              <w:t>单项金额不重大但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单独计提坏账准备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4"/>
                <w:sz w:val="18"/>
                <w:szCs w:val="18"/>
              </w:rPr>
              <w:t>的其他应收款</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6,209,795.89</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0.27%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3,317,291.89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7"/>
                <w:sz w:val="18"/>
              </w:rPr>
              <w:t>53.42%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pacing w:val="-19"/>
                <w:sz w:val="18"/>
              </w:rPr>
              <w:t>2,892,504.00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2,077,323.97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2,077,323.97</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8"/>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63"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pacing w:val="-20"/>
                <w:sz w:val="18"/>
              </w:rPr>
              <w:t>2,306,873,482.21</w:t>
            </w:r>
          </w:p>
        </w:tc>
        <w:tc>
          <w:tcPr>
            <w:tcW w:w="57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1"/>
              <w:jc w:val="left"/>
              <w:rPr>
                <w:rFonts w:ascii="Times New Roman" w:hAnsi="Times New Roman" w:cs="Times New Roman" w:eastAsia="Times New Roman" w:hint="default"/>
                <w:sz w:val="18"/>
                <w:szCs w:val="18"/>
              </w:rPr>
            </w:pPr>
            <w:r>
              <w:rPr>
                <w:rFonts w:ascii="Times New Roman"/>
                <w:spacing w:val="-18"/>
                <w:sz w:val="18"/>
              </w:rPr>
              <w:t>100.00%</w:t>
            </w:r>
          </w:p>
        </w:tc>
        <w:tc>
          <w:tcPr>
            <w:tcW w:w="94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pacing w:val="-20"/>
                <w:sz w:val="18"/>
              </w:rPr>
              <w:t>118,372,766.79</w:t>
            </w:r>
          </w:p>
        </w:tc>
        <w:tc>
          <w:tcPr>
            <w:tcW w:w="763"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9"/>
                <w:sz w:val="18"/>
              </w:rPr>
              <w:t>2,188,500,71</w:t>
            </w:r>
          </w:p>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6"/>
                <w:sz w:val="18"/>
              </w:rPr>
              <w:t>5.42</w:t>
            </w:r>
          </w:p>
        </w:tc>
        <w:tc>
          <w:tcPr>
            <w:tcW w:w="90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pacing w:val="-20"/>
                <w:sz w:val="18"/>
              </w:rPr>
              <w:t>527,746,248.97</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2"/>
              <w:jc w:val="left"/>
              <w:rPr>
                <w:rFonts w:ascii="Times New Roman" w:hAnsi="Times New Roman" w:cs="Times New Roman" w:eastAsia="Times New Roman" w:hint="default"/>
                <w:sz w:val="18"/>
                <w:szCs w:val="18"/>
              </w:rPr>
            </w:pPr>
            <w:r>
              <w:rPr>
                <w:rFonts w:ascii="Times New Roman"/>
                <w:spacing w:val="-18"/>
                <w:sz w:val="18"/>
              </w:rPr>
              <w:t>100.00%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pacing w:val="-19"/>
                <w:sz w:val="18"/>
              </w:rPr>
              <w:t>28,369,255.89</w:t>
            </w:r>
          </w:p>
        </w:tc>
        <w:tc>
          <w:tcPr>
            <w:tcW w:w="6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pacing w:val="-20"/>
                <w:sz w:val="18"/>
              </w:rPr>
              <w:t>499,376,993.08</w:t>
            </w:r>
          </w:p>
        </w:tc>
      </w:tr>
      <w:tr>
        <w:trPr>
          <w:trHeight w:val="391"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9"/>
                <w:sz w:val="18"/>
                <w:szCs w:val="18"/>
              </w:rPr>
              <w:t>合计</w:t>
            </w:r>
            <w:r>
              <w:rPr>
                <w:rFonts w:ascii="宋体" w:hAnsi="宋体" w:cs="宋体" w:eastAsia="宋体" w:hint="default"/>
                <w:sz w:val="18"/>
                <w:szCs w:val="18"/>
              </w:rPr>
            </w:r>
          </w:p>
        </w:tc>
        <w:tc>
          <w:tcPr>
            <w:tcW w:w="1133" w:type="dxa"/>
            <w:vMerge/>
            <w:tcBorders>
              <w:left w:val="single" w:sz="10" w:space="0" w:color="D2D2D2"/>
              <w:right w:val="single" w:sz="4" w:space="0" w:color="000000"/>
            </w:tcBorders>
          </w:tcPr>
          <w:p>
            <w:pPr/>
          </w:p>
        </w:tc>
        <w:tc>
          <w:tcPr>
            <w:tcW w:w="579"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10" w:space="0" w:color="D2D2D2"/>
              <w:bottom w:val="single" w:sz="4" w:space="0" w:color="000000"/>
              <w:right w:val="single" w:sz="4" w:space="0" w:color="000000"/>
            </w:tcBorders>
          </w:tcPr>
          <w:p>
            <w:pPr/>
          </w:p>
        </w:tc>
        <w:tc>
          <w:tcPr>
            <w:tcW w:w="579"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9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3" w:space="435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3"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4"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4,549,852.10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227,492.60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4,549,852.10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227,492.60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8,520.00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41,435.00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20,717.50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4,729,147.10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347,990.10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56" w:lineRule="auto" w:before="94"/>
        <w:ind w:right="1122" w:firstLine="420"/>
        <w:jc w:val="left"/>
      </w:pPr>
      <w:r>
        <w:rPr/>
        <w:t>组合</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根据以前年度与之相同或类似的、按账龄段划分的具有类似信用风险特征的应收款项组合的实</w:t>
      </w:r>
      <w:r>
        <w:rPr>
          <w:w w:val="100"/>
        </w:rPr>
        <w:t> </w:t>
      </w:r>
      <w:r>
        <w:rPr/>
        <w:t>际损失率为基础，结合现实情况分析法对计算机及服务行业确定坏账准备计提的比例。</w:t>
      </w:r>
    </w:p>
    <w:p>
      <w:pPr>
        <w:spacing w:line="240" w:lineRule="auto" w:before="0"/>
        <w:rPr>
          <w:rFonts w:ascii="宋体" w:hAnsi="宋体" w:cs="宋体" w:eastAsia="宋体" w:hint="default"/>
          <w:sz w:val="20"/>
          <w:szCs w:val="20"/>
        </w:rPr>
      </w:pPr>
    </w:p>
    <w:p>
      <w:pPr>
        <w:spacing w:before="134"/>
        <w:ind w:left="152" w:right="1133"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4"/>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after="0" w:line="3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1"/>
          <w:szCs w:val="21"/>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tbl>
      <w:tblPr>
        <w:tblW w:w="0" w:type="auto"/>
        <w:jc w:val="left"/>
        <w:tblInd w:w="145" w:type="dxa"/>
        <w:tblLayout w:type="fixed"/>
        <w:tblCellMar>
          <w:top w:w="0" w:type="dxa"/>
          <w:left w:w="0" w:type="dxa"/>
          <w:bottom w:w="0" w:type="dxa"/>
          <w:right w:w="0" w:type="dxa"/>
        </w:tblCellMar>
        <w:tblLook w:val="01E0"/>
      </w:tblPr>
      <w:tblGrid>
        <w:gridCol w:w="2424"/>
        <w:gridCol w:w="2540"/>
        <w:gridCol w:w="2268"/>
        <w:gridCol w:w="2269"/>
      </w:tblGrid>
      <w:tr>
        <w:trPr>
          <w:trHeight w:val="348" w:hRule="exact"/>
        </w:trPr>
        <w:tc>
          <w:tcPr>
            <w:tcW w:w="242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7077"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6" w:hRule="exact"/>
        </w:trPr>
        <w:tc>
          <w:tcPr>
            <w:tcW w:w="2424" w:type="dxa"/>
            <w:vMerge/>
            <w:tcBorders>
              <w:left w:val="single" w:sz="6" w:space="0" w:color="000000"/>
              <w:bottom w:val="single" w:sz="6" w:space="0" w:color="000000"/>
              <w:right w:val="single" w:sz="6" w:space="0" w:color="000000"/>
            </w:tcBorders>
            <w:shd w:val="clear" w:color="auto" w:fill="D9D9D9"/>
          </w:tcPr>
          <w:p>
            <w:pPr/>
          </w:p>
        </w:tc>
        <w:tc>
          <w:tcPr>
            <w:tcW w:w="25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811"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2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94"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8"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内部关联方组合</w:t>
            </w:r>
          </w:p>
        </w:tc>
        <w:tc>
          <w:tcPr>
            <w:tcW w:w="2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2,294,149,695.92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114,707,484.80</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5.00</w:t>
            </w:r>
          </w:p>
        </w:tc>
      </w:tr>
      <w:tr>
        <w:trPr>
          <w:trHeight w:val="346"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备用金组合</w:t>
            </w:r>
          </w:p>
        </w:tc>
        <w:tc>
          <w:tcPr>
            <w:tcW w:w="2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1,784,843.30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b/>
                <w:spacing w:val="-1"/>
                <w:sz w:val="18"/>
              </w:rPr>
              <w:t>2,295,934,539.22</w:t>
            </w:r>
            <w:r>
              <w:rPr>
                <w:rFonts w:ascii="Times New Roman"/>
                <w:spacing w:val="-1"/>
                <w:sz w:val="18"/>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b/>
                <w:spacing w:val="-1"/>
                <w:sz w:val="18"/>
              </w:rPr>
              <w:t>114,707,484.80</w:t>
            </w:r>
            <w:r>
              <w:rPr>
                <w:rFonts w:ascii="Times New Roman"/>
                <w:spacing w:val="-1"/>
                <w:sz w:val="18"/>
              </w:rPr>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80" w:top="1100" w:bottom="1160" w:left="980" w:right="0"/>
        </w:sectPr>
      </w:pPr>
    </w:p>
    <w:p>
      <w:pPr>
        <w:spacing w:before="44"/>
        <w:ind w:left="152" w:right="-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before="101"/>
        <w:ind w:left="152" w:right="-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90,003,510.90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548" w:space="2281"/>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2,294,149,695.92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519,844,246.60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1,166,471.24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1,503,574.37</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1,784,843.30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1,429,391.62</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5,995,714.52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3,863,419.40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884,253.23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1,105,616.98</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员工行权款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2,892,504.00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2,306,873,482.21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527,746,248.97</w:t>
            </w:r>
          </w:p>
        </w:tc>
      </w:tr>
    </w:tbl>
    <w:p>
      <w:pPr>
        <w:spacing w:before="49"/>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按欠款方归集的期末余额前五名的其他应收款情况</w:t>
      </w:r>
    </w:p>
    <w:p>
      <w:pPr>
        <w:spacing w:before="101"/>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5"/>
        <w:gridCol w:w="1616"/>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石基（香港）有限公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718,431,746.94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31.14%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35,921,587.35</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银石科技有限公司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683,660,000.00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29.64%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34,183,000.00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北京长京益康信息科 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630,000,000.00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27.31%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31,500,000.00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上海石基信息技术有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104,679,586.56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5,233,979.33</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中国电子器件工业有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59,810,000.00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2,990,500.00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2,196,581,333.50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95.22%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109,829,066.68</w:t>
            </w:r>
          </w:p>
        </w:tc>
      </w:tr>
    </w:tbl>
    <w:p>
      <w:pPr>
        <w:spacing w:before="49"/>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涉及政府补助的应收款项</w:t>
      </w:r>
    </w:p>
    <w:p>
      <w:pPr>
        <w:spacing w:before="103"/>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136"/>
        <w:gridCol w:w="1133"/>
        <w:gridCol w:w="1136"/>
        <w:gridCol w:w="991"/>
        <w:gridCol w:w="5175"/>
      </w:tblGrid>
      <w:tr>
        <w:trPr>
          <w:trHeight w:val="71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1"/>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92" w:right="108" w:hanging="180"/>
              <w:jc w:val="left"/>
              <w:rPr>
                <w:rFonts w:ascii="宋体" w:hAnsi="宋体" w:cs="宋体" w:eastAsia="宋体" w:hint="default"/>
                <w:sz w:val="18"/>
                <w:szCs w:val="18"/>
              </w:rPr>
            </w:pPr>
            <w:r>
              <w:rPr>
                <w:rFonts w:ascii="宋体" w:hAnsi="宋体" w:cs="宋体" w:eastAsia="宋体" w:hint="default"/>
                <w:sz w:val="18"/>
                <w:szCs w:val="18"/>
              </w:rPr>
              <w:t>政府补助项 目名称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5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1" w:right="0"/>
              <w:jc w:val="left"/>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r>
        <w:trPr>
          <w:trHeight w:val="165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1"/>
              <w:jc w:val="right"/>
              <w:rPr>
                <w:rFonts w:ascii="宋体" w:hAnsi="宋体" w:cs="宋体" w:eastAsia="宋体" w:hint="default"/>
                <w:sz w:val="18"/>
                <w:szCs w:val="18"/>
              </w:rPr>
            </w:pPr>
            <w:r>
              <w:rPr>
                <w:rFonts w:ascii="宋体" w:hAnsi="宋体" w:cs="宋体" w:eastAsia="宋体" w:hint="default"/>
                <w:sz w:val="18"/>
                <w:szCs w:val="18"/>
              </w:rPr>
              <w:t>北京税务局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197"/>
              <w:jc w:val="left"/>
              <w:rPr>
                <w:rFonts w:ascii="宋体" w:hAnsi="宋体" w:cs="宋体" w:eastAsia="宋体" w:hint="default"/>
                <w:sz w:val="18"/>
                <w:szCs w:val="18"/>
              </w:rPr>
            </w:pPr>
            <w:r>
              <w:rPr>
                <w:rFonts w:ascii="宋体" w:hAnsi="宋体" w:cs="宋体" w:eastAsia="宋体" w:hint="default"/>
                <w:sz w:val="18"/>
                <w:szCs w:val="18"/>
              </w:rPr>
              <w:t>增值税即征 即退</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884,253.23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预计收取时间：</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日之前，金额：</w:t>
            </w:r>
            <w:r>
              <w:rPr>
                <w:rFonts w:ascii="Times New Roman" w:hAnsi="Times New Roman" w:cs="Times New Roman" w:eastAsia="Times New Roman" w:hint="default"/>
                <w:sz w:val="18"/>
                <w:szCs w:val="18"/>
              </w:rPr>
              <w:t>884,253.23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 </w:t>
            </w:r>
            <w:r>
              <w:rPr>
                <w:rFonts w:ascii="宋体" w:hAnsi="宋体" w:cs="宋体" w:eastAsia="宋体" w:hint="default"/>
                <w:sz w:val="18"/>
                <w:szCs w:val="18"/>
              </w:rPr>
              <w:t>依据：增值税返还系公司根据国务院</w:t>
            </w: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[2000]18</w:t>
            </w:r>
            <w:r>
              <w:rPr>
                <w:rFonts w:ascii="Times New Roman" w:hAnsi="Times New Roman" w:cs="Times New Roman" w:eastAsia="Times New Roman" w:hint="default"/>
                <w:spacing w:val="-21"/>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《鼓励软件</w:t>
            </w:r>
            <w:r>
              <w:rPr>
                <w:rFonts w:ascii="宋体" w:hAnsi="宋体" w:cs="宋体" w:eastAsia="宋体" w:hint="default"/>
                <w:sz w:val="18"/>
                <w:szCs w:val="18"/>
              </w:rPr>
              <w:t> 产业和集成电路产业发展的若干政策》及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[2011]4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 印发进一步鼓励软件产业和集成电路产业发展若干政策的通知》 的规定，报告期内应收到的自行开发软件销售增值税退税收入。</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9"/>
        <w:gridCol w:w="1366"/>
        <w:gridCol w:w="1368"/>
        <w:gridCol w:w="1366"/>
        <w:gridCol w:w="1369"/>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2,174,287,566.71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6,360,774.78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2,167,926,791.93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2,813,648,504.21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6,360,774.78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2,807,287,729.43</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167,836,384.16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167,836,384.16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164,327,510.85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164,327,510.85</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2,342,123,950.87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6,360,774.78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2,335,763,176.09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2,977,976,015.06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6,360,774.78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2,971,615,240.28</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5"/>
        <w:gridCol w:w="1334"/>
        <w:gridCol w:w="1335"/>
        <w:gridCol w:w="1390"/>
        <w:gridCol w:w="1390"/>
      </w:tblGrid>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上海石基信息技 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上海正品贵德软 件有限公司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19,929,000.00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21,129,000.00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6,360,774.78</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上海时运信息技 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15,201,562.50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2,320,312.50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12,881,250.00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4,640,625.00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北京石基昆仑软 件有限公司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杭州西软科技有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117,500,000.00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117,500,000.00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北京中长石基软 件有限公司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北海石基信息技 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6"/>
                <w:sz w:val="18"/>
                <w:szCs w:val="18"/>
              </w:rPr>
              <w:t>石基（香港）有限</w:t>
            </w:r>
            <w:r>
              <w:rPr>
                <w:rFonts w:ascii="宋体" w:hAnsi="宋体" w:cs="宋体" w:eastAsia="宋体" w:hint="default"/>
                <w:sz w:val="18"/>
                <w:szCs w:val="18"/>
              </w:rPr>
              <w:t>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930,933,500.00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930,933,500.00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5"/>
        <w:gridCol w:w="1334"/>
        <w:gridCol w:w="1335"/>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中国电子器件工 业有限公司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554,884,441.71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554,884,441.71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深圳市思迅软件 股份有限公司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北京长京益康信 息科技有限公司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百望金锐科技有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北京航信华仪软 件技术有限公司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石基商用信息技 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敏付科技有限公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2,813,648,504.21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3,520,312.50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642,881,250.00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2,174,287,566.71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6,360,774.78</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1046"/>
        <w:gridCol w:w="547"/>
        <w:gridCol w:w="797"/>
        <w:gridCol w:w="799"/>
        <w:gridCol w:w="797"/>
        <w:gridCol w:w="800"/>
        <w:gridCol w:w="797"/>
        <w:gridCol w:w="799"/>
        <w:gridCol w:w="797"/>
        <w:gridCol w:w="956"/>
        <w:gridCol w:w="641"/>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pacing w:val="-31"/>
                <w:sz w:val="18"/>
                <w:szCs w:val="18"/>
              </w:rPr>
              <w:t>投资单位</w:t>
            </w:r>
          </w:p>
        </w:tc>
        <w:tc>
          <w:tcPr>
            <w:tcW w:w="10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pacing w:val="-31"/>
                <w:sz w:val="18"/>
                <w:szCs w:val="18"/>
              </w:rPr>
              <w:t>期初余额</w:t>
            </w:r>
          </w:p>
        </w:tc>
        <w:tc>
          <w:tcPr>
            <w:tcW w:w="613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 w:right="0"/>
              <w:jc w:val="center"/>
              <w:rPr>
                <w:rFonts w:ascii="宋体" w:hAnsi="宋体" w:cs="宋体" w:eastAsia="宋体" w:hint="default"/>
                <w:sz w:val="18"/>
                <w:szCs w:val="18"/>
              </w:rPr>
            </w:pPr>
            <w:r>
              <w:rPr>
                <w:rFonts w:ascii="宋体" w:hAnsi="宋体" w:cs="宋体" w:eastAsia="宋体" w:hint="default"/>
                <w:spacing w:val="-34"/>
                <w:sz w:val="18"/>
                <w:szCs w:val="18"/>
              </w:rPr>
              <w:t>本期增减变动</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pacing w:val="-31"/>
                <w:sz w:val="18"/>
                <w:szCs w:val="18"/>
              </w:rPr>
              <w:t>期末余额</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5" w:right="-5"/>
              <w:jc w:val="left"/>
              <w:rPr>
                <w:rFonts w:ascii="宋体" w:hAnsi="宋体" w:cs="宋体" w:eastAsia="宋体" w:hint="default"/>
                <w:sz w:val="18"/>
                <w:szCs w:val="18"/>
              </w:rPr>
            </w:pPr>
            <w:r>
              <w:rPr>
                <w:rFonts w:ascii="宋体" w:hAnsi="宋体" w:cs="宋体" w:eastAsia="宋体" w:hint="default"/>
                <w:spacing w:val="-31"/>
                <w:sz w:val="18"/>
                <w:szCs w:val="18"/>
              </w:rPr>
              <w:t>减值准备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99" w:right="14" w:hanging="140"/>
              <w:jc w:val="left"/>
              <w:rPr>
                <w:rFonts w:ascii="宋体" w:hAnsi="宋体" w:cs="宋体" w:eastAsia="宋体" w:hint="default"/>
                <w:sz w:val="18"/>
                <w:szCs w:val="18"/>
              </w:rPr>
            </w:pPr>
            <w:r>
              <w:rPr>
                <w:rFonts w:ascii="宋体" w:hAnsi="宋体" w:cs="宋体" w:eastAsia="宋体" w:hint="default"/>
                <w:spacing w:val="-27"/>
                <w:sz w:val="18"/>
                <w:szCs w:val="18"/>
              </w:rPr>
              <w:t>追加投</w:t>
            </w:r>
            <w:r>
              <w:rPr>
                <w:rFonts w:ascii="宋体" w:hAnsi="宋体" w:cs="宋体" w:eastAsia="宋体" w:hint="default"/>
                <w:sz w:val="18"/>
                <w:szCs w:val="18"/>
              </w:rPr>
              <w:t> 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0"/>
              <w:jc w:val="right"/>
              <w:rPr>
                <w:rFonts w:ascii="宋体" w:hAnsi="宋体" w:cs="宋体" w:eastAsia="宋体" w:hint="default"/>
                <w:sz w:val="18"/>
                <w:szCs w:val="18"/>
              </w:rPr>
            </w:pPr>
            <w:r>
              <w:rPr>
                <w:rFonts w:ascii="宋体" w:hAnsi="宋体" w:cs="宋体" w:eastAsia="宋体" w:hint="default"/>
                <w:spacing w:val="-31"/>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 w:right="2"/>
              <w:jc w:val="center"/>
              <w:rPr>
                <w:rFonts w:ascii="宋体" w:hAnsi="宋体" w:cs="宋体" w:eastAsia="宋体" w:hint="default"/>
                <w:sz w:val="18"/>
                <w:szCs w:val="18"/>
              </w:rPr>
            </w:pPr>
            <w:r>
              <w:rPr>
                <w:rFonts w:ascii="宋体" w:hAnsi="宋体" w:cs="宋体" w:eastAsia="宋体" w:hint="default"/>
                <w:spacing w:val="-32"/>
                <w:sz w:val="18"/>
                <w:szCs w:val="18"/>
              </w:rPr>
              <w:t>权益法下确</w:t>
            </w:r>
            <w:r>
              <w:rPr>
                <w:rFonts w:ascii="宋体" w:hAnsi="宋体" w:cs="宋体" w:eastAsia="宋体" w:hint="default"/>
                <w:sz w:val="18"/>
                <w:szCs w:val="18"/>
              </w:rPr>
              <w:t> </w:t>
            </w:r>
            <w:r>
              <w:rPr>
                <w:rFonts w:ascii="宋体" w:hAnsi="宋体" w:cs="宋体" w:eastAsia="宋体" w:hint="default"/>
                <w:spacing w:val="-32"/>
                <w:sz w:val="18"/>
                <w:szCs w:val="18"/>
              </w:rPr>
              <w:t>认的投资损</w:t>
            </w:r>
            <w:r>
              <w:rPr>
                <w:rFonts w:ascii="宋体" w:hAnsi="宋体" w:cs="宋体" w:eastAsia="宋体" w:hint="default"/>
                <w:sz w:val="18"/>
                <w:szCs w:val="18"/>
              </w:rPr>
              <w:t> 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4" w:right="0" w:hanging="142"/>
              <w:jc w:val="left"/>
              <w:rPr>
                <w:rFonts w:ascii="宋体" w:hAnsi="宋体" w:cs="宋体" w:eastAsia="宋体" w:hint="default"/>
                <w:sz w:val="18"/>
                <w:szCs w:val="18"/>
              </w:rPr>
            </w:pPr>
            <w:r>
              <w:rPr>
                <w:rFonts w:ascii="宋体" w:hAnsi="宋体" w:cs="宋体" w:eastAsia="宋体" w:hint="default"/>
                <w:spacing w:val="-32"/>
                <w:sz w:val="18"/>
                <w:szCs w:val="18"/>
              </w:rPr>
              <w:t>其他综合收</w:t>
            </w:r>
            <w:r>
              <w:rPr>
                <w:rFonts w:ascii="宋体" w:hAnsi="宋体" w:cs="宋体" w:eastAsia="宋体" w:hint="default"/>
                <w:sz w:val="18"/>
                <w:szCs w:val="18"/>
              </w:rPr>
              <w:t> </w:t>
            </w:r>
            <w:r>
              <w:rPr>
                <w:rFonts w:ascii="宋体" w:hAnsi="宋体" w:cs="宋体" w:eastAsia="宋体" w:hint="default"/>
                <w:spacing w:val="-27"/>
                <w:sz w:val="18"/>
                <w:szCs w:val="18"/>
              </w:rPr>
              <w:t>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23" w:right="3" w:hanging="281"/>
              <w:jc w:val="left"/>
              <w:rPr>
                <w:rFonts w:ascii="宋体" w:hAnsi="宋体" w:cs="宋体" w:eastAsia="宋体" w:hint="default"/>
                <w:sz w:val="18"/>
                <w:szCs w:val="18"/>
              </w:rPr>
            </w:pPr>
            <w:r>
              <w:rPr>
                <w:rFonts w:ascii="宋体" w:hAnsi="宋体" w:cs="宋体" w:eastAsia="宋体" w:hint="default"/>
                <w:spacing w:val="-32"/>
                <w:sz w:val="18"/>
                <w:szCs w:val="18"/>
              </w:rPr>
              <w:t>其他权益变</w:t>
            </w:r>
            <w:r>
              <w:rPr>
                <w:rFonts w:ascii="宋体" w:hAnsi="宋体" w:cs="宋体" w:eastAsia="宋体" w:hint="default"/>
                <w:sz w:val="18"/>
                <w:szCs w:val="18"/>
              </w:rPr>
              <w:t> 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 w:right="0"/>
              <w:jc w:val="center"/>
              <w:rPr>
                <w:rFonts w:ascii="宋体" w:hAnsi="宋体" w:cs="宋体" w:eastAsia="宋体" w:hint="default"/>
                <w:sz w:val="18"/>
                <w:szCs w:val="18"/>
              </w:rPr>
            </w:pPr>
            <w:r>
              <w:rPr>
                <w:rFonts w:ascii="宋体" w:hAnsi="宋体" w:cs="宋体" w:eastAsia="宋体" w:hint="default"/>
                <w:spacing w:val="-32"/>
                <w:sz w:val="18"/>
                <w:szCs w:val="18"/>
              </w:rPr>
              <w:t>宣告发放现</w:t>
            </w:r>
            <w:r>
              <w:rPr>
                <w:rFonts w:ascii="宋体" w:hAnsi="宋体" w:cs="宋体" w:eastAsia="宋体" w:hint="default"/>
                <w:sz w:val="18"/>
                <w:szCs w:val="18"/>
              </w:rPr>
              <w:t> </w:t>
            </w:r>
            <w:r>
              <w:rPr>
                <w:rFonts w:ascii="宋体" w:hAnsi="宋体" w:cs="宋体" w:eastAsia="宋体" w:hint="default"/>
                <w:spacing w:val="-32"/>
                <w:sz w:val="18"/>
                <w:szCs w:val="18"/>
              </w:rPr>
              <w:t>金股利或利</w:t>
            </w:r>
            <w:r>
              <w:rPr>
                <w:rFonts w:ascii="宋体" w:hAnsi="宋体" w:cs="宋体" w:eastAsia="宋体" w:hint="default"/>
                <w:sz w:val="18"/>
                <w:szCs w:val="18"/>
              </w:rPr>
              <w:t> 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23" w:right="2" w:hanging="281"/>
              <w:jc w:val="left"/>
              <w:rPr>
                <w:rFonts w:ascii="宋体" w:hAnsi="宋体" w:cs="宋体" w:eastAsia="宋体" w:hint="default"/>
                <w:sz w:val="18"/>
                <w:szCs w:val="18"/>
              </w:rPr>
            </w:pPr>
            <w:r>
              <w:rPr>
                <w:rFonts w:ascii="宋体" w:hAnsi="宋体" w:cs="宋体" w:eastAsia="宋体" w:hint="default"/>
                <w:spacing w:val="-32"/>
                <w:sz w:val="18"/>
                <w:szCs w:val="18"/>
              </w:rPr>
              <w:t>计提减值准</w:t>
            </w:r>
            <w:r>
              <w:rPr>
                <w:rFonts w:ascii="宋体" w:hAnsi="宋体" w:cs="宋体" w:eastAsia="宋体" w:hint="default"/>
                <w:sz w:val="18"/>
                <w:szCs w:val="18"/>
              </w:rPr>
              <w:t> 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4" w:right="0"/>
              <w:jc w:val="left"/>
              <w:rPr>
                <w:rFonts w:ascii="宋体" w:hAnsi="宋体" w:cs="宋体" w:eastAsia="宋体" w:hint="default"/>
                <w:sz w:val="18"/>
                <w:szCs w:val="18"/>
              </w:rPr>
            </w:pPr>
            <w:r>
              <w:rPr>
                <w:rFonts w:ascii="宋体" w:hAnsi="宋体" w:cs="宋体" w:eastAsia="宋体" w:hint="default"/>
                <w:spacing w:val="-39"/>
                <w:sz w:val="18"/>
                <w:szCs w:val="18"/>
              </w:rPr>
              <w:t>其他</w:t>
            </w:r>
            <w:r>
              <w:rPr>
                <w:rFonts w:ascii="宋体" w:hAnsi="宋体" w:cs="宋体" w:eastAsia="宋体" w:hint="default"/>
                <w:sz w:val="18"/>
                <w:szCs w:val="18"/>
              </w:rPr>
            </w:r>
          </w:p>
        </w:tc>
        <w:tc>
          <w:tcPr>
            <w:tcW w:w="956"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34"/>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4"/>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pacing w:val="-32"/>
                <w:sz w:val="18"/>
                <w:szCs w:val="18"/>
              </w:rPr>
              <w:t>浙江未来酒</w:t>
            </w:r>
            <w:r>
              <w:rPr>
                <w:rFonts w:ascii="宋体" w:hAnsi="宋体" w:cs="宋体" w:eastAsia="宋体" w:hint="default"/>
                <w:sz w:val="18"/>
                <w:szCs w:val="18"/>
              </w:rPr>
              <w:t> </w:t>
            </w:r>
            <w:r>
              <w:rPr>
                <w:rFonts w:ascii="宋体" w:hAnsi="宋体" w:cs="宋体" w:eastAsia="宋体" w:hint="default"/>
                <w:spacing w:val="-32"/>
                <w:sz w:val="18"/>
                <w:szCs w:val="18"/>
              </w:rPr>
              <w:t>店网络技术</w:t>
            </w:r>
            <w:r>
              <w:rPr>
                <w:rFonts w:ascii="宋体" w:hAnsi="宋体" w:cs="宋体" w:eastAsia="宋体" w:hint="default"/>
                <w:sz w:val="18"/>
                <w:szCs w:val="18"/>
              </w:rPr>
              <w:t> </w:t>
            </w:r>
            <w:r>
              <w:rPr>
                <w:rFonts w:ascii="宋体" w:hAnsi="宋体" w:cs="宋体" w:eastAsia="宋体" w:hint="default"/>
                <w:spacing w:val="-31"/>
                <w:sz w:val="18"/>
                <w:szCs w:val="18"/>
              </w:rPr>
              <w:t>有限公司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7,437,747.14</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315,454.51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6"/>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7,753,201.65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pacing w:val="-32"/>
                <w:sz w:val="18"/>
                <w:szCs w:val="18"/>
              </w:rPr>
              <w:t>青岛海信智</w:t>
            </w:r>
            <w:r>
              <w:rPr>
                <w:rFonts w:ascii="宋体" w:hAnsi="宋体" w:cs="宋体" w:eastAsia="宋体" w:hint="default"/>
                <w:sz w:val="18"/>
                <w:szCs w:val="18"/>
              </w:rPr>
              <w:t> </w:t>
            </w:r>
            <w:r>
              <w:rPr>
                <w:rFonts w:ascii="宋体" w:hAnsi="宋体" w:cs="宋体" w:eastAsia="宋体" w:hint="default"/>
                <w:spacing w:val="-32"/>
                <w:sz w:val="18"/>
                <w:szCs w:val="18"/>
              </w:rPr>
              <w:t>能商用系统</w:t>
            </w:r>
            <w:r>
              <w:rPr>
                <w:rFonts w:ascii="宋体" w:hAnsi="宋体" w:cs="宋体" w:eastAsia="宋体" w:hint="default"/>
                <w:sz w:val="18"/>
                <w:szCs w:val="18"/>
              </w:rPr>
              <w:t> </w:t>
            </w:r>
            <w:r>
              <w:rPr>
                <w:rFonts w:ascii="宋体" w:hAnsi="宋体" w:cs="宋体" w:eastAsia="宋体" w:hint="default"/>
                <w:spacing w:val="-31"/>
                <w:sz w:val="18"/>
                <w:szCs w:val="18"/>
              </w:rPr>
              <w:t>有限公司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156,889,763.71</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5,656,978.80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6"/>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2,463,560.00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160,083,182.51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39"/>
                <w:sz w:val="18"/>
                <w:szCs w:val="18"/>
              </w:rPr>
              <w:t>小计</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20"/>
                <w:sz w:val="18"/>
              </w:rPr>
              <w:t>164,327,510.85</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9"/>
                <w:sz w:val="18"/>
              </w:rPr>
              <w:t>5,972,433.31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Times New Roman" w:hAnsi="Times New Roman" w:cs="Times New Roman" w:eastAsia="Times New Roman" w:hint="default"/>
                <w:sz w:val="18"/>
                <w:szCs w:val="18"/>
              </w:rPr>
            </w:pPr>
            <w:r>
              <w:rPr>
                <w:rFonts w:ascii="Times New Roman"/>
                <w:spacing w:val="-16"/>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9"/>
                <w:sz w:val="18"/>
              </w:rPr>
              <w:t>2,463,560.00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0"/>
                <w:sz w:val="18"/>
              </w:rPr>
              <w:t>167,836,384.16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9"/>
                <w:sz w:val="18"/>
                <w:szCs w:val="18"/>
              </w:rPr>
              <w:t>合计</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20"/>
                <w:sz w:val="18"/>
              </w:rPr>
              <w:t>164,327,510.85</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5,972,433.31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6"/>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2,463,560.00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167,836,384.16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bl>
    <w:p>
      <w:pPr>
        <w:spacing w:line="240" w:lineRule="auto" w:before="3"/>
        <w:rPr>
          <w:rFonts w:ascii="宋体" w:hAnsi="宋体" w:cs="宋体" w:eastAsia="宋体" w:hint="default"/>
          <w:sz w:val="19"/>
          <w:szCs w:val="19"/>
        </w:rPr>
      </w:pPr>
    </w:p>
    <w:p>
      <w:pPr>
        <w:pStyle w:val="Heading7"/>
        <w:spacing w:line="240" w:lineRule="auto" w:before="36"/>
        <w:ind w:right="1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2"/>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547,873,023.27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382,653,303.11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407,742,081.24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265,768,911.04</w:t>
            </w:r>
          </w:p>
        </w:tc>
      </w:tr>
      <w:tr>
        <w:trPr>
          <w:trHeight w:val="40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875,636.20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21,334.37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632,052.44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21,236.98</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548,748,659.47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382,674,637.48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408,374,133.68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265,790,148.02</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42,075,000.00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236,785,000.00</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5,972,433.31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6,768,160.73</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22,516,193.09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15,981,045.21</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70,563,626.40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259,534,205.94</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十七、补充资料</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75,472.98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1,483,310.00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55,024,676.14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理财产品收益</w:t>
            </w: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71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49"/>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4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9"/>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6,060,052.92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-122,601.92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可供出售金融资产减值准备</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10,000,987.17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1,348,087.65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51,171,835.30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9"/>
        <w:gridCol w:w="1844"/>
        <w:gridCol w:w="6308"/>
      </w:tblGrid>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6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3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96,622,079.81</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增值税退税收入系公司根据国务院</w:t>
            </w: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[2000]18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《鼓励软件产业和集成电路 </w:t>
            </w:r>
            <w:r>
              <w:rPr>
                <w:rFonts w:ascii="宋体" w:hAnsi="宋体" w:cs="宋体" w:eastAsia="宋体" w:hint="default"/>
                <w:spacing w:val="-3"/>
                <w:sz w:val="18"/>
                <w:szCs w:val="18"/>
              </w:rPr>
              <w:t>产业发展的若干政策》及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国发</w:t>
            </w:r>
            <w:r>
              <w:rPr>
                <w:rFonts w:ascii="Times New Roman" w:hAnsi="Times New Roman" w:cs="Times New Roman" w:eastAsia="Times New Roman" w:hint="default"/>
                <w:spacing w:val="-3"/>
                <w:sz w:val="18"/>
                <w:szCs w:val="18"/>
              </w:rPr>
              <w:t>[2011]4</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《关于印发进一步鼓励软件产业和集成</w:t>
            </w:r>
            <w:r>
              <w:rPr>
                <w:rFonts w:ascii="宋体" w:hAnsi="宋体" w:cs="宋体" w:eastAsia="宋体" w:hint="default"/>
                <w:spacing w:val="-84"/>
                <w:sz w:val="18"/>
                <w:szCs w:val="18"/>
              </w:rPr>
              <w:t> </w:t>
            </w:r>
            <w:r>
              <w:rPr>
                <w:rFonts w:ascii="宋体" w:hAnsi="宋体" w:cs="宋体" w:eastAsia="宋体" w:hint="default"/>
                <w:spacing w:val="-2"/>
                <w:sz w:val="18"/>
                <w:szCs w:val="18"/>
              </w:rPr>
              <w:t>电路产业发展若干政策的通知》的规定，报告期内应收到的自行开发软件销售增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值税退税收入，由于该收入预计可以持续获得，故将其不作为非经常性损益。</w:t>
            </w:r>
          </w:p>
        </w:tc>
      </w:tr>
    </w:tbl>
    <w:p>
      <w:pPr>
        <w:spacing w:after="0" w:line="307" w:lineRule="auto"/>
        <w:jc w:val="both"/>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4"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0.43</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0.39</w:t>
            </w:r>
          </w:p>
        </w:tc>
      </w:tr>
    </w:tbl>
    <w:p>
      <w:pPr>
        <w:spacing w:line="240" w:lineRule="auto" w:before="3"/>
        <w:rPr>
          <w:rFonts w:ascii="宋体" w:hAnsi="宋体" w:cs="宋体" w:eastAsia="宋体" w:hint="default"/>
          <w:b/>
          <w:bCs/>
          <w:sz w:val="19"/>
          <w:szCs w:val="19"/>
        </w:rPr>
      </w:pPr>
    </w:p>
    <w:p>
      <w:pPr>
        <w:pStyle w:val="Heading7"/>
        <w:spacing w:line="240" w:lineRule="auto" w:before="36"/>
        <w:ind w:right="113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113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40" w:lineRule="auto"/>
        <w:ind w:right="113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59" w:lineRule="auto"/>
        <w:ind w:right="113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1"/>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不适用</w:t>
      </w:r>
    </w:p>
    <w:p>
      <w:pPr>
        <w:pStyle w:val="Heading7"/>
        <w:spacing w:line="600" w:lineRule="atLeast" w:before="46"/>
        <w:ind w:right="9278"/>
        <w:jc w:val="left"/>
        <w:rPr>
          <w:b w:val="0"/>
          <w:bCs w:val="0"/>
        </w:rPr>
      </w:pPr>
      <w:r>
        <w:rPr>
          <w:rFonts w:ascii="Times New Roman" w:hAnsi="Times New Roman" w:cs="Times New Roman" w:eastAsia="Times New Roman" w:hint="default"/>
        </w:rPr>
        <w:t>4</w:t>
      </w:r>
      <w:r>
        <w:rPr/>
        <w:t>、其他</w:t>
      </w:r>
      <w:r>
        <w:rPr>
          <w:w w:val="100"/>
        </w:rPr>
        <w:t> </w:t>
      </w:r>
      <w:r>
        <w:rPr/>
        <w:t>资产负债表项目</w:t>
      </w:r>
      <w:r>
        <w:rPr>
          <w:b w:val="0"/>
          <w:bCs w:val="0"/>
        </w:rPr>
      </w:r>
    </w:p>
    <w:p>
      <w:pPr>
        <w:pStyle w:val="BodyText"/>
        <w:spacing w:line="256" w:lineRule="auto" w:before="37"/>
        <w:ind w:left="513" w:right="1133" w:hanging="361"/>
        <w:jc w:val="left"/>
      </w:pPr>
      <w:r>
        <w:rPr>
          <w:rFonts w:ascii="宋体" w:hAnsi="宋体" w:cs="宋体" w:eastAsia="宋体" w:hint="default"/>
        </w:rPr>
        <w:t>1. </w:t>
      </w:r>
      <w:r>
        <w:rPr>
          <w:spacing w:val="-3"/>
        </w:rPr>
        <w:t>货币资金本期比期初增长</w:t>
      </w:r>
      <w:r>
        <w:rPr>
          <w:rFonts w:ascii="Times New Roman" w:hAnsi="Times New Roman" w:cs="Times New Roman" w:eastAsia="Times New Roman" w:hint="default"/>
          <w:spacing w:val="-3"/>
        </w:rPr>
        <w:t>236.31%</w:t>
      </w:r>
      <w:r>
        <w:rPr>
          <w:spacing w:val="-3"/>
        </w:rPr>
        <w:t>，主要系公司全资子公司石基（香港）将其全资持有的石基零售</w:t>
      </w:r>
      <w:r>
        <w:rPr>
          <w:rFonts w:ascii="Times New Roman" w:hAnsi="Times New Roman" w:cs="Times New Roman" w:eastAsia="Times New Roman" w:hint="default"/>
          <w:spacing w:val="-3"/>
        </w:rPr>
        <w:t>38%</w:t>
      </w:r>
      <w:r>
        <w:rPr>
          <w:rFonts w:ascii="Times New Roman" w:hAnsi="Times New Roman" w:cs="Times New Roman" w:eastAsia="Times New Roman" w:hint="default"/>
          <w:spacing w:val="-23"/>
        </w:rPr>
        <w:t> </w:t>
      </w:r>
      <w:r>
        <w:rPr/>
        <w:t>的股权以</w:t>
      </w:r>
      <w:r>
        <w:rPr>
          <w:rFonts w:ascii="Times New Roman" w:hAnsi="Times New Roman" w:cs="Times New Roman" w:eastAsia="Times New Roman" w:hint="default"/>
        </w:rPr>
        <w:t>4.86</w:t>
      </w:r>
      <w:r>
        <w:rPr/>
        <w:t>亿美元的价格转让给</w:t>
      </w:r>
      <w:r>
        <w:rPr>
          <w:rFonts w:ascii="Times New Roman" w:hAnsi="Times New Roman" w:cs="Times New Roman" w:eastAsia="Times New Roman" w:hint="default"/>
        </w:rPr>
        <w:t>Alibaba SJ Investment</w:t>
      </w:r>
      <w:r>
        <w:rPr>
          <w:rFonts w:ascii="Times New Roman" w:hAnsi="Times New Roman" w:cs="Times New Roman" w:eastAsia="Times New Roman" w:hint="default"/>
          <w:spacing w:val="-17"/>
        </w:rPr>
        <w:t> </w:t>
      </w:r>
      <w:r>
        <w:rPr>
          <w:rFonts w:ascii="Times New Roman" w:hAnsi="Times New Roman" w:cs="Times New Roman" w:eastAsia="Times New Roman" w:hint="default"/>
        </w:rPr>
        <w:t>Limited</w:t>
      </w:r>
      <w:r>
        <w:rPr/>
        <w:t>，已收到全部股权转让款所致。</w:t>
      </w:r>
    </w:p>
    <w:p>
      <w:pPr>
        <w:pStyle w:val="BodyText"/>
        <w:spacing w:line="240" w:lineRule="auto" w:before="5"/>
        <w:ind w:right="1133"/>
        <w:jc w:val="left"/>
      </w:pPr>
      <w:r>
        <w:rPr>
          <w:rFonts w:ascii="宋体" w:hAnsi="宋体" w:cs="宋体" w:eastAsia="宋体" w:hint="default"/>
        </w:rPr>
        <w:t>2.</w:t>
      </w:r>
      <w:r>
        <w:rPr>
          <w:rFonts w:ascii="宋体" w:hAnsi="宋体" w:cs="宋体" w:eastAsia="宋体" w:hint="default"/>
          <w:spacing w:val="38"/>
        </w:rPr>
        <w:t> </w:t>
      </w:r>
      <w:r>
        <w:rPr/>
        <w:t>应收票据本期比期初增长</w:t>
      </w:r>
      <w:r>
        <w:rPr>
          <w:rFonts w:ascii="Times New Roman" w:hAnsi="Times New Roman" w:cs="Times New Roman" w:eastAsia="Times New Roman" w:hint="default"/>
        </w:rPr>
        <w:t>109.17%</w:t>
      </w:r>
      <w:r>
        <w:rPr/>
        <w:t>，主要系下属子公司收到的远期承兑票据增加较多所致。</w:t>
      </w:r>
    </w:p>
    <w:p>
      <w:pPr>
        <w:pStyle w:val="BodyText"/>
        <w:spacing w:line="256" w:lineRule="auto" w:before="21"/>
        <w:ind w:left="513" w:right="1120" w:hanging="361"/>
        <w:jc w:val="left"/>
      </w:pPr>
      <w:r>
        <w:rPr>
          <w:rFonts w:ascii="宋体" w:hAnsi="宋体" w:cs="宋体" w:eastAsia="宋体" w:hint="default"/>
        </w:rPr>
        <w:t>3.</w:t>
      </w:r>
      <w:r>
        <w:rPr>
          <w:rFonts w:ascii="宋体" w:hAnsi="宋体" w:cs="宋体" w:eastAsia="宋体" w:hint="default"/>
          <w:spacing w:val="97"/>
        </w:rPr>
        <w:t> </w:t>
      </w:r>
      <w:r>
        <w:rPr/>
        <w:t>其他应收款本期比期初增长</w:t>
      </w:r>
      <w:r>
        <w:rPr>
          <w:rFonts w:ascii="Times New Roman" w:hAnsi="Times New Roman" w:cs="Times New Roman" w:eastAsia="Times New Roman" w:hint="default"/>
        </w:rPr>
        <w:t>88.52%</w:t>
      </w:r>
      <w:r>
        <w:rPr/>
        <w:t>，主要系公司下属子公司石基（香港）收到的出售石基零售</w:t>
      </w:r>
      <w:r>
        <w:rPr>
          <w:rFonts w:ascii="Times New Roman" w:hAnsi="Times New Roman" w:cs="Times New Roman" w:eastAsia="Times New Roman" w:hint="default"/>
        </w:rPr>
        <w:t>38%</w:t>
      </w:r>
      <w:r>
        <w:rPr/>
        <w:t>少</w:t>
      </w:r>
      <w:r>
        <w:rPr>
          <w:spacing w:val="-102"/>
        </w:rPr>
        <w:t> </w:t>
      </w:r>
      <w:r>
        <w:rPr/>
        <w:t>数股权的股权转让款较多，导致应收的银行存款利息较多所致。</w:t>
      </w:r>
    </w:p>
    <w:p>
      <w:pPr>
        <w:pStyle w:val="BodyText"/>
        <w:spacing w:line="240" w:lineRule="auto" w:before="22"/>
        <w:ind w:right="1133"/>
        <w:jc w:val="left"/>
      </w:pPr>
      <w:r>
        <w:rPr>
          <w:rFonts w:ascii="宋体" w:hAnsi="宋体" w:cs="宋体" w:eastAsia="宋体" w:hint="default"/>
        </w:rPr>
        <w:t>4.</w:t>
      </w:r>
      <w:r>
        <w:rPr>
          <w:rFonts w:ascii="宋体" w:hAnsi="宋体" w:cs="宋体" w:eastAsia="宋体" w:hint="default"/>
          <w:spacing w:val="40"/>
        </w:rPr>
        <w:t> </w:t>
      </w:r>
      <w:r>
        <w:rPr/>
        <w:t>其他流动资产本期比期初下降</w:t>
      </w:r>
      <w:r>
        <w:rPr>
          <w:rFonts w:ascii="Times New Roman" w:hAnsi="Times New Roman" w:cs="Times New Roman" w:eastAsia="Times New Roman" w:hint="default"/>
        </w:rPr>
        <w:t>84.76%</w:t>
      </w:r>
      <w:r>
        <w:rPr/>
        <w:t>，主要系年底持有的未到期银行理财产品减少所致。</w:t>
      </w:r>
    </w:p>
    <w:p>
      <w:pPr>
        <w:pStyle w:val="BodyText"/>
        <w:spacing w:line="256" w:lineRule="auto" w:before="21"/>
        <w:ind w:left="513" w:right="1133" w:hanging="361"/>
        <w:jc w:val="left"/>
      </w:pPr>
      <w:r>
        <w:rPr>
          <w:rFonts w:ascii="宋体" w:hAnsi="宋体" w:cs="宋体" w:eastAsia="宋体" w:hint="default"/>
        </w:rPr>
        <w:t>5. </w:t>
      </w:r>
      <w:r>
        <w:rPr/>
        <w:t>可供出售金融资产本期比期初下降</w:t>
      </w:r>
      <w:r>
        <w:rPr>
          <w:rFonts w:ascii="Times New Roman" w:hAnsi="Times New Roman" w:cs="Times New Roman" w:eastAsia="Times New Roman" w:hint="default"/>
        </w:rPr>
        <w:t>94.92%</w:t>
      </w:r>
      <w:r>
        <w:rPr/>
        <w:t>，主要系下属子公司石基（香港）对</w:t>
      </w:r>
      <w:r>
        <w:rPr>
          <w:rFonts w:ascii="Times New Roman" w:hAnsi="Times New Roman" w:cs="Times New Roman" w:eastAsia="Times New Roman" w:hint="default"/>
        </w:rPr>
        <w:t>Kalibri Labs LLC</w:t>
      </w:r>
      <w:r>
        <w:rPr/>
        <w:t>以及</w:t>
      </w:r>
      <w:r>
        <w:rPr>
          <w:spacing w:val="-86"/>
        </w:rPr>
        <w:t> </w:t>
      </w:r>
      <w:r>
        <w:rPr>
          <w:rFonts w:ascii="Times New Roman" w:hAnsi="Times New Roman" w:cs="Times New Roman" w:eastAsia="Times New Roman" w:hint="default"/>
        </w:rPr>
        <w:t>StayNTouch</w:t>
      </w:r>
      <w:r>
        <w:rPr/>
        <w:t>公司追加投资，转为长期股权投资所致。</w:t>
      </w:r>
    </w:p>
    <w:p>
      <w:pPr>
        <w:pStyle w:val="BodyText"/>
        <w:spacing w:line="240" w:lineRule="auto" w:before="5"/>
        <w:ind w:right="1133"/>
        <w:jc w:val="left"/>
      </w:pPr>
      <w:r>
        <w:rPr>
          <w:rFonts w:ascii="宋体" w:hAnsi="宋体" w:cs="宋体" w:eastAsia="宋体" w:hint="default"/>
        </w:rPr>
        <w:t>6.</w:t>
      </w:r>
      <w:r>
        <w:rPr>
          <w:rFonts w:ascii="宋体" w:hAnsi="宋体" w:cs="宋体" w:eastAsia="宋体" w:hint="default"/>
          <w:spacing w:val="40"/>
        </w:rPr>
        <w:t> </w:t>
      </w:r>
      <w:r>
        <w:rPr/>
        <w:t>在建工程本期比期初增长</w:t>
      </w:r>
      <w:r>
        <w:rPr>
          <w:rFonts w:ascii="Times New Roman" w:hAnsi="Times New Roman" w:cs="Times New Roman" w:eastAsia="Times New Roman" w:hint="default"/>
        </w:rPr>
        <w:t>53.91%</w:t>
      </w:r>
      <w:r>
        <w:rPr/>
        <w:t>，主要系公司下属子公司中电器件办公楼更新改造所致。</w:t>
      </w:r>
    </w:p>
    <w:p>
      <w:pPr>
        <w:pStyle w:val="BodyText"/>
        <w:spacing w:line="256" w:lineRule="auto" w:before="21"/>
        <w:ind w:left="513" w:right="1120" w:hanging="361"/>
        <w:jc w:val="left"/>
      </w:pPr>
      <w:r>
        <w:rPr>
          <w:rFonts w:ascii="宋体" w:hAnsi="宋体" w:cs="宋体" w:eastAsia="宋体" w:hint="default"/>
        </w:rPr>
        <w:t>7.</w:t>
      </w:r>
      <w:r>
        <w:rPr>
          <w:rFonts w:ascii="宋体" w:hAnsi="宋体" w:cs="宋体" w:eastAsia="宋体" w:hint="default"/>
          <w:spacing w:val="61"/>
        </w:rPr>
        <w:t> </w:t>
      </w:r>
      <w:r>
        <w:rPr/>
        <w:t>无形资产本期较期初增长</w:t>
      </w:r>
      <w:r>
        <w:rPr>
          <w:rFonts w:ascii="Times New Roman" w:hAnsi="Times New Roman" w:cs="Times New Roman" w:eastAsia="Times New Roman" w:hint="default"/>
        </w:rPr>
        <w:t>58.41%</w:t>
      </w:r>
      <w:r>
        <w:rPr/>
        <w:t>，主要系海外子公司内部研发项目达到预定可使用状态，转入无形资</w:t>
      </w:r>
      <w:r>
        <w:rPr>
          <w:w w:val="100"/>
        </w:rPr>
        <w:t> </w:t>
      </w:r>
      <w:r>
        <w:rPr/>
        <w:t>产所致。</w:t>
      </w:r>
    </w:p>
    <w:p>
      <w:pPr>
        <w:pStyle w:val="BodyText"/>
        <w:spacing w:line="256" w:lineRule="auto" w:before="23"/>
        <w:ind w:left="513" w:right="1120" w:hanging="361"/>
        <w:jc w:val="left"/>
      </w:pPr>
      <w:r>
        <w:rPr>
          <w:rFonts w:ascii="宋体" w:hAnsi="宋体" w:cs="宋体" w:eastAsia="宋体" w:hint="default"/>
        </w:rPr>
        <w:t>8.</w:t>
      </w:r>
      <w:r>
        <w:rPr>
          <w:rFonts w:ascii="宋体" w:hAnsi="宋体" w:cs="宋体" w:eastAsia="宋体" w:hint="default"/>
          <w:spacing w:val="61"/>
        </w:rPr>
        <w:t> </w:t>
      </w:r>
      <w:r>
        <w:rPr/>
        <w:t>开发支出本期较期初下降</w:t>
      </w:r>
      <w:r>
        <w:rPr>
          <w:rFonts w:ascii="Times New Roman" w:hAnsi="Times New Roman" w:cs="Times New Roman" w:eastAsia="Times New Roman" w:hint="default"/>
        </w:rPr>
        <w:t>81.60%</w:t>
      </w:r>
      <w:r>
        <w:rPr/>
        <w:t>，主要系海外子公司内部研发项目达到预定可使用状态，转入无形资</w:t>
      </w:r>
      <w:r>
        <w:rPr>
          <w:w w:val="100"/>
        </w:rPr>
        <w:t> </w:t>
      </w:r>
      <w:r>
        <w:rPr/>
        <w:t>产，开发支出减少较多所致。</w:t>
      </w:r>
    </w:p>
    <w:p>
      <w:pPr>
        <w:pStyle w:val="BodyText"/>
        <w:spacing w:line="256" w:lineRule="auto" w:before="22"/>
        <w:ind w:left="513" w:right="1119" w:hanging="361"/>
        <w:jc w:val="left"/>
      </w:pPr>
      <w:r>
        <w:rPr>
          <w:rFonts w:ascii="宋体" w:hAnsi="宋体" w:cs="宋体" w:eastAsia="宋体" w:hint="default"/>
        </w:rPr>
        <w:t>9.</w:t>
      </w:r>
      <w:r>
        <w:rPr>
          <w:rFonts w:ascii="宋体" w:hAnsi="宋体" w:cs="宋体" w:eastAsia="宋体" w:hint="default"/>
          <w:spacing w:val="62"/>
        </w:rPr>
        <w:t> </w:t>
      </w:r>
      <w:r>
        <w:rPr/>
        <w:t>长期待摊费用本期较期初下降</w:t>
      </w:r>
      <w:r>
        <w:rPr>
          <w:rFonts w:ascii="Times New Roman" w:hAnsi="Times New Roman" w:cs="Times New Roman" w:eastAsia="Times New Roman" w:hint="default"/>
        </w:rPr>
        <w:t>30.26%</w:t>
      </w:r>
      <w:r>
        <w:rPr/>
        <w:t>，主要系本期按期摊销期初待摊费用，以及本期新增长期待摊费</w:t>
      </w:r>
      <w:r>
        <w:rPr>
          <w:w w:val="100"/>
        </w:rPr>
        <w:t> </w:t>
      </w:r>
      <w:r>
        <w:rPr/>
        <w:t>用较少共同所致。</w:t>
      </w:r>
    </w:p>
    <w:p>
      <w:pPr>
        <w:pStyle w:val="BodyText"/>
        <w:spacing w:line="240" w:lineRule="auto" w:before="22"/>
        <w:ind w:right="1133"/>
        <w:jc w:val="left"/>
      </w:pPr>
      <w:r>
        <w:rPr>
          <w:rFonts w:ascii="宋体" w:hAnsi="宋体" w:cs="宋体" w:eastAsia="宋体" w:hint="default"/>
        </w:rPr>
        <w:t>10.</w:t>
      </w:r>
      <w:r>
        <w:rPr>
          <w:rFonts w:ascii="宋体" w:hAnsi="宋体" w:cs="宋体" w:eastAsia="宋体" w:hint="default"/>
          <w:spacing w:val="14"/>
        </w:rPr>
        <w:t> </w:t>
      </w:r>
      <w:r>
        <w:rPr>
          <w:spacing w:val="-2"/>
        </w:rPr>
        <w:t>短期借款本期较期初下降</w:t>
      </w:r>
      <w:r>
        <w:rPr>
          <w:rFonts w:ascii="Times New Roman" w:hAnsi="Times New Roman" w:cs="Times New Roman" w:eastAsia="Times New Roman" w:hint="default"/>
          <w:spacing w:val="-2"/>
        </w:rPr>
        <w:t>100%</w:t>
      </w:r>
      <w:r>
        <w:rPr>
          <w:spacing w:val="-2"/>
        </w:rPr>
        <w:t>，主要系本公司下属子公司石基（香港）已归还借款所致。</w:t>
      </w:r>
    </w:p>
    <w:p>
      <w:pPr>
        <w:pStyle w:val="BodyText"/>
        <w:spacing w:line="240" w:lineRule="auto" w:before="21"/>
        <w:ind w:right="0"/>
        <w:jc w:val="left"/>
      </w:pPr>
      <w:r>
        <w:rPr>
          <w:rFonts w:ascii="宋体" w:hAnsi="宋体" w:cs="宋体" w:eastAsia="宋体" w:hint="default"/>
        </w:rPr>
        <w:t>11.</w:t>
      </w:r>
      <w:r>
        <w:rPr>
          <w:rFonts w:ascii="宋体" w:hAnsi="宋体" w:cs="宋体" w:eastAsia="宋体" w:hint="default"/>
          <w:spacing w:val="5"/>
        </w:rPr>
        <w:t> </w:t>
      </w:r>
      <w:r>
        <w:rPr>
          <w:spacing w:val="-1"/>
        </w:rPr>
        <w:t>应付票据及应付账款本期较期初下降</w:t>
      </w:r>
      <w:r>
        <w:rPr>
          <w:rFonts w:ascii="Times New Roman" w:hAnsi="Times New Roman" w:cs="Times New Roman" w:eastAsia="Times New Roman" w:hint="default"/>
          <w:spacing w:val="-1"/>
        </w:rPr>
        <w:t>42.07%</w:t>
      </w:r>
      <w:r>
        <w:rPr>
          <w:spacing w:val="-1"/>
        </w:rPr>
        <w:t>，主要系下属子公司中电器件公司应付票据和应付账款下</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40" w:lineRule="auto" w:before="36"/>
        <w:ind w:left="513" w:right="1133"/>
        <w:jc w:val="left"/>
      </w:pPr>
      <w:r>
        <w:rPr/>
        <w:t>降较多所致。</w:t>
      </w:r>
    </w:p>
    <w:p>
      <w:pPr>
        <w:pStyle w:val="BodyText"/>
        <w:spacing w:line="256" w:lineRule="auto" w:before="37"/>
        <w:ind w:left="513" w:right="1123" w:hanging="361"/>
        <w:jc w:val="left"/>
      </w:pPr>
      <w:r>
        <w:rPr>
          <w:rFonts w:ascii="宋体" w:hAnsi="宋体" w:cs="宋体" w:eastAsia="宋体" w:hint="default"/>
        </w:rPr>
        <w:t>12.</w:t>
      </w:r>
      <w:r>
        <w:rPr>
          <w:rFonts w:ascii="宋体" w:hAnsi="宋体" w:cs="宋体" w:eastAsia="宋体" w:hint="default"/>
          <w:spacing w:val="-47"/>
        </w:rPr>
        <w:t> </w:t>
      </w:r>
      <w:r>
        <w:rPr/>
        <w:t>应付职工薪酬本期较期初增长</w:t>
      </w:r>
      <w:r>
        <w:rPr>
          <w:rFonts w:ascii="Times New Roman" w:hAnsi="Times New Roman" w:cs="Times New Roman" w:eastAsia="Times New Roman" w:hint="default"/>
        </w:rPr>
        <w:t>67.97%</w:t>
      </w:r>
      <w:r>
        <w:rPr/>
        <w:t>，主要系本年集团整体员工人数及薪酬均有一定增长，计提未发</w:t>
      </w:r>
      <w:r>
        <w:rPr>
          <w:spacing w:val="-100"/>
        </w:rPr>
        <w:t> </w:t>
      </w:r>
      <w:r>
        <w:rPr>
          <w:spacing w:val="-100"/>
        </w:rPr>
      </w:r>
      <w:r>
        <w:rPr/>
        <w:t>放的</w:t>
      </w:r>
      <w:r>
        <w:rPr>
          <w:rFonts w:ascii="Times New Roman" w:hAnsi="Times New Roman" w:cs="Times New Roman" w:eastAsia="Times New Roman" w:hint="default"/>
        </w:rPr>
        <w:t>1</w:t>
      </w:r>
      <w:r>
        <w:rPr/>
        <w:t>个月工资金额增加，同时计提未发放的奖金及福利费增长所致。</w:t>
      </w:r>
    </w:p>
    <w:p>
      <w:pPr>
        <w:pStyle w:val="BodyText"/>
        <w:spacing w:line="256" w:lineRule="auto" w:before="5"/>
        <w:ind w:left="513" w:right="0" w:hanging="361"/>
        <w:jc w:val="left"/>
      </w:pPr>
      <w:r>
        <w:rPr>
          <w:rFonts w:ascii="宋体" w:hAnsi="宋体" w:cs="宋体" w:eastAsia="宋体" w:hint="default"/>
        </w:rPr>
        <w:t>13. </w:t>
      </w:r>
      <w:r>
        <w:rPr>
          <w:spacing w:val="-2"/>
        </w:rPr>
        <w:t>应交税费本期较期初增长</w:t>
      </w:r>
      <w:r>
        <w:rPr>
          <w:rFonts w:ascii="Times New Roman" w:hAnsi="Times New Roman" w:cs="Times New Roman" w:eastAsia="Times New Roman" w:hint="default"/>
          <w:spacing w:val="-2"/>
        </w:rPr>
        <w:t>106.54%</w:t>
      </w:r>
      <w:r>
        <w:rPr>
          <w:spacing w:val="-2"/>
        </w:rPr>
        <w:t>，主要系公司下属子公司石基（香港）出售石基零售</w:t>
      </w:r>
      <w:r>
        <w:rPr>
          <w:rFonts w:ascii="Times New Roman" w:hAnsi="Times New Roman" w:cs="Times New Roman" w:eastAsia="Times New Roman" w:hint="default"/>
          <w:spacing w:val="-2"/>
        </w:rPr>
        <w:t>38%</w:t>
      </w:r>
      <w:r>
        <w:rPr>
          <w:spacing w:val="-2"/>
        </w:rPr>
        <w:t>少数股权，</w:t>
      </w:r>
      <w:r>
        <w:rPr>
          <w:spacing w:val="-75"/>
        </w:rPr>
        <w:t> </w:t>
      </w:r>
      <w:r>
        <w:rPr>
          <w:spacing w:val="-75"/>
        </w:rPr>
      </w:r>
      <w:r>
        <w:rPr/>
        <w:t>计提的应交企业所得税较多所致。</w:t>
      </w:r>
    </w:p>
    <w:p>
      <w:pPr>
        <w:pStyle w:val="BodyText"/>
        <w:spacing w:line="240" w:lineRule="auto" w:before="22"/>
        <w:ind w:right="0"/>
        <w:jc w:val="left"/>
      </w:pPr>
      <w:r>
        <w:rPr>
          <w:rFonts w:ascii="宋体" w:hAnsi="宋体" w:cs="宋体" w:eastAsia="宋体" w:hint="default"/>
        </w:rPr>
        <w:t>14.</w:t>
      </w:r>
      <w:r>
        <w:rPr>
          <w:rFonts w:ascii="宋体" w:hAnsi="宋体" w:cs="宋体" w:eastAsia="宋体" w:hint="default"/>
          <w:spacing w:val="25"/>
        </w:rPr>
        <w:t> </w:t>
      </w:r>
      <w:r>
        <w:rPr>
          <w:spacing w:val="-2"/>
        </w:rPr>
        <w:t>其他应付款本期较期初增长</w:t>
      </w:r>
      <w:r>
        <w:rPr>
          <w:rFonts w:ascii="Times New Roman" w:hAnsi="Times New Roman" w:cs="Times New Roman" w:eastAsia="Times New Roman" w:hint="default"/>
          <w:spacing w:val="-2"/>
        </w:rPr>
        <w:t>123.34%</w:t>
      </w:r>
      <w:r>
        <w:rPr>
          <w:spacing w:val="-2"/>
        </w:rPr>
        <w:t>，主要系本期收到盒子信息公司支付的迅付股权转让保证金所致。</w:t>
      </w:r>
    </w:p>
    <w:p>
      <w:pPr>
        <w:pStyle w:val="BodyText"/>
        <w:spacing w:line="256" w:lineRule="auto" w:before="21"/>
        <w:ind w:left="513" w:right="1125" w:hanging="361"/>
        <w:jc w:val="left"/>
      </w:pPr>
      <w:r>
        <w:rPr>
          <w:rFonts w:ascii="宋体" w:hAnsi="宋体" w:cs="宋体" w:eastAsia="宋体" w:hint="default"/>
        </w:rPr>
        <w:t>15.</w:t>
      </w:r>
      <w:r>
        <w:rPr>
          <w:rFonts w:ascii="宋体" w:hAnsi="宋体" w:cs="宋体" w:eastAsia="宋体" w:hint="default"/>
          <w:spacing w:val="-64"/>
        </w:rPr>
        <w:t> </w:t>
      </w:r>
      <w:r>
        <w:rPr/>
        <w:t>一年内到期的非流动负债本期较期初下降</w:t>
      </w:r>
      <w:r>
        <w:rPr>
          <w:rFonts w:ascii="Times New Roman" w:hAnsi="Times New Roman" w:cs="Times New Roman" w:eastAsia="Times New Roman" w:hint="default"/>
        </w:rPr>
        <w:t>91.91%</w:t>
      </w:r>
      <w:r>
        <w:rPr/>
        <w:t>，主要系下属境外子公司</w:t>
      </w:r>
      <w:r>
        <w:rPr>
          <w:rFonts w:ascii="Times New Roman" w:hAnsi="Times New Roman" w:cs="Times New Roman" w:eastAsia="Times New Roman" w:hint="default"/>
        </w:rPr>
        <w:t>REVIEW</w:t>
      </w:r>
      <w:r>
        <w:rPr>
          <w:rFonts w:ascii="Times New Roman" w:hAnsi="Times New Roman" w:cs="Times New Roman" w:eastAsia="Times New Roman" w:hint="default"/>
          <w:spacing w:val="22"/>
        </w:rPr>
        <w:t> </w:t>
      </w:r>
      <w:r>
        <w:rPr>
          <w:rFonts w:ascii="Times New Roman" w:hAnsi="Times New Roman" w:cs="Times New Roman" w:eastAsia="Times New Roman" w:hint="default"/>
        </w:rPr>
        <w:t>RANK</w:t>
      </w:r>
      <w:r>
        <w:rPr/>
        <w:t>归还一年内</w:t>
      </w:r>
      <w:r>
        <w:rPr>
          <w:w w:val="100"/>
        </w:rPr>
        <w:t> </w:t>
      </w:r>
      <w:r>
        <w:rPr/>
        <w:t>到期的长期借款所致。</w:t>
      </w:r>
    </w:p>
    <w:p>
      <w:pPr>
        <w:pStyle w:val="BodyText"/>
        <w:spacing w:line="240" w:lineRule="auto" w:before="22"/>
        <w:ind w:right="1133"/>
        <w:jc w:val="left"/>
      </w:pPr>
      <w:r>
        <w:rPr>
          <w:rFonts w:ascii="宋体" w:hAnsi="宋体" w:cs="宋体" w:eastAsia="宋体" w:hint="default"/>
        </w:rPr>
        <w:t>16.</w:t>
      </w:r>
      <w:r>
        <w:rPr>
          <w:rFonts w:ascii="宋体" w:hAnsi="宋体" w:cs="宋体" w:eastAsia="宋体" w:hint="default"/>
          <w:spacing w:val="22"/>
        </w:rPr>
        <w:t> </w:t>
      </w:r>
      <w:r>
        <w:rPr>
          <w:spacing w:val="-2"/>
        </w:rPr>
        <w:t>其他流动负债本期较期初下降</w:t>
      </w:r>
      <w:r>
        <w:rPr>
          <w:rFonts w:ascii="Times New Roman" w:hAnsi="Times New Roman" w:cs="Times New Roman" w:eastAsia="Times New Roman" w:hint="default"/>
          <w:spacing w:val="-2"/>
        </w:rPr>
        <w:t>93.39%</w:t>
      </w:r>
      <w:r>
        <w:rPr>
          <w:spacing w:val="-2"/>
        </w:rPr>
        <w:t>，主要系根据股权转让协议支付的股权转让款较多所致。</w:t>
      </w:r>
    </w:p>
    <w:p>
      <w:pPr>
        <w:pStyle w:val="BodyText"/>
        <w:spacing w:line="256" w:lineRule="auto" w:before="21"/>
        <w:ind w:left="513" w:right="1133" w:hanging="361"/>
        <w:jc w:val="left"/>
      </w:pPr>
      <w:r>
        <w:rPr>
          <w:rFonts w:ascii="宋体" w:hAnsi="宋体" w:cs="宋体" w:eastAsia="宋体" w:hint="default"/>
        </w:rPr>
        <w:t>17. </w:t>
      </w:r>
      <w:r>
        <w:rPr>
          <w:spacing w:val="-4"/>
        </w:rPr>
        <w:t>长期借款本期较期初下降</w:t>
      </w:r>
      <w:r>
        <w:rPr>
          <w:rFonts w:ascii="Times New Roman" w:hAnsi="Times New Roman" w:cs="Times New Roman" w:eastAsia="Times New Roman" w:hint="default"/>
          <w:spacing w:val="-4"/>
        </w:rPr>
        <w:t>100.00%</w:t>
      </w:r>
      <w:r>
        <w:rPr>
          <w:spacing w:val="-4"/>
        </w:rPr>
        <w:t>，主要系公司下属子公司石基（香港）归还卢森堡银行的长期借款所</w:t>
      </w:r>
      <w:r>
        <w:rPr>
          <w:spacing w:val="-68"/>
        </w:rPr>
        <w:t> </w:t>
      </w:r>
      <w:r>
        <w:rPr>
          <w:spacing w:val="-68"/>
        </w:rPr>
      </w:r>
      <w:r>
        <w:rPr/>
        <w:t>致。</w:t>
      </w:r>
    </w:p>
    <w:p>
      <w:pPr>
        <w:pStyle w:val="BodyText"/>
        <w:spacing w:line="240" w:lineRule="auto" w:before="22"/>
        <w:ind w:right="1133"/>
        <w:jc w:val="left"/>
      </w:pPr>
      <w:r>
        <w:rPr>
          <w:rFonts w:ascii="宋体" w:hAnsi="宋体" w:cs="宋体" w:eastAsia="宋体" w:hint="default"/>
        </w:rPr>
        <w:t>18.</w:t>
      </w:r>
      <w:r>
        <w:rPr>
          <w:rFonts w:ascii="宋体" w:hAnsi="宋体" w:cs="宋体" w:eastAsia="宋体" w:hint="default"/>
          <w:spacing w:val="15"/>
        </w:rPr>
        <w:t> </w:t>
      </w:r>
      <w:r>
        <w:rPr>
          <w:spacing w:val="-2"/>
        </w:rPr>
        <w:t>长期应付款本期较期初下降</w:t>
      </w:r>
      <w:r>
        <w:rPr>
          <w:rFonts w:ascii="Times New Roman" w:hAnsi="Times New Roman" w:cs="Times New Roman" w:eastAsia="Times New Roman" w:hint="default"/>
          <w:spacing w:val="-2"/>
        </w:rPr>
        <w:t>94.66%</w:t>
      </w:r>
      <w:r>
        <w:rPr>
          <w:spacing w:val="-2"/>
        </w:rPr>
        <w:t>，主要系根据股权转协议支付的股权转让款所致。</w:t>
      </w:r>
    </w:p>
    <w:p>
      <w:pPr>
        <w:pStyle w:val="BodyText"/>
        <w:spacing w:line="259" w:lineRule="auto" w:before="21"/>
        <w:ind w:left="513" w:right="1133" w:hanging="361"/>
        <w:jc w:val="left"/>
      </w:pPr>
      <w:r>
        <w:rPr>
          <w:rFonts w:ascii="宋体" w:hAnsi="宋体" w:cs="宋体" w:eastAsia="宋体" w:hint="default"/>
        </w:rPr>
        <w:t>19. </w:t>
      </w:r>
      <w:r>
        <w:rPr>
          <w:spacing w:val="-4"/>
        </w:rPr>
        <w:t>预计负债本期较期初下降</w:t>
      </w:r>
      <w:r>
        <w:rPr>
          <w:rFonts w:ascii="Times New Roman" w:hAnsi="Times New Roman" w:cs="Times New Roman" w:eastAsia="Times New Roman" w:hint="default"/>
          <w:spacing w:val="-4"/>
        </w:rPr>
        <w:t>100.00%</w:t>
      </w:r>
      <w:r>
        <w:rPr>
          <w:spacing w:val="-4"/>
        </w:rPr>
        <w:t>，主要系公司下属子公司石基大商信息的未决诉讼事项已了结，预计</w:t>
      </w:r>
      <w:r>
        <w:rPr>
          <w:spacing w:val="-67"/>
        </w:rPr>
        <w:t> </w:t>
      </w:r>
      <w:r>
        <w:rPr>
          <w:spacing w:val="-67"/>
        </w:rPr>
      </w:r>
      <w:r>
        <w:rPr/>
        <w:t>负债减少所致。</w:t>
      </w:r>
    </w:p>
    <w:p>
      <w:pPr>
        <w:pStyle w:val="BodyText"/>
        <w:spacing w:line="256" w:lineRule="auto" w:before="20"/>
        <w:ind w:left="513" w:right="1129" w:hanging="361"/>
        <w:jc w:val="left"/>
      </w:pPr>
      <w:r>
        <w:rPr>
          <w:rFonts w:ascii="宋体" w:hAnsi="宋体" w:cs="宋体" w:eastAsia="宋体" w:hint="default"/>
        </w:rPr>
        <w:t>20. </w:t>
      </w:r>
      <w:r>
        <w:rPr>
          <w:spacing w:val="-3"/>
        </w:rPr>
        <w:t>递延收益本期较期初增长</w:t>
      </w:r>
      <w:r>
        <w:rPr>
          <w:rFonts w:ascii="Times New Roman" w:hAnsi="Times New Roman" w:cs="Times New Roman" w:eastAsia="Times New Roman" w:hint="default"/>
          <w:spacing w:val="-3"/>
        </w:rPr>
        <w:t>133.58%</w:t>
      </w:r>
      <w:r>
        <w:rPr>
          <w:spacing w:val="-3"/>
        </w:rPr>
        <w:t>，主要系公司下属子公司北海石基收到</w:t>
      </w:r>
      <w:r>
        <w:rPr>
          <w:rFonts w:ascii="Times New Roman" w:hAnsi="Times New Roman" w:cs="Times New Roman" w:eastAsia="Times New Roman" w:hint="default"/>
          <w:spacing w:val="-3"/>
        </w:rPr>
        <w:t>“</w:t>
      </w:r>
      <w:r>
        <w:rPr>
          <w:spacing w:val="-3"/>
        </w:rPr>
        <w:t>康桥云酒店管理系统</w:t>
      </w:r>
      <w:r>
        <w:rPr>
          <w:rFonts w:ascii="Times New Roman" w:hAnsi="Times New Roman" w:cs="Times New Roman" w:eastAsia="Times New Roman" w:hint="default"/>
          <w:spacing w:val="-3"/>
        </w:rPr>
        <w:t>”</w:t>
      </w:r>
      <w:r>
        <w:rPr>
          <w:spacing w:val="-3"/>
        </w:rPr>
        <w:t>项目的</w:t>
      </w:r>
      <w:r>
        <w:rPr>
          <w:spacing w:val="-93"/>
        </w:rPr>
        <w:t> </w:t>
      </w:r>
      <w:r>
        <w:rPr>
          <w:spacing w:val="-93"/>
        </w:rPr>
      </w:r>
      <w:r>
        <w:rPr/>
        <w:t>补助资金</w:t>
      </w:r>
      <w:r>
        <w:rPr>
          <w:rFonts w:ascii="Times New Roman" w:hAnsi="Times New Roman" w:cs="Times New Roman" w:eastAsia="Times New Roman" w:hint="default"/>
        </w:rPr>
        <w:t>90.00</w:t>
      </w:r>
      <w:r>
        <w:rPr/>
        <w:t>万元所致。</w:t>
      </w:r>
    </w:p>
    <w:p>
      <w:pPr>
        <w:pStyle w:val="BodyText"/>
        <w:spacing w:line="256" w:lineRule="auto" w:before="5"/>
        <w:ind w:left="513" w:right="0" w:hanging="361"/>
        <w:jc w:val="left"/>
      </w:pPr>
      <w:r>
        <w:rPr>
          <w:rFonts w:ascii="宋体" w:hAnsi="宋体" w:cs="宋体" w:eastAsia="宋体" w:hint="default"/>
        </w:rPr>
        <w:t>21. </w:t>
      </w:r>
      <w:r>
        <w:rPr>
          <w:spacing w:val="-5"/>
        </w:rPr>
        <w:t>资本公积本期较期初增长</w:t>
      </w:r>
      <w:r>
        <w:rPr>
          <w:rFonts w:ascii="Times New Roman" w:hAnsi="Times New Roman" w:cs="Times New Roman" w:eastAsia="Times New Roman" w:hint="default"/>
          <w:spacing w:val="-5"/>
        </w:rPr>
        <w:t>145.72%</w:t>
      </w:r>
      <w:r>
        <w:rPr>
          <w:spacing w:val="-5"/>
        </w:rPr>
        <w:t>，主要系公司下属子公司石基（香港）出售石基零售</w:t>
      </w:r>
      <w:r>
        <w:rPr>
          <w:rFonts w:ascii="Times New Roman" w:hAnsi="Times New Roman" w:cs="Times New Roman" w:eastAsia="Times New Roman" w:hint="default"/>
          <w:spacing w:val="-5"/>
        </w:rPr>
        <w:t>38%</w:t>
      </w:r>
      <w:r>
        <w:rPr>
          <w:spacing w:val="-5"/>
        </w:rPr>
        <w:t>的少数股权，</w:t>
      </w:r>
      <w:r>
        <w:rPr>
          <w:spacing w:val="-80"/>
        </w:rPr>
        <w:t> </w:t>
      </w:r>
      <w:r>
        <w:rPr>
          <w:spacing w:val="-80"/>
        </w:rPr>
      </w:r>
      <w:r>
        <w:rPr/>
        <w:t>产生的溢价较多所致。</w:t>
      </w:r>
    </w:p>
    <w:p>
      <w:pPr>
        <w:pStyle w:val="BodyText"/>
        <w:spacing w:line="240" w:lineRule="auto" w:before="22"/>
        <w:ind w:right="1133"/>
        <w:jc w:val="left"/>
      </w:pPr>
      <w:r>
        <w:rPr>
          <w:rFonts w:ascii="宋体" w:hAnsi="宋体" w:cs="宋体" w:eastAsia="宋体" w:hint="default"/>
        </w:rPr>
        <w:t>22.</w:t>
      </w:r>
      <w:r>
        <w:rPr>
          <w:rFonts w:ascii="宋体" w:hAnsi="宋体" w:cs="宋体" w:eastAsia="宋体" w:hint="default"/>
          <w:spacing w:val="27"/>
        </w:rPr>
        <w:t> </w:t>
      </w:r>
      <w:r>
        <w:rPr>
          <w:spacing w:val="-2"/>
        </w:rPr>
        <w:t>其他综合收益本期较期初增长</w:t>
      </w:r>
      <w:r>
        <w:rPr>
          <w:rFonts w:ascii="Times New Roman" w:hAnsi="Times New Roman" w:cs="Times New Roman" w:eastAsia="Times New Roman" w:hint="default"/>
          <w:spacing w:val="-2"/>
        </w:rPr>
        <w:t>1514.45%</w:t>
      </w:r>
      <w:r>
        <w:rPr>
          <w:spacing w:val="-2"/>
        </w:rPr>
        <w:t>，主要系本公司外币资产较多，外汇汇率变动较大所致。</w:t>
      </w:r>
    </w:p>
    <w:p>
      <w:pPr>
        <w:pStyle w:val="BodyText"/>
        <w:spacing w:line="256" w:lineRule="auto" w:before="21"/>
        <w:ind w:left="513" w:right="1133" w:hanging="361"/>
        <w:jc w:val="left"/>
      </w:pPr>
      <w:r>
        <w:rPr>
          <w:rFonts w:ascii="宋体" w:hAnsi="宋体" w:cs="宋体" w:eastAsia="宋体" w:hint="default"/>
        </w:rPr>
        <w:t>23. </w:t>
      </w:r>
      <w:r>
        <w:rPr>
          <w:spacing w:val="-3"/>
        </w:rPr>
        <w:t>少数股东权益本期较期初增长</w:t>
      </w:r>
      <w:r>
        <w:rPr>
          <w:rFonts w:ascii="Times New Roman" w:hAnsi="Times New Roman" w:cs="Times New Roman" w:eastAsia="Times New Roman" w:hint="default"/>
          <w:spacing w:val="-3"/>
        </w:rPr>
        <w:t>290.45%</w:t>
      </w:r>
      <w:r>
        <w:rPr>
          <w:spacing w:val="-3"/>
        </w:rPr>
        <w:t>，主要系公司下属子公司石基（香港）出售石基零售</w:t>
      </w:r>
      <w:r>
        <w:rPr>
          <w:rFonts w:ascii="Times New Roman" w:hAnsi="Times New Roman" w:cs="Times New Roman" w:eastAsia="Times New Roman" w:hint="default"/>
          <w:spacing w:val="-3"/>
        </w:rPr>
        <w:t>38%</w:t>
      </w:r>
      <w:r>
        <w:rPr>
          <w:spacing w:val="-3"/>
        </w:rPr>
        <w:t>股权所</w:t>
      </w:r>
      <w:r>
        <w:rPr>
          <w:spacing w:val="-75"/>
        </w:rPr>
        <w:t> </w:t>
      </w:r>
      <w:r>
        <w:rPr>
          <w:spacing w:val="-75"/>
        </w:rPr>
      </w:r>
      <w:r>
        <w:rPr/>
        <w:t>致。</w:t>
      </w:r>
    </w:p>
    <w:p>
      <w:pPr>
        <w:spacing w:line="240" w:lineRule="auto" w:before="7"/>
        <w:rPr>
          <w:rFonts w:ascii="宋体" w:hAnsi="宋体" w:cs="宋体" w:eastAsia="宋体" w:hint="default"/>
          <w:sz w:val="25"/>
          <w:szCs w:val="25"/>
        </w:rPr>
      </w:pPr>
    </w:p>
    <w:p>
      <w:pPr>
        <w:pStyle w:val="Heading7"/>
        <w:spacing w:line="240" w:lineRule="auto"/>
        <w:ind w:right="1133"/>
        <w:jc w:val="left"/>
        <w:rPr>
          <w:b w:val="0"/>
          <w:bCs w:val="0"/>
        </w:rPr>
      </w:pPr>
      <w:r>
        <w:rPr/>
        <w:t>利润表项目：</w:t>
      </w:r>
      <w:r>
        <w:rPr>
          <w:b w:val="0"/>
          <w:bCs w:val="0"/>
        </w:rPr>
      </w:r>
    </w:p>
    <w:p>
      <w:pPr>
        <w:pStyle w:val="BodyText"/>
        <w:spacing w:line="240" w:lineRule="auto" w:before="37"/>
        <w:ind w:right="1133"/>
        <w:jc w:val="left"/>
      </w:pPr>
      <w:r>
        <w:rPr>
          <w:rFonts w:ascii="宋体" w:hAnsi="宋体" w:cs="宋体" w:eastAsia="宋体" w:hint="default"/>
        </w:rPr>
        <w:t>1.</w:t>
      </w:r>
      <w:r>
        <w:rPr>
          <w:rFonts w:ascii="宋体" w:hAnsi="宋体" w:cs="宋体" w:eastAsia="宋体" w:hint="default"/>
          <w:spacing w:val="40"/>
        </w:rPr>
        <w:t> </w:t>
      </w:r>
      <w:r>
        <w:rPr/>
        <w:t>财务费用本期较上年同期下降</w:t>
      </w:r>
      <w:r>
        <w:rPr>
          <w:rFonts w:ascii="Times New Roman" w:hAnsi="Times New Roman" w:cs="Times New Roman" w:eastAsia="Times New Roman" w:hint="default"/>
        </w:rPr>
        <w:t>17418.33%</w:t>
      </w:r>
      <w:r>
        <w:rPr/>
        <w:t>，主要系本期较上年同期利息收入增加较多所致。</w:t>
      </w:r>
    </w:p>
    <w:p>
      <w:pPr>
        <w:pStyle w:val="BodyText"/>
        <w:spacing w:line="240" w:lineRule="auto" w:before="21"/>
        <w:ind w:right="1133"/>
        <w:jc w:val="left"/>
      </w:pPr>
      <w:r>
        <w:rPr>
          <w:rFonts w:ascii="宋体" w:hAnsi="宋体" w:cs="宋体" w:eastAsia="宋体" w:hint="default"/>
        </w:rPr>
        <w:t>2.</w:t>
      </w:r>
      <w:r>
        <w:rPr>
          <w:rFonts w:ascii="宋体" w:hAnsi="宋体" w:cs="宋体" w:eastAsia="宋体" w:hint="default"/>
          <w:spacing w:val="40"/>
        </w:rPr>
        <w:t> </w:t>
      </w:r>
      <w:r>
        <w:rPr/>
        <w:t>资产处置收益本期较上年同期增长</w:t>
      </w:r>
      <w:r>
        <w:rPr>
          <w:rFonts w:ascii="Times New Roman" w:hAnsi="Times New Roman" w:cs="Times New Roman" w:eastAsia="Times New Roman" w:hint="default"/>
        </w:rPr>
        <w:t>732.69%</w:t>
      </w:r>
      <w:r>
        <w:rPr/>
        <w:t>，主要系本期较上年同期处置的资产较多所致。</w:t>
      </w:r>
    </w:p>
    <w:p>
      <w:pPr>
        <w:pStyle w:val="BodyText"/>
        <w:spacing w:line="240" w:lineRule="auto" w:before="21"/>
        <w:ind w:right="1133"/>
        <w:jc w:val="left"/>
      </w:pPr>
      <w:r>
        <w:rPr>
          <w:rFonts w:ascii="宋体" w:hAnsi="宋体" w:cs="宋体" w:eastAsia="宋体" w:hint="default"/>
        </w:rPr>
        <w:t>3.</w:t>
      </w:r>
      <w:r>
        <w:rPr>
          <w:rFonts w:ascii="宋体" w:hAnsi="宋体" w:cs="宋体" w:eastAsia="宋体" w:hint="default"/>
          <w:spacing w:val="41"/>
        </w:rPr>
        <w:t> </w:t>
      </w:r>
      <w:r>
        <w:rPr/>
        <w:t>营业外收入本期较上年同期增长</w:t>
      </w:r>
      <w:r>
        <w:rPr>
          <w:rFonts w:ascii="Times New Roman" w:hAnsi="Times New Roman" w:cs="Times New Roman" w:eastAsia="Times New Roman" w:hint="default"/>
        </w:rPr>
        <w:t>65.57%</w:t>
      </w:r>
      <w:r>
        <w:rPr/>
        <w:t>，主要系本期收到诉讼赔偿款较多所致。</w:t>
      </w:r>
    </w:p>
    <w:p>
      <w:pPr>
        <w:pStyle w:val="BodyText"/>
        <w:spacing w:line="256" w:lineRule="auto" w:before="21"/>
        <w:ind w:left="513" w:right="1119" w:hanging="361"/>
        <w:jc w:val="left"/>
      </w:pPr>
      <w:r>
        <w:rPr>
          <w:rFonts w:ascii="宋体" w:hAnsi="宋体" w:cs="宋体" w:eastAsia="宋体" w:hint="default"/>
        </w:rPr>
        <w:t>4.</w:t>
      </w:r>
      <w:r>
        <w:rPr>
          <w:rFonts w:ascii="宋体" w:hAnsi="宋体" w:cs="宋体" w:eastAsia="宋体" w:hint="default"/>
          <w:spacing w:val="62"/>
        </w:rPr>
        <w:t> </w:t>
      </w:r>
      <w:r>
        <w:rPr/>
        <w:t>营业外支出本期较上年同期下降</w:t>
      </w:r>
      <w:r>
        <w:rPr>
          <w:rFonts w:ascii="Times New Roman" w:hAnsi="Times New Roman" w:cs="Times New Roman" w:eastAsia="Times New Roman" w:hint="default"/>
        </w:rPr>
        <w:t>82.90%</w:t>
      </w:r>
      <w:r>
        <w:rPr/>
        <w:t>，主要系上年同期下属子公司中电器件办公楼改造项目，清理</w:t>
      </w:r>
      <w:r>
        <w:rPr>
          <w:w w:val="100"/>
        </w:rPr>
        <w:t> </w:t>
      </w:r>
      <w:r>
        <w:rPr/>
        <w:t>的固定资产较多，而本期较少所致。</w:t>
      </w:r>
    </w:p>
    <w:p>
      <w:pPr>
        <w:pStyle w:val="BodyText"/>
        <w:spacing w:line="256" w:lineRule="auto" w:before="22"/>
        <w:ind w:left="513" w:right="1118" w:hanging="361"/>
        <w:jc w:val="left"/>
      </w:pPr>
      <w:r>
        <w:rPr>
          <w:rFonts w:ascii="宋体" w:hAnsi="宋体" w:cs="宋体" w:eastAsia="宋体" w:hint="default"/>
        </w:rPr>
        <w:t>5.</w:t>
      </w:r>
      <w:r>
        <w:rPr>
          <w:rFonts w:ascii="宋体" w:hAnsi="宋体" w:cs="宋体" w:eastAsia="宋体" w:hint="default"/>
          <w:spacing w:val="99"/>
        </w:rPr>
        <w:t> </w:t>
      </w:r>
      <w:r>
        <w:rPr/>
        <w:t>少数股东损益本期较上年同期增长</w:t>
      </w:r>
      <w:r>
        <w:rPr>
          <w:rFonts w:ascii="Times New Roman" w:hAnsi="Times New Roman" w:cs="Times New Roman" w:eastAsia="Times New Roman" w:hint="default"/>
        </w:rPr>
        <w:t>1233.99%</w:t>
      </w:r>
      <w:r>
        <w:rPr/>
        <w:t>，主要系本期下属子公司石基（香港）出售石基零售</w:t>
      </w:r>
      <w:r>
        <w:rPr>
          <w:rFonts w:ascii="Times New Roman" w:hAnsi="Times New Roman" w:cs="Times New Roman" w:eastAsia="Times New Roman" w:hint="default"/>
        </w:rPr>
        <w:t>38%</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t>少数股权，少数股东增加所致。</w:t>
      </w:r>
    </w:p>
    <w:p>
      <w:pPr>
        <w:spacing w:line="240" w:lineRule="auto" w:before="7"/>
        <w:rPr>
          <w:rFonts w:ascii="宋体" w:hAnsi="宋体" w:cs="宋体" w:eastAsia="宋体" w:hint="default"/>
          <w:sz w:val="25"/>
          <w:szCs w:val="25"/>
        </w:rPr>
      </w:pPr>
    </w:p>
    <w:p>
      <w:pPr>
        <w:pStyle w:val="Heading7"/>
        <w:spacing w:line="240" w:lineRule="auto"/>
        <w:ind w:right="1133"/>
        <w:jc w:val="left"/>
        <w:rPr>
          <w:b w:val="0"/>
          <w:bCs w:val="0"/>
        </w:rPr>
      </w:pPr>
      <w:r>
        <w:rPr/>
        <w:t>现金流量表项目：</w:t>
      </w:r>
      <w:r>
        <w:rPr>
          <w:b w:val="0"/>
          <w:bCs w:val="0"/>
        </w:rPr>
      </w:r>
    </w:p>
    <w:p>
      <w:pPr>
        <w:pStyle w:val="BodyText"/>
        <w:spacing w:line="256" w:lineRule="auto" w:before="37"/>
        <w:ind w:left="513" w:right="1119" w:hanging="361"/>
        <w:jc w:val="left"/>
      </w:pPr>
      <w:r>
        <w:rPr>
          <w:rFonts w:ascii="宋体" w:hAnsi="宋体" w:cs="宋体" w:eastAsia="宋体" w:hint="default"/>
        </w:rPr>
        <w:t>1.</w:t>
      </w:r>
      <w:r>
        <w:rPr>
          <w:rFonts w:ascii="宋体" w:hAnsi="宋体" w:cs="宋体" w:eastAsia="宋体" w:hint="default"/>
          <w:spacing w:val="62"/>
        </w:rPr>
        <w:t> </w:t>
      </w:r>
      <w:r>
        <w:rPr/>
        <w:t>收到其他与经营活动有关的现金比上年同期增长</w:t>
      </w:r>
      <w:r>
        <w:rPr>
          <w:rFonts w:ascii="Times New Roman" w:hAnsi="Times New Roman" w:cs="Times New Roman" w:eastAsia="Times New Roman" w:hint="default"/>
        </w:rPr>
        <w:t>90.58%</w:t>
      </w:r>
      <w:r>
        <w:rPr/>
        <w:t>，主要系本期比上年同期收到的利息收入较多</w:t>
      </w:r>
      <w:r>
        <w:rPr>
          <w:w w:val="100"/>
        </w:rPr>
        <w:t> </w:t>
      </w:r>
      <w:r>
        <w:rPr/>
        <w:t>所致。</w:t>
      </w:r>
    </w:p>
    <w:p>
      <w:pPr>
        <w:pStyle w:val="BodyText"/>
        <w:spacing w:line="256" w:lineRule="auto" w:before="22"/>
        <w:ind w:left="513" w:right="1119" w:hanging="361"/>
        <w:jc w:val="left"/>
      </w:pPr>
      <w:r>
        <w:rPr>
          <w:rFonts w:ascii="宋体" w:hAnsi="宋体" w:cs="宋体" w:eastAsia="宋体" w:hint="default"/>
        </w:rPr>
        <w:t>2.</w:t>
      </w:r>
      <w:r>
        <w:rPr>
          <w:rFonts w:ascii="宋体" w:hAnsi="宋体" w:cs="宋体" w:eastAsia="宋体" w:hint="default"/>
          <w:spacing w:val="62"/>
        </w:rPr>
        <w:t> </w:t>
      </w:r>
      <w:r>
        <w:rPr/>
        <w:t>支付给职工以及为职工支付的现金本期比上年同期增长</w:t>
      </w:r>
      <w:r>
        <w:rPr>
          <w:rFonts w:ascii="Times New Roman" w:hAnsi="Times New Roman" w:cs="Times New Roman" w:eastAsia="Times New Roman" w:hint="default"/>
        </w:rPr>
        <w:t>31.34%</w:t>
      </w:r>
      <w:r>
        <w:rPr/>
        <w:t>，主要系本期集团整体员工人数及薪酬</w:t>
      </w:r>
      <w:r>
        <w:rPr>
          <w:w w:val="100"/>
        </w:rPr>
        <w:t> </w:t>
      </w:r>
      <w:r>
        <w:rPr/>
        <w:t>均有一定增长所致。</w:t>
      </w:r>
    </w:p>
    <w:p>
      <w:pPr>
        <w:pStyle w:val="BodyText"/>
        <w:spacing w:line="259" w:lineRule="auto" w:before="22"/>
        <w:ind w:left="513" w:right="1122" w:hanging="361"/>
        <w:jc w:val="left"/>
      </w:pPr>
      <w:r>
        <w:rPr>
          <w:rFonts w:ascii="宋体" w:hAnsi="宋体" w:cs="宋体" w:eastAsia="宋体" w:hint="default"/>
        </w:rPr>
        <w:t>3.</w:t>
      </w:r>
      <w:r>
        <w:rPr>
          <w:rFonts w:ascii="宋体" w:hAnsi="宋体" w:cs="宋体" w:eastAsia="宋体" w:hint="default"/>
          <w:spacing w:val="59"/>
        </w:rPr>
        <w:t> </w:t>
      </w:r>
      <w:r>
        <w:rPr/>
        <w:t>取得投资收益收到的现金本期比上年同期增长</w:t>
      </w:r>
      <w:r>
        <w:rPr>
          <w:rFonts w:ascii="Times New Roman" w:hAnsi="Times New Roman" w:cs="Times New Roman" w:eastAsia="Times New Roman" w:hint="default"/>
        </w:rPr>
        <w:t>67.01%</w:t>
      </w:r>
      <w:r>
        <w:rPr/>
        <w:t>，主要系本期收到的理财产品收益较上年同期增</w:t>
      </w:r>
      <w:r>
        <w:rPr>
          <w:w w:val="100"/>
        </w:rPr>
        <w:t> </w:t>
      </w:r>
      <w:r>
        <w:rPr/>
        <w:t>加较多所致。</w:t>
      </w:r>
    </w:p>
    <w:p>
      <w:pPr>
        <w:pStyle w:val="BodyText"/>
        <w:spacing w:line="256" w:lineRule="auto" w:before="20"/>
        <w:ind w:left="513" w:right="1122" w:hanging="361"/>
        <w:jc w:val="left"/>
      </w:pPr>
      <w:r>
        <w:rPr>
          <w:rFonts w:ascii="宋体" w:hAnsi="宋体" w:cs="宋体" w:eastAsia="宋体" w:hint="default"/>
        </w:rPr>
        <w:t>4.</w:t>
      </w:r>
      <w:r>
        <w:rPr>
          <w:rFonts w:ascii="宋体" w:hAnsi="宋体" w:cs="宋体" w:eastAsia="宋体" w:hint="default"/>
          <w:spacing w:val="59"/>
        </w:rPr>
        <w:t> </w:t>
      </w:r>
      <w:r>
        <w:rPr/>
        <w:t>处置固定资产、无形资产和其他长期资产收回的现金净额本期比上年同期增长</w:t>
      </w:r>
      <w:r>
        <w:rPr>
          <w:rFonts w:ascii="Times New Roman" w:hAnsi="Times New Roman" w:cs="Times New Roman" w:eastAsia="Times New Roman" w:hint="default"/>
        </w:rPr>
        <w:t>88.53%</w:t>
      </w:r>
      <w:r>
        <w:rPr/>
        <w:t>，主要系本期收</w:t>
      </w:r>
      <w:r>
        <w:rPr>
          <w:w w:val="100"/>
        </w:rPr>
        <w:t> </w:t>
      </w:r>
      <w:r>
        <w:rPr/>
        <w:t>回的处置现金较多所致。</w:t>
      </w:r>
    </w:p>
    <w:p>
      <w:pPr>
        <w:pStyle w:val="BodyText"/>
        <w:spacing w:line="256" w:lineRule="auto" w:before="22"/>
        <w:ind w:left="513" w:right="1133" w:hanging="361"/>
        <w:jc w:val="left"/>
      </w:pPr>
      <w:r>
        <w:rPr>
          <w:rFonts w:ascii="宋体" w:hAnsi="宋体" w:cs="宋体" w:eastAsia="宋体" w:hint="default"/>
        </w:rPr>
        <w:t>5. </w:t>
      </w:r>
      <w:r>
        <w:rPr>
          <w:spacing w:val="-3"/>
        </w:rPr>
        <w:t>处置子公司及其他营业单位收到的现金净额本期比上年同期下降</w:t>
      </w:r>
      <w:r>
        <w:rPr>
          <w:rFonts w:ascii="Times New Roman" w:hAnsi="Times New Roman" w:cs="Times New Roman" w:eastAsia="Times New Roman" w:hint="default"/>
          <w:spacing w:val="-3"/>
        </w:rPr>
        <w:t>100%</w:t>
      </w:r>
      <w:r>
        <w:rPr>
          <w:spacing w:val="-3"/>
        </w:rPr>
        <w:t>，主要系本期未发生处置子公司</w:t>
      </w:r>
      <w:r>
        <w:rPr>
          <w:spacing w:val="-67"/>
        </w:rPr>
        <w:t> </w:t>
      </w:r>
      <w:r>
        <w:rPr>
          <w:spacing w:val="-67"/>
        </w:rPr>
      </w:r>
      <w:r>
        <w:rPr/>
        <w:t>事项所致。</w:t>
      </w:r>
    </w:p>
    <w:p>
      <w:pPr>
        <w:pStyle w:val="BodyText"/>
        <w:spacing w:line="256" w:lineRule="auto" w:before="22"/>
        <w:ind w:left="513" w:right="1119" w:hanging="361"/>
        <w:jc w:val="left"/>
      </w:pPr>
      <w:r>
        <w:rPr>
          <w:rFonts w:ascii="宋体" w:hAnsi="宋体" w:cs="宋体" w:eastAsia="宋体" w:hint="default"/>
        </w:rPr>
        <w:t>6.</w:t>
      </w:r>
      <w:r>
        <w:rPr>
          <w:rFonts w:ascii="宋体" w:hAnsi="宋体" w:cs="宋体" w:eastAsia="宋体" w:hint="default"/>
          <w:spacing w:val="62"/>
        </w:rPr>
        <w:t> </w:t>
      </w:r>
      <w:r>
        <w:rPr/>
        <w:t>收到其他与投资活动有关的现金本期比上年同期增长</w:t>
      </w:r>
      <w:r>
        <w:rPr>
          <w:rFonts w:ascii="Times New Roman" w:hAnsi="Times New Roman" w:cs="Times New Roman" w:eastAsia="Times New Roman" w:hint="default"/>
        </w:rPr>
        <w:t>2532.98%</w:t>
      </w:r>
      <w:r>
        <w:rPr/>
        <w:t>，主要系本期收到盒子信息公司支付的</w:t>
      </w:r>
      <w:r>
        <w:rPr>
          <w:w w:val="100"/>
        </w:rPr>
        <w:t> </w:t>
      </w:r>
      <w:r>
        <w:rPr/>
        <w:t>迅付股权转让保证金所致。</w:t>
      </w:r>
    </w:p>
    <w:p>
      <w:pPr>
        <w:spacing w:after="0" w:line="256"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40" w:lineRule="auto" w:before="36"/>
        <w:ind w:right="1133"/>
        <w:jc w:val="left"/>
      </w:pPr>
      <w:r>
        <w:rPr>
          <w:rFonts w:ascii="宋体" w:hAnsi="宋体" w:cs="宋体" w:eastAsia="宋体" w:hint="default"/>
        </w:rPr>
        <w:t>7.</w:t>
      </w:r>
      <w:r>
        <w:rPr>
          <w:rFonts w:ascii="宋体" w:hAnsi="宋体" w:cs="宋体" w:eastAsia="宋体" w:hint="default"/>
          <w:spacing w:val="40"/>
        </w:rPr>
        <w:t> </w:t>
      </w:r>
      <w:r>
        <w:rPr/>
        <w:t>投资支付的现金本期比上年同期下降</w:t>
      </w:r>
      <w:r>
        <w:rPr>
          <w:rFonts w:ascii="Times New Roman" w:hAnsi="Times New Roman" w:cs="Times New Roman" w:eastAsia="Times New Roman" w:hint="default"/>
        </w:rPr>
        <w:t>52.82%</w:t>
      </w:r>
      <w:r>
        <w:rPr/>
        <w:t>，主要系本期较上年同期购买的理财产品较少所致。</w:t>
      </w:r>
    </w:p>
    <w:p>
      <w:pPr>
        <w:pStyle w:val="BodyText"/>
        <w:spacing w:line="256" w:lineRule="auto" w:before="21"/>
        <w:ind w:left="513" w:right="1126" w:hanging="361"/>
        <w:jc w:val="both"/>
      </w:pPr>
      <w:r>
        <w:rPr>
          <w:rFonts w:ascii="宋体" w:hAnsi="宋体" w:cs="宋体" w:eastAsia="宋体" w:hint="default"/>
        </w:rPr>
        <w:t>8.</w:t>
      </w:r>
      <w:r>
        <w:rPr>
          <w:rFonts w:ascii="宋体" w:hAnsi="宋体" w:cs="宋体" w:eastAsia="宋体" w:hint="default"/>
          <w:spacing w:val="62"/>
        </w:rPr>
        <w:t> </w:t>
      </w:r>
      <w:r>
        <w:rPr/>
        <w:t>取得子公司及其他营业单位支付的现金净额本期比上年同期增长</w:t>
      </w:r>
      <w:r>
        <w:rPr>
          <w:rFonts w:ascii="Times New Roman" w:hAnsi="Times New Roman" w:cs="Times New Roman" w:eastAsia="Times New Roman" w:hint="default"/>
        </w:rPr>
        <w:t>30.03%</w:t>
      </w:r>
      <w:r>
        <w:rPr/>
        <w:t>，主要系本期较上年同期收购</w:t>
      </w:r>
      <w:r>
        <w:rPr>
          <w:w w:val="100"/>
        </w:rPr>
        <w:t> </w:t>
      </w:r>
      <w:r>
        <w:rPr/>
        <w:t>的子公司较多，支付的收购款较多所致。</w:t>
      </w:r>
    </w:p>
    <w:p>
      <w:pPr>
        <w:pStyle w:val="BodyText"/>
        <w:spacing w:line="256" w:lineRule="auto" w:before="22"/>
        <w:ind w:left="513" w:right="1129" w:hanging="361"/>
        <w:jc w:val="both"/>
      </w:pPr>
      <w:r>
        <w:rPr>
          <w:rFonts w:ascii="宋体" w:hAnsi="宋体" w:cs="宋体" w:eastAsia="宋体" w:hint="default"/>
        </w:rPr>
        <w:t>9.</w:t>
      </w:r>
      <w:r>
        <w:rPr>
          <w:rFonts w:ascii="宋体" w:hAnsi="宋体" w:cs="宋体" w:eastAsia="宋体" w:hint="default"/>
          <w:spacing w:val="80"/>
        </w:rPr>
        <w:t> </w:t>
      </w:r>
      <w:r>
        <w:rPr/>
        <w:t>支付其他与投资活动有关的现金本期比上年同期增长</w:t>
      </w:r>
      <w:r>
        <w:rPr>
          <w:rFonts w:ascii="Times New Roman" w:hAnsi="Times New Roman" w:cs="Times New Roman" w:eastAsia="Times New Roman" w:hint="default"/>
        </w:rPr>
        <w:t>100</w:t>
      </w:r>
      <w:r>
        <w:rPr>
          <w:rFonts w:ascii="宋体" w:hAnsi="宋体" w:cs="宋体" w:eastAsia="宋体" w:hint="default"/>
        </w:rPr>
        <w:t>%</w:t>
      </w:r>
      <w:r>
        <w:rPr/>
        <w:t>，主要系本期返还环迅保理的投资意向金所</w:t>
      </w:r>
      <w:r>
        <w:rPr>
          <w:spacing w:val="-103"/>
        </w:rPr>
        <w:t> </w:t>
      </w:r>
      <w:r>
        <w:rPr>
          <w:spacing w:val="-103"/>
        </w:rPr>
      </w:r>
      <w:r>
        <w:rPr/>
        <w:t>致。</w:t>
      </w:r>
    </w:p>
    <w:p>
      <w:pPr>
        <w:pStyle w:val="BodyText"/>
        <w:spacing w:line="240" w:lineRule="auto" w:before="22"/>
        <w:ind w:right="1133"/>
        <w:jc w:val="left"/>
      </w:pPr>
      <w:r>
        <w:rPr>
          <w:rFonts w:ascii="宋体" w:hAnsi="宋体" w:cs="宋体" w:eastAsia="宋体" w:hint="default"/>
        </w:rPr>
        <w:t>10.</w:t>
      </w:r>
      <w:r>
        <w:rPr>
          <w:rFonts w:ascii="宋体" w:hAnsi="宋体" w:cs="宋体" w:eastAsia="宋体" w:hint="default"/>
          <w:spacing w:val="17"/>
        </w:rPr>
        <w:t> </w:t>
      </w:r>
      <w:r>
        <w:rPr>
          <w:spacing w:val="-2"/>
        </w:rPr>
        <w:t>吸收投资收到的现金本期比上年同期下降</w:t>
      </w:r>
      <w:r>
        <w:rPr>
          <w:rFonts w:ascii="Times New Roman" w:hAnsi="Times New Roman" w:cs="Times New Roman" w:eastAsia="Times New Roman" w:hint="default"/>
          <w:spacing w:val="-2"/>
        </w:rPr>
        <w:t>100%</w:t>
      </w:r>
      <w:r>
        <w:rPr>
          <w:spacing w:val="-2"/>
        </w:rPr>
        <w:t>，主要系本期未发生吸收投资的业务所致。</w:t>
      </w:r>
    </w:p>
    <w:p>
      <w:pPr>
        <w:pStyle w:val="BodyText"/>
        <w:spacing w:line="240" w:lineRule="auto" w:before="21"/>
        <w:ind w:right="1133"/>
        <w:jc w:val="left"/>
      </w:pPr>
      <w:r>
        <w:rPr>
          <w:rFonts w:ascii="宋体" w:hAnsi="宋体" w:cs="宋体" w:eastAsia="宋体" w:hint="default"/>
        </w:rPr>
        <w:t>11.</w:t>
      </w:r>
      <w:r>
        <w:rPr>
          <w:rFonts w:ascii="宋体" w:hAnsi="宋体" w:cs="宋体" w:eastAsia="宋体" w:hint="default"/>
          <w:spacing w:val="9"/>
        </w:rPr>
        <w:t> </w:t>
      </w:r>
      <w:r>
        <w:rPr>
          <w:spacing w:val="-2"/>
        </w:rPr>
        <w:t>取得借款所收到的现金本期比上年同期下降</w:t>
      </w:r>
      <w:r>
        <w:rPr>
          <w:rFonts w:ascii="Times New Roman" w:hAnsi="Times New Roman" w:cs="Times New Roman" w:eastAsia="Times New Roman" w:hint="default"/>
          <w:spacing w:val="-2"/>
        </w:rPr>
        <w:t>100%</w:t>
      </w:r>
      <w:r>
        <w:rPr>
          <w:spacing w:val="-2"/>
        </w:rPr>
        <w:t>，主要系本期未发生借款所致。</w:t>
      </w:r>
    </w:p>
    <w:p>
      <w:pPr>
        <w:pStyle w:val="BodyText"/>
        <w:spacing w:line="256" w:lineRule="auto" w:before="21"/>
        <w:ind w:left="513" w:right="1126" w:hanging="361"/>
        <w:jc w:val="both"/>
      </w:pPr>
      <w:r>
        <w:rPr>
          <w:rFonts w:ascii="宋体" w:hAnsi="宋体" w:cs="宋体" w:eastAsia="宋体" w:hint="default"/>
        </w:rPr>
        <w:t>12. </w:t>
      </w:r>
      <w:r>
        <w:rPr>
          <w:spacing w:val="-3"/>
        </w:rPr>
        <w:t>收到其他与筹资活动有关的现金本期比上年同期增长</w:t>
      </w:r>
      <w:r>
        <w:rPr>
          <w:rFonts w:ascii="Times New Roman" w:hAnsi="Times New Roman" w:cs="Times New Roman" w:eastAsia="Times New Roman" w:hint="default"/>
          <w:spacing w:val="-3"/>
        </w:rPr>
        <w:t>100%</w:t>
      </w:r>
      <w:r>
        <w:rPr>
          <w:spacing w:val="-3"/>
        </w:rPr>
        <w:t>，主要系公司全资子公司石基（香港）将其</w:t>
      </w:r>
      <w:r>
        <w:rPr>
          <w:spacing w:val="-68"/>
        </w:rPr>
        <w:t> </w:t>
      </w:r>
      <w:r>
        <w:rPr>
          <w:spacing w:val="-68"/>
        </w:rPr>
      </w:r>
      <w:r>
        <w:rPr/>
        <w:t>全资持有的石基零售</w:t>
      </w:r>
      <w:r>
        <w:rPr>
          <w:rFonts w:ascii="Times New Roman" w:hAnsi="Times New Roman" w:cs="Times New Roman" w:eastAsia="Times New Roman" w:hint="default"/>
        </w:rPr>
        <w:t>38%</w:t>
      </w:r>
      <w:r>
        <w:rPr/>
        <w:t>的股权以</w:t>
      </w:r>
      <w:r>
        <w:rPr>
          <w:rFonts w:ascii="Times New Roman" w:hAnsi="Times New Roman" w:cs="Times New Roman" w:eastAsia="Times New Roman" w:hint="default"/>
        </w:rPr>
        <w:t>4.86</w:t>
      </w:r>
      <w:r>
        <w:rPr/>
        <w:t>亿美元的价格转让给</w:t>
      </w:r>
      <w:r>
        <w:rPr>
          <w:rFonts w:ascii="Times New Roman" w:hAnsi="Times New Roman" w:cs="Times New Roman" w:eastAsia="Times New Roman" w:hint="default"/>
        </w:rPr>
        <w:t>Alibaba SJ Investment</w:t>
      </w:r>
      <w:r>
        <w:rPr>
          <w:rFonts w:ascii="Times New Roman" w:hAnsi="Times New Roman" w:cs="Times New Roman" w:eastAsia="Times New Roman" w:hint="default"/>
          <w:spacing w:val="13"/>
        </w:rPr>
        <w:t> </w:t>
      </w:r>
      <w:r>
        <w:rPr>
          <w:rFonts w:ascii="Times New Roman" w:hAnsi="Times New Roman" w:cs="Times New Roman" w:eastAsia="Times New Roman" w:hint="default"/>
        </w:rPr>
        <w:t>Limited</w:t>
      </w:r>
      <w:r>
        <w:rPr/>
        <w:t>，已收到全部</w:t>
      </w:r>
      <w:r>
        <w:rPr>
          <w:w w:val="100"/>
        </w:rPr>
        <w:t> </w:t>
      </w:r>
      <w:r>
        <w:rPr/>
        <w:t>股权转让款所致。</w:t>
      </w:r>
    </w:p>
    <w:p>
      <w:pPr>
        <w:pStyle w:val="BodyText"/>
        <w:spacing w:line="240" w:lineRule="auto" w:before="22"/>
        <w:ind w:right="1133"/>
        <w:jc w:val="left"/>
      </w:pPr>
      <w:r>
        <w:rPr>
          <w:rFonts w:ascii="宋体" w:hAnsi="宋体" w:cs="宋体" w:eastAsia="宋体" w:hint="default"/>
        </w:rPr>
        <w:t>13.</w:t>
      </w:r>
      <w:r>
        <w:rPr>
          <w:rFonts w:ascii="宋体" w:hAnsi="宋体" w:cs="宋体" w:eastAsia="宋体" w:hint="default"/>
          <w:spacing w:val="20"/>
        </w:rPr>
        <w:t> </w:t>
      </w:r>
      <w:r>
        <w:rPr>
          <w:spacing w:val="-2"/>
        </w:rPr>
        <w:t>偿还债务所支付的现金本期比上年同期增长</w:t>
      </w:r>
      <w:r>
        <w:rPr>
          <w:rFonts w:ascii="Times New Roman" w:hAnsi="Times New Roman" w:cs="Times New Roman" w:eastAsia="Times New Roman" w:hint="default"/>
          <w:spacing w:val="-2"/>
        </w:rPr>
        <w:t>1442.62%</w:t>
      </w:r>
      <w:r>
        <w:rPr>
          <w:spacing w:val="-2"/>
        </w:rPr>
        <w:t>，主要系本期支付长期借款较多所致。</w:t>
      </w:r>
    </w:p>
    <w:p>
      <w:pPr>
        <w:pStyle w:val="BodyText"/>
        <w:spacing w:line="256" w:lineRule="auto" w:before="21"/>
        <w:ind w:left="513" w:right="1126" w:hanging="361"/>
        <w:jc w:val="both"/>
      </w:pPr>
      <w:r>
        <w:rPr>
          <w:rFonts w:ascii="宋体" w:hAnsi="宋体" w:cs="宋体" w:eastAsia="宋体" w:hint="default"/>
        </w:rPr>
        <w:t>14.</w:t>
      </w:r>
      <w:r>
        <w:rPr>
          <w:rFonts w:ascii="宋体" w:hAnsi="宋体" w:cs="宋体" w:eastAsia="宋体" w:hint="default"/>
          <w:spacing w:val="-22"/>
        </w:rPr>
        <w:t> </w:t>
      </w:r>
      <w:r>
        <w:rPr>
          <w:spacing w:val="-3"/>
        </w:rPr>
        <w:t>分配股利、利润或偿付利息所支付的现金本期比上年同期增长</w:t>
      </w:r>
      <w:r>
        <w:rPr>
          <w:rFonts w:ascii="Times New Roman" w:hAnsi="Times New Roman" w:cs="Times New Roman" w:eastAsia="Times New Roman" w:hint="default"/>
          <w:spacing w:val="-3"/>
        </w:rPr>
        <w:t>111.98%</w:t>
      </w:r>
      <w:r>
        <w:rPr>
          <w:spacing w:val="-3"/>
        </w:rPr>
        <w:t>，主要系本期支付的</w:t>
      </w:r>
      <w:r>
        <w:rPr>
          <w:rFonts w:ascii="Times New Roman" w:hAnsi="Times New Roman" w:cs="Times New Roman" w:eastAsia="Times New Roman" w:hint="default"/>
          <w:spacing w:val="-3"/>
        </w:rPr>
        <w:t>2017</w:t>
      </w:r>
      <w:r>
        <w:rPr>
          <w:spacing w:val="-3"/>
        </w:rPr>
        <w:t>年股利</w:t>
      </w:r>
      <w:r>
        <w:rPr>
          <w:spacing w:val="-86"/>
        </w:rPr>
        <w:t> </w:t>
      </w:r>
      <w:r>
        <w:rPr>
          <w:spacing w:val="-86"/>
        </w:rPr>
      </w:r>
      <w:r>
        <w:rPr/>
        <w:t>分配方案比上年同期支付的股利大幅增加所致。</w:t>
      </w:r>
    </w:p>
    <w:p>
      <w:pPr>
        <w:pStyle w:val="BodyText"/>
        <w:spacing w:line="256" w:lineRule="auto" w:before="23"/>
        <w:ind w:left="513" w:right="1126" w:hanging="361"/>
        <w:jc w:val="both"/>
      </w:pPr>
      <w:r>
        <w:rPr>
          <w:rFonts w:ascii="宋体" w:hAnsi="宋体" w:cs="宋体" w:eastAsia="宋体" w:hint="default"/>
        </w:rPr>
        <w:t>15.</w:t>
      </w:r>
      <w:r>
        <w:rPr>
          <w:rFonts w:ascii="宋体" w:hAnsi="宋体" w:cs="宋体" w:eastAsia="宋体" w:hint="default"/>
          <w:spacing w:val="-25"/>
        </w:rPr>
        <w:t> </w:t>
      </w:r>
      <w:r>
        <w:rPr>
          <w:spacing w:val="-2"/>
        </w:rPr>
        <w:t>支付其他与筹资活动有关的现金本期比上年同期下降</w:t>
      </w:r>
      <w:r>
        <w:rPr>
          <w:rFonts w:ascii="Times New Roman" w:hAnsi="Times New Roman" w:cs="Times New Roman" w:eastAsia="Times New Roman" w:hint="default"/>
          <w:spacing w:val="-2"/>
        </w:rPr>
        <w:t>100%</w:t>
      </w:r>
      <w:r>
        <w:rPr>
          <w:spacing w:val="-2"/>
        </w:rPr>
        <w:t>，主要系本期未发生相关的筹资活动事项所</w:t>
      </w:r>
      <w:r>
        <w:rPr>
          <w:spacing w:val="-87"/>
        </w:rPr>
        <w:t> </w:t>
      </w:r>
      <w:r>
        <w:rPr>
          <w:spacing w:val="-87"/>
        </w:rPr>
      </w:r>
      <w:r>
        <w:rPr/>
        <w:t>致。</w:t>
      </w:r>
    </w:p>
    <w:p>
      <w:pPr>
        <w:pStyle w:val="BodyText"/>
        <w:spacing w:line="256" w:lineRule="auto" w:before="22"/>
        <w:ind w:left="513" w:right="1129" w:hanging="361"/>
        <w:jc w:val="both"/>
      </w:pPr>
      <w:r>
        <w:rPr>
          <w:rFonts w:ascii="宋体" w:hAnsi="宋体" w:cs="宋体" w:eastAsia="宋体" w:hint="default"/>
        </w:rPr>
        <w:t>16. </w:t>
      </w:r>
      <w:r>
        <w:rPr>
          <w:spacing w:val="-4"/>
        </w:rPr>
        <w:t>现金及现金等价物净增加额本期较上年同期增长</w:t>
      </w:r>
      <w:r>
        <w:rPr>
          <w:rFonts w:ascii="Times New Roman" w:hAnsi="Times New Roman" w:cs="Times New Roman" w:eastAsia="Times New Roman" w:hint="default"/>
          <w:spacing w:val="-4"/>
        </w:rPr>
        <w:t>467.57%</w:t>
      </w:r>
      <w:r>
        <w:rPr>
          <w:spacing w:val="-4"/>
        </w:rPr>
        <w:t>，主要系公司全资子公司石基（香港）将其全</w:t>
      </w:r>
      <w:r>
        <w:rPr>
          <w:spacing w:val="-69"/>
        </w:rPr>
        <w:t> </w:t>
      </w:r>
      <w:r>
        <w:rPr>
          <w:spacing w:val="-69"/>
        </w:rPr>
      </w:r>
      <w:r>
        <w:rPr/>
        <w:t>资持有的石基零售</w:t>
      </w:r>
      <w:r>
        <w:rPr>
          <w:rFonts w:ascii="Times New Roman" w:hAnsi="Times New Roman" w:cs="Times New Roman" w:eastAsia="Times New Roman" w:hint="default"/>
        </w:rPr>
        <w:t>38%</w:t>
      </w:r>
      <w:r>
        <w:rPr/>
        <w:t>的股权以</w:t>
      </w:r>
      <w:r>
        <w:rPr>
          <w:rFonts w:ascii="Times New Roman" w:hAnsi="Times New Roman" w:cs="Times New Roman" w:eastAsia="Times New Roman" w:hint="default"/>
        </w:rPr>
        <w:t>4.86</w:t>
      </w:r>
      <w:r>
        <w:rPr/>
        <w:t>亿美元的价格转让给</w:t>
      </w:r>
      <w:r>
        <w:rPr>
          <w:rFonts w:ascii="Times New Roman" w:hAnsi="Times New Roman" w:cs="Times New Roman" w:eastAsia="Times New Roman" w:hint="default"/>
        </w:rPr>
        <w:t>Alibaba SJ Investment</w:t>
      </w:r>
      <w:r>
        <w:rPr>
          <w:rFonts w:ascii="Times New Roman" w:hAnsi="Times New Roman" w:cs="Times New Roman" w:eastAsia="Times New Roman" w:hint="default"/>
          <w:spacing w:val="11"/>
        </w:rPr>
        <w:t> </w:t>
      </w:r>
      <w:r>
        <w:rPr>
          <w:rFonts w:ascii="Times New Roman" w:hAnsi="Times New Roman" w:cs="Times New Roman" w:eastAsia="Times New Roman" w:hint="default"/>
        </w:rPr>
        <w:t>Limited</w:t>
      </w:r>
      <w:r>
        <w:rPr/>
        <w:t>，已收到全部股</w:t>
      </w:r>
      <w:r>
        <w:rPr>
          <w:w w:val="100"/>
        </w:rPr>
        <w:t> </w:t>
      </w:r>
      <w:r>
        <w:rPr/>
        <w:t>权转让款所致。</w:t>
      </w:r>
    </w:p>
    <w:p>
      <w:pPr>
        <w:spacing w:after="0" w:line="256" w:lineRule="auto"/>
        <w:jc w:val="both"/>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285" w:right="1133"/>
        <w:jc w:val="left"/>
        <w:rPr>
          <w:b w:val="0"/>
          <w:bCs w:val="0"/>
        </w:rPr>
      </w:pPr>
      <w:bookmarkStart w:name="_bookmark10" w:id="11"/>
      <w:bookmarkEnd w:id="11"/>
      <w:r>
        <w:rPr>
          <w:b w:val="0"/>
          <w:bCs w:val="0"/>
        </w:rPr>
      </w:r>
      <w:r>
        <w:rPr/>
        <w:t>第十二节</w:t>
      </w:r>
      <w:r>
        <w:rPr>
          <w:spacing w:val="-6"/>
        </w:rPr>
        <w:t> </w:t>
      </w:r>
      <w:r>
        <w:rPr/>
        <w:t>备查文件目录</w:t>
      </w:r>
      <w:r>
        <w:rPr>
          <w:b w:val="0"/>
          <w:bCs w:val="0"/>
        </w:rPr>
      </w:r>
    </w:p>
    <w:p>
      <w:pPr>
        <w:spacing w:line="240" w:lineRule="auto" w:before="12"/>
        <w:rPr>
          <w:rFonts w:ascii="宋体" w:hAnsi="宋体" w:cs="宋体" w:eastAsia="宋体" w:hint="default"/>
          <w:b/>
          <w:bCs/>
          <w:sz w:val="40"/>
          <w:szCs w:val="40"/>
        </w:rPr>
      </w:pPr>
    </w:p>
    <w:p>
      <w:pPr>
        <w:pStyle w:val="BodyText"/>
        <w:spacing w:line="408" w:lineRule="auto"/>
        <w:ind w:right="1133"/>
        <w:jc w:val="left"/>
      </w:pPr>
      <w:r>
        <w:rPr/>
        <w:t>一、载有本公司法定代表人、主管会计工作负责人、会计主管签名并盖章的财务报表。</w:t>
      </w:r>
      <w:r>
        <w:rPr>
          <w:w w:val="100"/>
        </w:rPr>
        <w:t> </w:t>
      </w:r>
      <w:r>
        <w:rPr>
          <w:spacing w:val="-2"/>
        </w:rPr>
        <w:t>二、载有信永中和会计师事务所（特殊普通合伙）盖章、注册会计师签名并盖章的审计报告原件。</w:t>
      </w:r>
      <w:r>
        <w:rPr>
          <w:spacing w:val="-25"/>
        </w:rPr>
        <w:t> </w:t>
      </w:r>
      <w:r>
        <w:rPr>
          <w:spacing w:val="-25"/>
        </w:rPr>
      </w:r>
      <w:r>
        <w:rPr/>
        <w:t>三、报告期内在中国证监会指定网站上公开披露过的所有本公司文件的正本及公告的原稿。</w:t>
      </w:r>
      <w:r>
        <w:rPr>
          <w:w w:val="100"/>
        </w:rPr>
        <w:t> </w:t>
      </w:r>
      <w:r>
        <w:rPr/>
        <w:t>四、载有董事长李仲初先生签名的</w:t>
      </w:r>
      <w:r>
        <w:rPr>
          <w:rFonts w:ascii="Times New Roman" w:hAnsi="Times New Roman" w:cs="Times New Roman" w:eastAsia="Times New Roman" w:hint="default"/>
        </w:rPr>
        <w:t>2018</w:t>
      </w:r>
      <w:r>
        <w:rPr/>
        <w:t>年年度报告全文。</w:t>
      </w:r>
    </w:p>
    <w:p>
      <w:pPr>
        <w:spacing w:after="0" w:line="408" w:lineRule="auto"/>
        <w:jc w:val="left"/>
        <w:sectPr>
          <w:pgSz w:w="11910" w:h="16840"/>
          <w:pgMar w:header="877" w:footer="980" w:top="1100" w:bottom="1160" w:left="980" w:right="0"/>
        </w:sectPr>
      </w:pPr>
    </w:p>
    <w:p>
      <w:pPr>
        <w:spacing w:line="240" w:lineRule="auto" w:before="7"/>
        <w:rPr>
          <w:rFonts w:ascii="宋体" w:hAnsi="宋体" w:cs="宋体" w:eastAsia="宋体" w:hint="default"/>
          <w:sz w:val="19"/>
          <w:szCs w:val="19"/>
        </w:rPr>
      </w:pPr>
    </w:p>
    <w:p>
      <w:pPr>
        <w:pStyle w:val="Heading3"/>
        <w:spacing w:line="240" w:lineRule="auto" w:before="26"/>
        <w:ind w:right="1133"/>
        <w:jc w:val="left"/>
        <w:rPr>
          <w:b w:val="0"/>
          <w:bCs w:val="0"/>
        </w:rPr>
      </w:pPr>
      <w:r>
        <w:rPr/>
        <w:t>北京中长石基信息技术股份有限公司</w:t>
      </w:r>
      <w:r>
        <w:rPr>
          <w:spacing w:val="-6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年年度报告全文签字盖章页</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31"/>
          <w:szCs w:val="31"/>
        </w:rPr>
      </w:pPr>
    </w:p>
    <w:p>
      <w:pPr>
        <w:pStyle w:val="Heading4"/>
        <w:tabs>
          <w:tab w:pos="7373" w:val="left" w:leader="none"/>
          <w:tab w:pos="8855" w:val="left" w:leader="none"/>
        </w:tabs>
        <w:spacing w:line="453" w:lineRule="auto"/>
        <w:ind w:left="5333" w:right="2051" w:hanging="300"/>
        <w:jc w:val="left"/>
        <w:rPr>
          <w:rFonts w:ascii="Times New Roman" w:hAnsi="Times New Roman" w:cs="Times New Roman" w:eastAsia="Times New Roman" w:hint="default"/>
        </w:rPr>
      </w:pPr>
      <w:r>
        <w:rPr/>
        <w:t>北京中长石基信息技术股份有限公司 董事长： 李仲初</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w w:val="21"/>
          <w:u w:val="single" w:color="000000"/>
        </w:rPr>
        <w:t> </w:t>
      </w:r>
      <w:r>
        <w:rPr>
          <w:rFonts w:ascii="Times New Roman" w:hAnsi="Times New Roman" w:cs="Times New Roman" w:eastAsia="Times New Roman" w:hint="default"/>
          <w:u w:val="single" w:color="000000"/>
        </w:rPr>
      </w:r>
      <w:r>
        <w:rPr>
          <w:rFonts w:ascii="Times New Roman" w:hAnsi="Times New Roman" w:cs="Times New Roman" w:eastAsia="Times New Roman" w:hint="default"/>
        </w:rPr>
      </w:r>
    </w:p>
    <w:p>
      <w:pPr>
        <w:pStyle w:val="Heading4"/>
        <w:spacing w:line="240" w:lineRule="auto" w:before="65"/>
        <w:ind w:left="5693" w:right="1133"/>
        <w:jc w:val="left"/>
      </w:pPr>
      <w:r>
        <w:rPr/>
        <w:t>二〇一九年四月十九日</w:t>
      </w:r>
    </w:p>
    <w:sectPr>
      <w:pgSz w:w="11910" w:h="16840"/>
      <w:pgMar w:header="877" w:footer="980"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S Gothic">
    <w:altName w:val="MS Gothic"/>
    <w:charset w:val="0"/>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84912" type="#_x0000_t75" stroked="false">
          <v:imagedata r:id="rId1" o:title=""/>
        </v:shape>
      </w:pict>
    </w:r>
    <w:r>
      <w:rPr/>
      <w:pict>
        <v:shape style="position:absolute;margin-left:533.099976pt;margin-top:795.613892pt;width:6.5pt;height:11pt;mso-position-horizontal-relative:page;mso-position-vertical-relative:page;z-index:-13848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84192" type="#_x0000_t75" stroked="false">
          <v:imagedata r:id="rId1" o:title=""/>
        </v:shape>
      </w:pict>
    </w:r>
    <w:r>
      <w:rPr/>
      <w:pict>
        <v:shape style="position:absolute;margin-left:527.659973pt;margin-top:781.933899pt;width:13.15pt;height:11pt;mso-position-horizontal-relative:page;mso-position-vertical-relative:page;z-index:-1384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84144" type="#_x0000_t75" stroked="false">
          <v:imagedata r:id="rId1" o:title=""/>
        </v:shape>
      </w:pict>
    </w:r>
    <w:r>
      <w:rPr/>
      <w:pict>
        <v:shape style="position:absolute;margin-left:524.099976pt;margin-top:781.933899pt;width:15.7pt;height:11pt;mso-position-horizontal-relative:page;mso-position-vertical-relative:page;z-index:-13841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84096" type="#_x0000_t75" stroked="false">
          <v:imagedata r:id="rId1" o:title=""/>
        </v:shape>
      </w:pict>
    </w:r>
    <w:r>
      <w:rPr/>
      <w:pict>
        <v:shape style="position:absolute;margin-left:523.099976pt;margin-top:781.933899pt;width:17.7pt;height:11pt;mso-position-horizontal-relative:page;mso-position-vertical-relative:page;z-index:-1384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84048" type="#_x0000_t75" stroked="false">
          <v:imagedata r:id="rId1" o:title=""/>
        </v:shape>
      </w:pict>
    </w:r>
    <w:r>
      <w:rPr/>
      <w:pict>
        <v:shape style="position:absolute;margin-left:523.460022pt;margin-top:781.933899pt;width:17.3pt;height:11pt;mso-position-horizontal-relative:page;mso-position-vertical-relative:page;z-index:-1384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383976" type="#_x0000_t75" stroked="false">
          <v:imagedata r:id="rId1" o:title=""/>
        </v:shape>
      </w:pict>
    </w:r>
    <w:r>
      <w:rPr/>
      <w:pict>
        <v:shape style="position:absolute;margin-left:754.820007pt;margin-top:535.333923pt;width:17.3pt;height:11pt;mso-position-horizontal-relative:page;mso-position-vertical-relative:page;z-index:-1383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383928" type="#_x0000_t75" stroked="false">
          <v:imagedata r:id="rId1" o:title=""/>
        </v:shape>
      </w:pict>
    </w:r>
    <w:r>
      <w:rPr/>
      <w:pict>
        <v:shape style="position:absolute;margin-left:754.460022pt;margin-top:535.333923pt;width:17.7pt;height:11pt;mso-position-horizontal-relative:page;mso-position-vertical-relative:page;z-index:-1383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83832" type="#_x0000_t75" stroked="false">
          <v:imagedata r:id="rId1" o:title=""/>
        </v:shape>
      </w:pict>
    </w:r>
    <w:r>
      <w:rPr/>
      <w:pict>
        <v:shape style="position:absolute;margin-left:523.099976pt;margin-top:781.933899pt;width:17.7pt;height:11pt;mso-position-horizontal-relative:page;mso-position-vertical-relative:page;z-index:-1383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124</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83784" type="#_x0000_t75" stroked="false">
          <v:imagedata r:id="rId1" o:title=""/>
        </v:shape>
      </w:pict>
    </w:r>
    <w:r>
      <w:rPr/>
      <w:pict>
        <v:shape style="position:absolute;margin-left:524.099976pt;margin-top:781.933899pt;width:15.7pt;height:11pt;mso-position-horizontal-relative:page;mso-position-vertical-relative:page;z-index:-13837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83736" type="#_x0000_t75" stroked="false">
          <v:imagedata r:id="rId1" o:title=""/>
        </v:shape>
      </w:pict>
    </w:r>
    <w:r>
      <w:rPr/>
      <w:pict>
        <v:shape style="position:absolute;margin-left:523.099976pt;margin-top:781.933899pt;width:17.7pt;height:11pt;mso-position-horizontal-relative:page;mso-position-vertical-relative:page;z-index:-1383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383664" type="#_x0000_t75" stroked="false">
          <v:imagedata r:id="rId1" o:title=""/>
        </v:shape>
      </w:pict>
    </w:r>
    <w:r>
      <w:rPr/>
      <w:pict>
        <v:shape style="position:absolute;margin-left:754.460022pt;margin-top:535.333923pt;width:17.7pt;height:11pt;mso-position-horizontal-relative:page;mso-position-vertical-relative:page;z-index:-1383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214</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84864" type="#_x0000_t75" stroked="false">
          <v:imagedata r:id="rId1" o:title=""/>
        </v:shape>
      </w:pict>
    </w:r>
    <w:r>
      <w:rPr/>
      <w:pict>
        <v:shape style="position:absolute;margin-left:527.659973pt;margin-top:781.933899pt;width:13.15pt;height:11pt;mso-position-horizontal-relative:page;mso-position-vertical-relative:page;z-index:-1384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83568" type="#_x0000_t75" stroked="false">
          <v:imagedata r:id="rId1" o:title=""/>
        </v:shape>
      </w:pict>
    </w:r>
    <w:r>
      <w:rPr/>
      <w:pict>
        <v:shape style="position:absolute;margin-left:523.099976pt;margin-top:781.933899pt;width:17.7pt;height:11pt;mso-position-horizontal-relative:page;mso-position-vertical-relative:page;z-index:-1383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217</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384792" type="#_x0000_t75" stroked="false">
          <v:imagedata r:id="rId1" o:title=""/>
        </v:shape>
      </w:pict>
    </w:r>
    <w:r>
      <w:rPr/>
      <w:pict>
        <v:shape style="position:absolute;margin-left:759.02002pt;margin-top:535.333923pt;width:13.15pt;height:11pt;mso-position-horizontal-relative:page;mso-position-vertical-relative:page;z-index:-1384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84696" type="#_x0000_t75" stroked="false">
          <v:imagedata r:id="rId1" o:title=""/>
        </v:shape>
      </w:pict>
    </w:r>
    <w:r>
      <w:rPr/>
      <w:pict>
        <v:shape style="position:absolute;margin-left:527.659973pt;margin-top:781.933899pt;width:13.15pt;height:11pt;mso-position-horizontal-relative:page;mso-position-vertical-relative:page;z-index:-1384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384624" type="#_x0000_t75" stroked="false">
          <v:imagedata r:id="rId1" o:title=""/>
        </v:shape>
      </w:pict>
    </w:r>
    <w:r>
      <w:rPr/>
      <w:pict>
        <v:shape style="position:absolute;margin-left:759.02002pt;margin-top:535.333923pt;width:13.15pt;height:11pt;mso-position-horizontal-relative:page;mso-position-vertical-relative:page;z-index:-1384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84528" type="#_x0000_t75" stroked="false">
          <v:imagedata r:id="rId1" o:title=""/>
        </v:shape>
      </w:pict>
    </w:r>
    <w:r>
      <w:rPr/>
      <w:pict>
        <v:shape style="position:absolute;margin-left:527.659973pt;margin-top:781.933899pt;width:13.15pt;height:11pt;mso-position-horizontal-relative:page;mso-position-vertical-relative:page;z-index:-1384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384456" type="#_x0000_t75" stroked="false">
          <v:imagedata r:id="rId1" o:title=""/>
        </v:shape>
      </w:pict>
    </w:r>
    <w:r>
      <w:rPr/>
      <w:pict>
        <v:shape style="position:absolute;margin-left:759.02002pt;margin-top:535.333923pt;width:13.15pt;height:11pt;mso-position-horizontal-relative:page;mso-position-vertical-relative:page;z-index:-1384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84360" type="#_x0000_t75" stroked="false">
          <v:imagedata r:id="rId1" o:title=""/>
        </v:shape>
      </w:pict>
    </w:r>
    <w:r>
      <w:rPr/>
      <w:pict>
        <v:shape style="position:absolute;margin-left:527.659973pt;margin-top:781.933899pt;width:13.15pt;height:11pt;mso-position-horizontal-relative:page;mso-position-vertical-relative:page;z-index:-1384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384288" type="#_x0000_t75" stroked="false">
          <v:imagedata r:id="rId1" o:title=""/>
        </v:shape>
      </w:pict>
    </w:r>
    <w:r>
      <w:rPr/>
      <w:pict>
        <v:shape style="position:absolute;margin-left:759.02002pt;margin-top:535.333923pt;width:13.15pt;height:11pt;mso-position-horizontal-relative:page;mso-position-vertical-relative:page;z-index:-1384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049988pt;margin-top:36.265610pt;width:231.75pt;height:11.5pt;mso-position-horizontal-relative:page;mso-position-vertical-relative:page;z-index:-13849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29993pt;margin-top:42.865631pt;width:231.75pt;height:11.5pt;mso-position-horizontal-relative:page;mso-position-vertical-relative:page;z-index:-13840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38388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08.049988pt;margin-top:42.865608pt;width:231.75pt;height:11.5pt;mso-position-horizontal-relative:page;mso-position-vertical-relative:page;z-index:-13838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29993pt;margin-top:42.865631pt;width:231.75pt;height:11.5pt;mso-position-horizontal-relative:page;mso-position-vertical-relative:page;z-index:-13836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3836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08.049988pt;margin-top:42.865608pt;width:231.75pt;height:11.5pt;mso-position-horizontal-relative:page;mso-position-vertical-relative:page;z-index:-13835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29993pt;margin-top:42.865631pt;width:231.75pt;height:11.5pt;mso-position-horizontal-relative:page;mso-position-vertical-relative:page;z-index:-13848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38474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08.049988pt;margin-top:42.865608pt;width:231.75pt;height:11.5pt;mso-position-horizontal-relative:page;mso-position-vertical-relative:page;z-index:-13847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29993pt;margin-top:42.865631pt;width:231.75pt;height:11.5pt;mso-position-horizontal-relative:page;mso-position-vertical-relative:page;z-index:-13846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38457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08.049988pt;margin-top:42.865608pt;width:231.75pt;height:11.5pt;mso-position-horizontal-relative:page;mso-position-vertical-relative:page;z-index:-13845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29993pt;margin-top:42.865631pt;width:231.75pt;height:11.5pt;mso-position-horizontal-relative:page;mso-position-vertical-relative:page;z-index:-13844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38440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08.049988pt;margin-top:42.865608pt;width:231.75pt;height:11.5pt;mso-position-horizontal-relative:page;mso-position-vertical-relative:page;z-index:-13843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29993pt;margin-top:42.865631pt;width:231.75pt;height:11.5pt;mso-position-horizontal-relative:page;mso-position-vertical-relative:page;z-index:-13843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38424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08.049988pt;margin-top:42.865608pt;width:231.75pt;height:11.5pt;mso-position-horizontal-relative:page;mso-position-vertical-relative:page;z-index:-1384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556"/>
      <w:outlineLvl w:val="1"/>
    </w:pPr>
    <w:rPr>
      <w:rFonts w:ascii="宋体" w:hAnsi="宋体" w:eastAsia="宋体"/>
      <w:b/>
      <w:bCs/>
      <w:sz w:val="32"/>
      <w:szCs w:val="32"/>
    </w:rPr>
  </w:style>
  <w:style w:styleId="Heading2" w:type="paragraph">
    <w:name w:val="Heading 2"/>
    <w:basedOn w:val="Normal"/>
    <w:uiPriority w:val="1"/>
    <w:qFormat/>
    <w:pPr>
      <w:spacing w:before="162"/>
      <w:ind w:left="152"/>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Heading4" w:type="paragraph">
    <w:name w:val="Heading 4"/>
    <w:basedOn w:val="Normal"/>
    <w:uiPriority w:val="1"/>
    <w:qFormat/>
    <w:pPr>
      <w:ind w:left="152"/>
      <w:outlineLvl w:val="4"/>
    </w:pPr>
    <w:rPr>
      <w:rFonts w:ascii="黑体" w:hAnsi="黑体" w:eastAsia="黑体"/>
      <w:sz w:val="24"/>
      <w:szCs w:val="24"/>
    </w:rPr>
  </w:style>
  <w:style w:styleId="Heading5" w:type="paragraph">
    <w:name w:val="Heading 5"/>
    <w:basedOn w:val="Normal"/>
    <w:uiPriority w:val="1"/>
    <w:qFormat/>
    <w:pPr>
      <w:ind w:left="594"/>
      <w:outlineLvl w:val="5"/>
    </w:pPr>
    <w:rPr>
      <w:rFonts w:ascii="宋体" w:hAnsi="宋体" w:eastAsia="宋体"/>
      <w:b/>
      <w:bCs/>
      <w:sz w:val="22"/>
      <w:szCs w:val="22"/>
    </w:rPr>
  </w:style>
  <w:style w:styleId="Heading6" w:type="paragraph">
    <w:name w:val="Heading 6"/>
    <w:basedOn w:val="Normal"/>
    <w:uiPriority w:val="1"/>
    <w:qFormat/>
    <w:pPr>
      <w:ind w:left="152" w:firstLine="439"/>
      <w:outlineLvl w:val="6"/>
    </w:pPr>
    <w:rPr>
      <w:rFonts w:ascii="宋体" w:hAnsi="宋体" w:eastAsia="宋体"/>
      <w:sz w:val="22"/>
      <w:szCs w:val="22"/>
    </w:rPr>
  </w:style>
  <w:style w:styleId="Heading7" w:type="paragraph">
    <w:name w:val="Heading 7"/>
    <w:basedOn w:val="Normal"/>
    <w:uiPriority w:val="1"/>
    <w:qFormat/>
    <w:pPr>
      <w:ind w:left="152"/>
      <w:outlineLvl w:val="7"/>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shijigroup.com/" TargetMode="External"/><Relationship Id="rId10" Type="http://schemas.openxmlformats.org/officeDocument/2006/relationships/hyperlink" Target="mailto:IR@shijigroup.com" TargetMode="External"/><Relationship Id="rId11" Type="http://schemas.openxmlformats.org/officeDocument/2006/relationships/hyperlink" Target="mailto:luofang@shijigroup.com" TargetMode="External"/><Relationship Id="rId12" Type="http://schemas.openxmlformats.org/officeDocument/2006/relationships/hyperlink" Target="mailto:any.zhao@shijigroup.com" TargetMode="External"/><Relationship Id="rId13" Type="http://schemas.openxmlformats.org/officeDocument/2006/relationships/hyperlink" Target="http://www.cninfo.com.cn/"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header" Target="header5.xml"/><Relationship Id="rId21" Type="http://schemas.openxmlformats.org/officeDocument/2006/relationships/footer" Target="footer6.xml"/><Relationship Id="rId22" Type="http://schemas.openxmlformats.org/officeDocument/2006/relationships/header" Target="header6.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hyperlink" Target="http://irm.cninfo.com.cn/ircs/ssgs/companyIrmes.do?stockcode=002" TargetMode="External"/><Relationship Id="rId27" Type="http://schemas.openxmlformats.org/officeDocument/2006/relationships/hyperlink" Target="http://www.cninfo.com.cn&#30340;&#30456;&#20851;&#20844;&#21578;/" TargetMode="External"/><Relationship Id="rId28" Type="http://schemas.openxmlformats.org/officeDocument/2006/relationships/hyperlink" Target="http://www.cninfo.com.cn&#30340;/" TargetMode="External"/><Relationship Id="rId29" Type="http://schemas.openxmlformats.org/officeDocument/2006/relationships/hyperlink" Target="http://www.cninfo.com.cn&#30340;&#30456;&#20851;&#20844;&#21578;&#25991;&#20214;/" TargetMode="External"/><Relationship Id="rId30" Type="http://schemas.openxmlformats.org/officeDocument/2006/relationships/header" Target="header8.xml"/><Relationship Id="rId31" Type="http://schemas.openxmlformats.org/officeDocument/2006/relationships/footer" Target="footer9.xml"/><Relationship Id="rId32" Type="http://schemas.openxmlformats.org/officeDocument/2006/relationships/header" Target="header9.xml"/><Relationship Id="rId33" Type="http://schemas.openxmlformats.org/officeDocument/2006/relationships/footer" Target="footer10.xml"/><Relationship Id="rId34" Type="http://schemas.openxmlformats.org/officeDocument/2006/relationships/hyperlink" Target="http://www.cninfo.com.cn&#30456;&#20851;&#20844;&#21578;&#25991;/" TargetMode="External"/><Relationship Id="rId35" Type="http://schemas.openxmlformats.org/officeDocument/2006/relationships/image" Target="media/image3.jpeg"/><Relationship Id="rId36" Type="http://schemas.openxmlformats.org/officeDocument/2006/relationships/hyperlink" Target="http://www.cninfo.com/" TargetMode="External"/><Relationship Id="rId37" Type="http://schemas.openxmlformats.org/officeDocument/2006/relationships/footer" Target="footer11.xml"/><Relationship Id="rId38" Type="http://schemas.openxmlformats.org/officeDocument/2006/relationships/footer" Target="footer12.xml"/><Relationship Id="rId39" Type="http://schemas.openxmlformats.org/officeDocument/2006/relationships/footer" Target="footer13.xml"/><Relationship Id="rId40" Type="http://schemas.openxmlformats.org/officeDocument/2006/relationships/header" Target="header10.xml"/><Relationship Id="rId41" Type="http://schemas.openxmlformats.org/officeDocument/2006/relationships/footer" Target="footer14.xml"/><Relationship Id="rId42" Type="http://schemas.openxmlformats.org/officeDocument/2006/relationships/footer" Target="footer15.xml"/><Relationship Id="rId43" Type="http://schemas.openxmlformats.org/officeDocument/2006/relationships/header" Target="header11.xml"/><Relationship Id="rId44" Type="http://schemas.openxmlformats.org/officeDocument/2006/relationships/footer" Target="footer16.xml"/><Relationship Id="rId45" Type="http://schemas.openxmlformats.org/officeDocument/2006/relationships/footer" Target="footer17.xml"/><Relationship Id="rId46" Type="http://schemas.openxmlformats.org/officeDocument/2006/relationships/footer" Target="footer18.xml"/><Relationship Id="rId47" Type="http://schemas.openxmlformats.org/officeDocument/2006/relationships/header" Target="header12.xml"/><Relationship Id="rId48" Type="http://schemas.openxmlformats.org/officeDocument/2006/relationships/footer" Target="footer19.xml"/><Relationship Id="rId49" Type="http://schemas.openxmlformats.org/officeDocument/2006/relationships/header" Target="header13.xml"/><Relationship Id="rId50" Type="http://schemas.openxmlformats.org/officeDocument/2006/relationships/footer" Target="footer20.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北京中长石基信息技术股份有限公司</dc:creator>
  <dc:title>北京中长石基信息技术股份有限公司2018年年度报告全文</dc:title>
  <dcterms:created xsi:type="dcterms:W3CDTF">2020-05-05T01:23:40Z</dcterms:created>
  <dcterms:modified xsi:type="dcterms:W3CDTF">2020-05-05T01:23:40Z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2019-04-22T00:00:00Z</vt:filetime>
  </property>
  <property fmtid="{D5CDD505-2E9C-101B-9397-08002B2CF9AE}" pid="3" name="Creator">
    <vt:lpwstr>Microsoft® Word 2010</vt:lpwstr>
  </property>
  <property fmtid="{D5CDD505-2E9C-101B-9397-08002B2CF9AE}" pid="4" name="LastSaved">
    <vt:filetime>2020-05-04T00:00:00Z</vt:filetime>
  </property>
</Properties>
</file>