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北京中长石基信息技术股份有限公司</w:t>
      </w:r>
      <w:bookmarkEnd w:id="0"/>
      <w:bookmarkEnd w:id="1"/>
      <w:bookmarkEnd w:id="2"/>
    </w:p>
    <w:p>
      <w:pPr>
        <w:pStyle w:val="Style8"/>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4446" w:right="1110" w:bottom="4446" w:left="1100"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48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公司负责人李仲初、主管会计工作负责人赖德源及会计机构负责人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李天达声明：保证本年度报告中财务报告的真实、准确、完整。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本年度报告所涉及的未来计划等前瞻性陈述，不构成公司对投资者的实质 承诺，请投资者注意投资风险，并保持足够的风险认识，理解计划、预测与承 诺之间的差异。</w:t>
      </w:r>
    </w:p>
    <w:p>
      <w:pPr>
        <w:pStyle w:val="Style14"/>
        <w:keepNext w:val="0"/>
        <w:keepLines w:val="0"/>
        <w:widowControl w:val="0"/>
        <w:shd w:val="clear" w:color="auto" w:fill="auto"/>
        <w:bidi w:val="0"/>
        <w:spacing w:before="0" w:line="62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年度仍处于进行国际化及平台化转型的关键时期，公司存在因行 业新技术变革导致的技术风险；公司传统酒店信息管理系统业务竞争加剧的市 场风险；公司在海内外进行资产及业务拓展引起的经营管理风险、海外投资风 险；公司因疫情引发的国家及全球经济下行的政策风险等。</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 本</w:t>
      </w:r>
      <w:r>
        <w:rPr>
          <w:rFonts w:ascii="Times New Roman" w:eastAsia="Times New Roman" w:hAnsi="Times New Roman" w:cs="Times New Roman"/>
          <w:color w:val="000000"/>
          <w:spacing w:val="0"/>
          <w:w w:val="100"/>
          <w:position w:val="0"/>
        </w:rPr>
        <w:t>1,071,112,183.00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w:t>
      </w:r>
      <w:r>
        <w:rPr>
          <w:color w:val="000000"/>
          <w:spacing w:val="0"/>
          <w:w w:val="100"/>
          <w:position w:val="0"/>
        </w:rPr>
        <w:t>元（含税）， 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p>
    <w:p>
      <w:pPr>
        <w:pStyle w:val="Style2"/>
        <w:keepNext/>
        <w:keepLines/>
        <w:widowControl w:val="0"/>
        <w:shd w:val="clear" w:color="auto" w:fill="auto"/>
        <w:bidi w:val="0"/>
        <w:spacing w:before="0" w:after="152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16"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64"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19</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134"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392"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601"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79</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668"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79</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672"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79</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676"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731"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849"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88</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853"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95</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1873"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96</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释义项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公司、石基信息、本公司</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北京中长石基信息技术股份有限公司公司章程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北京证监局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中国证券监督管理委员会北京监管局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北京中长石基信息技术股份有限公司股东大会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北京中长石基信息技术股份有限公司董事会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北京中长石基信息技术股份有限公司监事会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一级子公司</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北京中长石基软件有限公司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上海石基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上海石基信息技术有限公司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北海石基信息技术有限公司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敏付科技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敏付科技有限公司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杭州西软科技有限公司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中电器件</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中国电子器件工业有限公司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航信华仪</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北京航信华仪软件技术有限公司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石基商用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石基商用信息技术有限公司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石基昆仑</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北京石基昆仑软件有限公司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思迅软件</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深圳市思迅软件股份有限公司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正品贵德</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上海正品贵德软件有限公司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百望金税</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百望金税科技有限公司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二级重要子公司</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银石科技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银石科技有限公司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石基信息技术（香港），原</w:t>
            </w:r>
            <w:r>
              <w:rPr>
                <w:rFonts w:ascii="Times New Roman" w:eastAsia="Times New Roman" w:hAnsi="Times New Roman" w:cs="Times New Roman"/>
                <w:color w:val="000000"/>
                <w:spacing w:val="0"/>
                <w:w w:val="100"/>
                <w:position w:val="0"/>
                <w:sz w:val="18"/>
                <w:szCs w:val="18"/>
              </w:rPr>
              <w:t>InfTasys</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Hong Kong)Limited</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广州万迅</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广州万迅电脑软件有限公司</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浩华管理顾问（亚太）有限公司及浩华管理顾问（北京）有限公司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石基零售或</w:t>
            </w:r>
            <w:r>
              <w:rPr>
                <w:rFonts w:ascii="Times New Roman" w:eastAsia="Times New Roman" w:hAnsi="Times New Roman" w:cs="Times New Roman"/>
                <w:color w:val="000000"/>
                <w:spacing w:val="0"/>
                <w:w w:val="100"/>
                <w:position w:val="0"/>
                <w:sz w:val="18"/>
                <w:szCs w:val="18"/>
              </w:rPr>
              <w:t>Shiji Retail</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Retail Information Technology Co. Ltd.</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石基新加坡或</w:t>
            </w:r>
            <w:r>
              <w:rPr>
                <w:rFonts w:ascii="Times New Roman" w:eastAsia="Times New Roman" w:hAnsi="Times New Roman" w:cs="Times New Roman"/>
                <w:color w:val="000000"/>
                <w:spacing w:val="0"/>
                <w:w w:val="100"/>
                <w:position w:val="0"/>
                <w:sz w:val="18"/>
                <w:szCs w:val="18"/>
              </w:rPr>
              <w:t>Shiji Singapore</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Singapore</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Pte.Ltd</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石基欧洲</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GmbH</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石基西班牙</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Spain, S.A.</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石基美国或</w:t>
            </w:r>
            <w:r>
              <w:rPr>
                <w:rFonts w:ascii="Times New Roman" w:eastAsia="Times New Roman" w:hAnsi="Times New Roman" w:cs="Times New Roman"/>
                <w:color w:val="000000"/>
                <w:spacing w:val="0"/>
                <w:w w:val="100"/>
                <w:position w:val="0"/>
                <w:sz w:val="18"/>
                <w:szCs w:val="18"/>
              </w:rPr>
              <w:t>SHIJI （US）</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(US) Inc.</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商用星联</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北京商用星联信息科技有限公司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宝库在线</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北京宝库在线网络技术有限公司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海信智能商用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青岛海信智能商用系统股份有限公司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三级及以下重要子公司</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银石计算机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南京银石计算机系统有限公司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现化电脑</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现化电脑系统（北京）有限公司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石基大商</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北京石基大商信息技术有限公司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富基信息</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北京富基融通信息技术有限公司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长益科技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北京长京益康信息科技有限公司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上海时运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上海时运信息技术有限公司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广州合光</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广州合光信息科技有限公司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石基澳大利亚或</w:t>
            </w:r>
            <w:r>
              <w:rPr>
                <w:rFonts w:ascii="Times New Roman" w:eastAsia="Times New Roman" w:hAnsi="Times New Roman" w:cs="Times New Roman"/>
                <w:color w:val="000000"/>
                <w:spacing w:val="0"/>
                <w:w w:val="100"/>
                <w:position w:val="0"/>
                <w:sz w:val="18"/>
                <w:szCs w:val="18"/>
              </w:rPr>
              <w:t>Shiji（Australia）</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 i(Australia)Pty ltd</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石基印度或</w:t>
            </w:r>
            <w:r>
              <w:rPr>
                <w:rFonts w:ascii="Times New Roman" w:eastAsia="Times New Roman" w:hAnsi="Times New Roman" w:cs="Times New Roman"/>
                <w:color w:val="000000"/>
                <w:spacing w:val="0"/>
                <w:w w:val="100"/>
                <w:position w:val="0"/>
                <w:sz w:val="18"/>
                <w:szCs w:val="18"/>
              </w:rPr>
              <w:t>Shiji India</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India LLP</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石基马来西亚或</w:t>
            </w:r>
            <w:r>
              <w:rPr>
                <w:rFonts w:ascii="Times New Roman" w:eastAsia="Times New Roman" w:hAnsi="Times New Roman" w:cs="Times New Roman"/>
                <w:color w:val="000000"/>
                <w:spacing w:val="0"/>
                <w:w w:val="100"/>
                <w:position w:val="0"/>
                <w:sz w:val="18"/>
                <w:szCs w:val="18"/>
              </w:rPr>
              <w:t>Shiji Malaysia</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Malaysia Sdn Bhd</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石基克罗地亚</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Technologies Ltd.</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石基墨西哥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Mex Information Technology S.A. de C.V.</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石基环企</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石基环企软件（苏州）有限公司北京分公司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石基德国</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Deutschland GmbH</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Quick Check</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Quick Check Ltd.</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其他重要参股子公司</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未来酒店</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浙江未来酒店网络技术有限公司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迅付信息</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迅付信息科技有限公司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Kalibri</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Kalibri Labs LLC</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科传控股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科传计算机科技控股有限公司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公司股东</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专业名词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软件即服务</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ARR</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年度可重复订阅费</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MRR</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月度可重复订阅费</w:t>
            </w:r>
          </w:p>
        </w:tc>
      </w:tr>
    </w:tbl>
    <w:p>
      <w:pPr>
        <w:sectPr>
          <w:headerReference w:type="default" r:id="rId7"/>
          <w:footerReference w:type="default" r:id="rId8"/>
          <w:footnotePr>
            <w:pos w:val="pageBottom"/>
            <w:numFmt w:val="decimal"/>
            <w:numRestart w:val="continuous"/>
          </w:footnotePr>
          <w:pgSz w:w="11900" w:h="16840"/>
          <w:pgMar w:top="1441" w:right="1131" w:bottom="1484" w:left="1079" w:header="0" w:footer="3" w:gutter="0"/>
          <w:cols w:space="720"/>
          <w:noEndnote/>
          <w:rtlGutter w:val="0"/>
          <w:docGrid w:linePitch="360"/>
        </w:sectPr>
      </w:pPr>
    </w:p>
    <w:p>
      <w:pPr>
        <w:pStyle w:val="Style8"/>
        <w:keepNext/>
        <w:keepLines/>
        <w:widowControl w:val="0"/>
        <w:shd w:val="clear" w:color="auto" w:fill="auto"/>
        <w:bidi w:val="0"/>
        <w:spacing w:before="50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4"/>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bookmarkStart w:id="22" w:name="bookmark22"/>
      <w:r>
        <w:rPr>
          <w:color w:val="000000"/>
          <w:spacing w:val="0"/>
          <w:w w:val="100"/>
          <w:position w:val="0"/>
        </w:rPr>
        <w:t>一</w:t>
      </w:r>
      <w:bookmarkEnd w:id="21"/>
      <w:r>
        <w:rPr>
          <w:color w:val="000000"/>
          <w:spacing w:val="0"/>
          <w:w w:val="100"/>
          <w:position w:val="0"/>
        </w:rPr>
        <w:t>、公司信息</w:t>
      </w:r>
      <w:bookmarkEnd w:id="19"/>
      <w:bookmarkEnd w:id="20"/>
      <w:bookmarkEnd w:id="22"/>
      <w:bookmarkEnd w:id="18"/>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石基信息</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002153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变更后的股票简称（如有）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石基信息</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Shiji Information Technology Co., Ltd.</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北京市海淀区复兴路甲</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 xml:space="preserve">-A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层</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北京市石景山区玉泉路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层；北京市东城区东水井胡同</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层</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72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100040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100010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shij igroup. cn</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IR@shij igroup. com</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二</w:t>
      </w:r>
      <w:bookmarkEnd w:id="25"/>
      <w:r>
        <w:rPr>
          <w:color w:val="000000"/>
          <w:spacing w:val="0"/>
          <w:w w:val="100"/>
          <w:position w:val="0"/>
        </w:rPr>
        <w:t>、联系人和联系方式</w:t>
      </w:r>
      <w:bookmarkEnd w:id="23"/>
      <w:bookmarkEnd w:id="24"/>
      <w:bookmarkEnd w:id="2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赵文瑜</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北京市石景山区玉泉路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号楼燕 保大厦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层证券部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北京市石景山区玉泉路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号楼燕 保大厦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层证券部</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010-68249356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010-68249356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010-68183776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010-68183776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"mailto:luofang@shijigroup.com" </w:instrText>
            </w:r>
            <w:r>
              <w:fldChar w:fldCharType="separate"/>
            </w:r>
            <w:r>
              <w:rPr>
                <w:rFonts w:ascii="Times New Roman" w:eastAsia="Times New Roman" w:hAnsi="Times New Roman" w:cs="Times New Roman"/>
                <w:color w:val="000000"/>
                <w:spacing w:val="0"/>
                <w:w w:val="100"/>
                <w:position w:val="0"/>
                <w:sz w:val="18"/>
                <w:szCs w:val="18"/>
              </w:rPr>
              <w:t>luofang@shijigroup.com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any.zhao @shij </w:t>
            </w:r>
            <w:r>
              <w:rPr>
                <w:rFonts w:ascii="Times New Roman" w:eastAsia="Times New Roman" w:hAnsi="Times New Roman" w:cs="Times New Roman"/>
                <w:color w:val="000000"/>
                <w:spacing w:val="0"/>
                <w:w w:val="100"/>
                <w:position w:val="0"/>
                <w:sz w:val="18"/>
                <w:szCs w:val="18"/>
              </w:rPr>
              <w:t>igroup.com</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三</w:t>
      </w:r>
      <w:bookmarkEnd w:id="29"/>
      <w:r>
        <w:rPr>
          <w:color w:val="000000"/>
          <w:spacing w:val="0"/>
          <w:w w:val="100"/>
          <w:position w:val="0"/>
        </w:rPr>
        <w:t>、信息披露及备置地点</w:t>
      </w:r>
      <w:bookmarkEnd w:id="27"/>
      <w:bookmarkEnd w:id="28"/>
      <w:bookmarkEnd w:id="3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《中国证券报》、《上海证券报》</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深圳证券交易所、公司董事会秘书办公室</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四</w:t>
      </w:r>
      <w:bookmarkEnd w:id="33"/>
      <w:r>
        <w:rPr>
          <w:color w:val="000000"/>
          <w:spacing w:val="0"/>
          <w:w w:val="100"/>
          <w:position w:val="0"/>
        </w:rPr>
        <w:t>、注册变更情况</w:t>
      </w:r>
      <w:bookmarkEnd w:id="31"/>
      <w:bookmarkEnd w:id="32"/>
      <w:bookmarkEnd w:id="34"/>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63434298-5</w:t>
            </w:r>
            <w:r>
              <w:rPr>
                <w:color w:val="000000"/>
                <w:spacing w:val="0"/>
                <w:w w:val="100"/>
                <w:position w:val="0"/>
                <w:sz w:val="17"/>
                <w:szCs w:val="17"/>
              </w:rPr>
              <w:t>，无变更；公司统一社会信用代码：</w:t>
            </w:r>
            <w:r>
              <w:rPr>
                <w:rFonts w:ascii="Times New Roman" w:eastAsia="Times New Roman" w:hAnsi="Times New Roman" w:cs="Times New Roman"/>
                <w:color w:val="000000"/>
                <w:spacing w:val="0"/>
                <w:w w:val="100"/>
                <w:position w:val="0"/>
                <w:sz w:val="18"/>
                <w:szCs w:val="18"/>
              </w:rPr>
              <w:t>91110000634342985H</w:t>
            </w:r>
            <w:r>
              <w:rPr>
                <w:color w:val="000000"/>
                <w:spacing w:val="0"/>
                <w:w w:val="100"/>
                <w:position w:val="0"/>
                <w:sz w:val="17"/>
                <w:szCs w:val="17"/>
              </w:rPr>
              <w:t>，无变更；</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五</w:t>
      </w:r>
      <w:bookmarkEnd w:id="37"/>
      <w:r>
        <w:rPr>
          <w:color w:val="000000"/>
          <w:spacing w:val="0"/>
          <w:w w:val="100"/>
          <w:position w:val="0"/>
        </w:rPr>
        <w:t>、其他有关资料</w:t>
      </w:r>
      <w:bookmarkEnd w:id="35"/>
      <w:bookmarkEnd w:id="36"/>
      <w:bookmarkEnd w:id="3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张昆、张海啸</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六</w:t>
      </w:r>
      <w:bookmarkEnd w:id="41"/>
      <w:r>
        <w:rPr>
          <w:color w:val="000000"/>
          <w:spacing w:val="0"/>
          <w:w w:val="100"/>
          <w:position w:val="0"/>
        </w:rPr>
        <w:t>、主要会计数据和财务指标</w:t>
      </w:r>
      <w:bookmarkEnd w:id="39"/>
      <w:bookmarkEnd w:id="40"/>
      <w:bookmarkEnd w:id="4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130"/>
        <w:gridCol w:w="1699"/>
        <w:gridCol w:w="1699"/>
        <w:gridCol w:w="1704"/>
        <w:gridCol w:w="135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3,662,540,116.40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3,097,519,391.45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-67,580,013.80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368,017,553.68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463,482,459.69</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归属于上市公司股东的扣除非经常性损 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77,248,528.28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334,324,158.19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412,310,624.39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203,947,057.14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528,066,977.15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499,339,508.47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10,592,813,517.72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10,906,820,850.71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10,228,255,474.9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8,403,807,598.57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8,613,959,639.61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8,309,225,315.33</w:t>
            </w:r>
          </w:p>
        </w:tc>
      </w:tr>
    </w:tbl>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400"/>
        <w:gridCol w:w="1498"/>
        <w:gridCol w:w="1493"/>
        <w:gridCol w:w="4296"/>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3,662,540,116.40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营业收入为酒店、餐饮及零售行业研发的应用管理系 统的软件、硬件、技术开发收入、维护、安装、服务 收入、商品批发收入等。</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19,479,786.86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与主营业务无关</w:t>
            </w:r>
          </w:p>
        </w:tc>
      </w:tr>
      <w:tr>
        <w:trPr>
          <w:trHeight w:val="1032"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3,300,203,048.78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3,643,060,329.54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营业收入为酒店、餐饮及零售行业研发的应用管理系 统的软件、硬件、技术开发收入、维护、安装、服务 收入、商品批发收入等。</w:t>
            </w:r>
          </w:p>
        </w:tc>
      </w:tr>
    </w:tbl>
    <w:p>
      <w:pPr>
        <w:widowControl w:val="0"/>
        <w:spacing w:after="359" w:line="1" w:lineRule="exact"/>
      </w:pPr>
    </w:p>
    <w:p>
      <w:pPr>
        <w:pStyle w:val="Style24"/>
        <w:keepNext/>
        <w:keepLines/>
        <w:widowControl w:val="0"/>
        <w:shd w:val="clear" w:color="auto" w:fill="auto"/>
        <w:tabs>
          <w:tab w:pos="522"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七</w:t>
      </w:r>
      <w:bookmarkEnd w:id="45"/>
      <w:r>
        <w:rPr>
          <w:color w:val="000000"/>
          <w:spacing w:val="0"/>
          <w:w w:val="100"/>
          <w:position w:val="0"/>
        </w:rPr>
        <w:t>、</w:t>
        <w:tab/>
        <w:t>境内外会计准则下会计数据差异</w:t>
      </w:r>
      <w:bookmarkEnd w:id="43"/>
      <w:bookmarkEnd w:id="44"/>
      <w:bookmarkEnd w:id="46"/>
    </w:p>
    <w:p>
      <w:pPr>
        <w:pStyle w:val="Style32"/>
        <w:keepNext/>
        <w:keepLines/>
        <w:widowControl w:val="0"/>
        <w:shd w:val="clear" w:color="auto" w:fill="auto"/>
        <w:tabs>
          <w:tab w:pos="403"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after="36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rPr>
        <w:t>八</w:t>
      </w:r>
      <w:bookmarkEnd w:id="57"/>
      <w:r>
        <w:rPr>
          <w:color w:val="000000"/>
          <w:spacing w:val="0"/>
          <w:w w:val="100"/>
          <w:position w:val="0"/>
        </w:rPr>
        <w:t>、</w:t>
        <w:tab/>
        <w:t>分季度主要财务指标</w:t>
      </w:r>
      <w:bookmarkEnd w:id="55"/>
      <w:bookmarkEnd w:id="56"/>
      <w:bookmarkEnd w:id="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599,912,830.57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765,774,875.38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871,416,133.59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1,080,216,049.03</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37,899,130.66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20,045,932.35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30,099,180.57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-155,624,257.38</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35,030,608.65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11,949,326.88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25,871,572.78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4,397,019.97</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-238,848,253.89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170,844,706.70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3,232,241.22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268,718,363.10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rPr>
        <w:t>九</w:t>
      </w:r>
      <w:bookmarkEnd w:id="61"/>
      <w:r>
        <w:rPr>
          <w:color w:val="000000"/>
          <w:spacing w:val="0"/>
          <w:w w:val="100"/>
          <w:position w:val="0"/>
        </w:rPr>
        <w:t>、非经常性损益项目及金额</w:t>
      </w:r>
      <w:bookmarkEnd w:id="59"/>
      <w:bookmarkEnd w:id="60"/>
      <w:bookmarkEnd w:id="62"/>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-287,694.62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75,472.98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23,501,820.68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7,913,731.00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1,483,310.00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3,024,070.11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9,365,613.43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55,024,676.14</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-10,845,929.90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3,101,064.89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9,335,189.72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-1,353,941.68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6,060,052.92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-168,947,429.11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32,027,159.28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-122,601.92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 xml:space="preserve">处置 </w:t>
            </w:r>
            <w:r>
              <w:rPr>
                <w:rFonts w:ascii="Times New Roman" w:eastAsia="Times New Roman" w:hAnsi="Times New Roman" w:cs="Times New Roman"/>
                <w:color w:val="000000"/>
                <w:spacing w:val="0"/>
                <w:w w:val="100"/>
                <w:position w:val="0"/>
                <w:sz w:val="18"/>
                <w:szCs w:val="18"/>
              </w:rPr>
              <w:t xml:space="preserve">StayNTouch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股权的长期股 权投资产生的投资收 益亏损</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4,459,093.62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7,375,584.95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10,000,987.17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-749,459.77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6,766,451.64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1,348,087.65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-144,828,542.08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33,693,395.49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51,171,835.30</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80" w:line="314"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02"/>
        <w:gridCol w:w="1498"/>
        <w:gridCol w:w="6686"/>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49,205,340.39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增值税退税收入系公司根据国务院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2000]18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《鼓励软件产业和集成电路产业 发展的若干政策》及''国发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《关于印发进一步鼓励软件产业和集成电路产业 发展若干政策的通知》的规定，报告期内应收到的自行开发软件销售增值税退税收入， 由于该收入预计可以持续获得，故将其不作为非经常性损益。</w:t>
            </w:r>
          </w:p>
        </w:tc>
      </w:tr>
    </w:tbl>
    <w:p>
      <w:pPr>
        <w:pStyle w:val="Style8"/>
        <w:keepNext/>
        <w:keepLines/>
        <w:widowControl w:val="0"/>
        <w:shd w:val="clear" w:color="auto" w:fill="auto"/>
        <w:bidi w:val="0"/>
        <w:spacing w:before="0" w:after="58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24"/>
        <w:keepNext/>
        <w:keepLines/>
        <w:widowControl w:val="0"/>
        <w:shd w:val="clear" w:color="auto" w:fill="auto"/>
        <w:bidi w:val="0"/>
        <w:spacing w:before="0" w:after="240" w:line="240" w:lineRule="auto"/>
        <w:ind w:left="0" w:right="0" w:firstLine="0"/>
        <w:jc w:val="left"/>
      </w:pPr>
      <w:bookmarkStart w:id="66" w:name="bookmark66"/>
      <w:bookmarkStart w:id="67" w:name="bookmark67"/>
      <w:bookmarkStart w:id="68" w:name="bookmark68"/>
      <w:bookmarkStart w:id="69" w:name="bookmark69"/>
      <w:bookmarkStart w:id="70" w:name="bookmark70"/>
      <w:r>
        <w:rPr>
          <w:color w:val="000000"/>
          <w:spacing w:val="0"/>
          <w:w w:val="100"/>
          <w:position w:val="0"/>
        </w:rPr>
        <w:t>一</w:t>
      </w:r>
      <w:bookmarkEnd w:id="69"/>
      <w:r>
        <w:rPr>
          <w:color w:val="000000"/>
          <w:spacing w:val="0"/>
          <w:w w:val="100"/>
          <w:position w:val="0"/>
        </w:rPr>
        <w:t>、报告期内公司从事的主要业务</w:t>
      </w:r>
      <w:bookmarkEnd w:id="67"/>
      <w:bookmarkEnd w:id="68"/>
      <w:bookmarkEnd w:id="70"/>
      <w:bookmarkEnd w:id="66"/>
    </w:p>
    <w:p>
      <w:pPr>
        <w:pStyle w:val="Style28"/>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keepLines/>
        <w:widowControl w:val="0"/>
        <w:shd w:val="clear" w:color="auto" w:fill="auto"/>
        <w:bidi w:val="0"/>
        <w:spacing w:before="0" w:after="0" w:line="312" w:lineRule="exact"/>
        <w:ind w:left="0" w:right="0" w:firstLine="44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、公司从事的主要业务、主要产品及其用途</w:t>
      </w:r>
      <w:bookmarkEnd w:id="71"/>
      <w:bookmarkEnd w:id="72"/>
      <w:bookmarkEnd w:id="74"/>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报告期内，公司主要从事酒店、餐饮、零售、休闲娱乐等大消费行业信息管理系统软件的开发与销售、 系统集成、技术支持与服务业务，在中国星级酒店业信息管理系统市场和规模化零售业（客户年度营业额 </w:t>
      </w:r>
      <w:r>
        <w:rPr>
          <w:rFonts w:ascii="Times New Roman" w:eastAsia="Times New Roman" w:hAnsi="Times New Roman" w:cs="Times New Roman"/>
          <w:color w:val="000000"/>
          <w:spacing w:val="0"/>
          <w:w w:val="100"/>
          <w:position w:val="0"/>
        </w:rPr>
        <w:t>1</w:t>
      </w:r>
      <w:r>
        <w:rPr>
          <w:color w:val="000000"/>
          <w:spacing w:val="0"/>
          <w:w w:val="100"/>
          <w:position w:val="0"/>
        </w:rPr>
        <w:t>亿以上）信息管理系统市场居领先地位，在中国餐饮信息管理系统市场居相对领先地位。</w:t>
      </w:r>
    </w:p>
    <w:p>
      <w:pPr>
        <w:pStyle w:val="Style35"/>
        <w:keepNext w:val="0"/>
        <w:keepLines w:val="0"/>
        <w:widowControl w:val="0"/>
        <w:shd w:val="clear" w:color="auto" w:fill="auto"/>
        <w:tabs>
          <w:tab w:pos="970" w:val="left"/>
        </w:tabs>
        <w:bidi w:val="0"/>
        <w:spacing w:before="0" w:after="0" w:line="312" w:lineRule="exact"/>
        <w:ind w:left="0" w:right="0" w:firstLine="44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1</w:t>
      </w:r>
      <w:r>
        <w:rPr>
          <w:color w:val="000000"/>
          <w:spacing w:val="0"/>
          <w:w w:val="100"/>
          <w:position w:val="0"/>
        </w:rPr>
        <w:t>）</w:t>
        <w:tab/>
        <w:t>在酒店信息系统业务领域，公司是目前全球最主要的酒店信息管理系统全面解决方案提供商之 一，现有主要产品：</w:t>
      </w:r>
      <w:r>
        <w:rPr>
          <w:rFonts w:ascii="Times New Roman" w:eastAsia="Times New Roman" w:hAnsi="Times New Roman" w:cs="Times New Roman"/>
          <w:color w:val="000000"/>
          <w:spacing w:val="0"/>
          <w:w w:val="100"/>
          <w:position w:val="0"/>
        </w:rPr>
        <w:t>“</w:t>
      </w:r>
      <w:r>
        <w:rPr>
          <w:color w:val="000000"/>
          <w:spacing w:val="0"/>
          <w:w w:val="100"/>
          <w:position w:val="0"/>
        </w:rPr>
        <w:t>石基数字饭（酒）店信息管理系统平台</w:t>
      </w:r>
      <w:r>
        <w:rPr>
          <w:color w:val="000000"/>
          <w:spacing w:val="0"/>
          <w:w w:val="100"/>
          <w:position w:val="0"/>
        </w:rPr>
        <w:t>（</w:t>
      </w:r>
      <w:r>
        <w:rPr>
          <w:rFonts w:ascii="Times New Roman" w:eastAsia="Times New Roman" w:hAnsi="Times New Roman" w:cs="Times New Roman"/>
          <w:color w:val="000000"/>
          <w:spacing w:val="0"/>
          <w:w w:val="100"/>
          <w:position w:val="0"/>
        </w:rPr>
        <w:t>IPHotel</w:t>
      </w:r>
      <w:r>
        <w:rPr>
          <w:color w:val="000000"/>
          <w:spacing w:val="0"/>
          <w:w w:val="100"/>
          <w:position w:val="0"/>
        </w:rPr>
        <w:t>）</w:t>
      </w:r>
      <w:r>
        <w:rPr>
          <w:color w:val="000000"/>
          <w:spacing w:val="0"/>
          <w:w w:val="100"/>
          <w:position w:val="0"/>
        </w:rPr>
        <w:t>其集合具有自主知识产权的各 个子产品，其中含有支持多物业、多语言、多货币处理、全球部署的全面满足国际酒店集团管理需求的基 于公有云的纯</w:t>
      </w:r>
      <w:r>
        <w:rPr>
          <w:rFonts w:ascii="Times New Roman" w:eastAsia="Times New Roman" w:hAnsi="Times New Roman" w:cs="Times New Roman"/>
          <w:color w:val="000000"/>
          <w:spacing w:val="0"/>
          <w:w w:val="100"/>
          <w:position w:val="0"/>
        </w:rPr>
        <w:t>SaaS</w:t>
      </w:r>
      <w:r>
        <w:rPr>
          <w:color w:val="000000"/>
          <w:spacing w:val="0"/>
          <w:w w:val="100"/>
          <w:position w:val="0"/>
        </w:rPr>
        <w:t>收费方式的新一代酒店管理系统石基企业平台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w:t>
      </w:r>
      <w:r>
        <w:rPr>
          <w:rFonts w:ascii="Times New Roman" w:eastAsia="Times New Roman" w:hAnsi="Times New Roman" w:cs="Times New Roman"/>
          <w:color w:val="000000"/>
          <w:spacing w:val="0"/>
          <w:w w:val="100"/>
          <w:position w:val="0"/>
        </w:rPr>
        <w:t xml:space="preserve">［The Shiji Enterprise Platform （SEP）-Hospitality Solutions］ </w:t>
      </w:r>
      <w:r>
        <w:rPr>
          <w:color w:val="000000"/>
          <w:spacing w:val="0"/>
          <w:w w:val="100"/>
          <w:position w:val="0"/>
        </w:rPr>
        <w:t>＞</w:t>
      </w:r>
      <w:r>
        <w:rPr>
          <w:color w:val="000000"/>
          <w:spacing w:val="0"/>
          <w:w w:val="100"/>
          <w:position w:val="0"/>
        </w:rPr>
        <w:t>石基餐饮云管理系统</w:t>
      </w:r>
      <w:r>
        <w:rPr>
          <w:rFonts w:ascii="Times New Roman" w:eastAsia="Times New Roman" w:hAnsi="Times New Roman" w:cs="Times New Roman"/>
          <w:color w:val="000000"/>
          <w:spacing w:val="0"/>
          <w:w w:val="100"/>
          <w:position w:val="0"/>
        </w:rPr>
        <w:t>Infrasys Cloud</w:t>
      </w:r>
      <w:r>
        <w:rPr>
          <w:color w:val="000000"/>
          <w:spacing w:val="0"/>
          <w:w w:val="100"/>
          <w:position w:val="0"/>
        </w:rPr>
        <w:t>，</w:t>
      </w:r>
      <w:r>
        <w:rPr>
          <w:color w:val="000000"/>
          <w:spacing w:val="0"/>
          <w:w w:val="100"/>
          <w:position w:val="0"/>
        </w:rPr>
        <w:t>针对中国本地经营但采用国际化 管理方式的完全公有云部署的采用</w:t>
      </w:r>
      <w:r>
        <w:rPr>
          <w:rFonts w:ascii="Times New Roman" w:eastAsia="Times New Roman" w:hAnsi="Times New Roman" w:cs="Times New Roman"/>
          <w:color w:val="000000"/>
          <w:spacing w:val="0"/>
          <w:w w:val="100"/>
          <w:position w:val="0"/>
        </w:rPr>
        <w:t>SAAS</w:t>
      </w:r>
      <w:r>
        <w:rPr>
          <w:color w:val="000000"/>
          <w:spacing w:val="0"/>
          <w:w w:val="100"/>
          <w:position w:val="0"/>
        </w:rPr>
        <w:t>收费方式的石基云</w:t>
      </w:r>
      <w:r>
        <w:rPr>
          <w:rFonts w:ascii="Times New Roman" w:eastAsia="Times New Roman" w:hAnsi="Times New Roman" w:cs="Times New Roman"/>
          <w:color w:val="000000"/>
          <w:spacing w:val="0"/>
          <w:w w:val="100"/>
          <w:position w:val="0"/>
        </w:rPr>
        <w:t>PMS -Cambridge</w:t>
      </w:r>
      <w:r>
        <w:rPr>
          <w:color w:val="000000"/>
          <w:spacing w:val="0"/>
          <w:w w:val="100"/>
          <w:position w:val="0"/>
        </w:rPr>
        <w:t>，</w:t>
      </w:r>
      <w:r>
        <w:rPr>
          <w:color w:val="000000"/>
          <w:spacing w:val="0"/>
          <w:w w:val="100"/>
          <w:position w:val="0"/>
        </w:rPr>
        <w:t>公司专门针对酒店业开发的 石基酒店财务管理系统</w:t>
      </w:r>
      <w:r>
        <w:rPr>
          <w:rFonts w:ascii="Times New Roman" w:eastAsia="Times New Roman" w:hAnsi="Times New Roman" w:cs="Times New Roman"/>
          <w:color w:val="000000"/>
          <w:spacing w:val="0"/>
          <w:w w:val="100"/>
          <w:position w:val="0"/>
        </w:rPr>
        <w:t>Shiji AC</w:t>
      </w:r>
      <w:r>
        <w:rPr>
          <w:color w:val="000000"/>
          <w:spacing w:val="0"/>
          <w:w w:val="100"/>
          <w:position w:val="0"/>
        </w:rPr>
        <w:t>、</w:t>
      </w:r>
      <w:r>
        <w:rPr>
          <w:color w:val="000000"/>
          <w:spacing w:val="0"/>
          <w:w w:val="100"/>
          <w:position w:val="0"/>
        </w:rPr>
        <w:t>采购</w:t>
      </w:r>
      <w:r>
        <w:rPr>
          <w:rFonts w:ascii="Times New Roman" w:eastAsia="Times New Roman" w:hAnsi="Times New Roman" w:cs="Times New Roman"/>
          <w:color w:val="000000"/>
          <w:spacing w:val="0"/>
          <w:w w:val="100"/>
          <w:position w:val="0"/>
        </w:rPr>
        <w:t>/</w:t>
      </w:r>
      <w:r>
        <w:rPr>
          <w:color w:val="000000"/>
          <w:spacing w:val="0"/>
          <w:w w:val="100"/>
          <w:position w:val="0"/>
        </w:rPr>
        <w:t>仓库</w:t>
      </w:r>
      <w:r>
        <w:rPr>
          <w:rFonts w:ascii="Times New Roman" w:eastAsia="Times New Roman" w:hAnsi="Times New Roman" w:cs="Times New Roman"/>
          <w:color w:val="000000"/>
          <w:spacing w:val="0"/>
          <w:w w:val="100"/>
          <w:position w:val="0"/>
        </w:rPr>
        <w:t>/</w:t>
      </w:r>
      <w:r>
        <w:rPr>
          <w:color w:val="000000"/>
          <w:spacing w:val="0"/>
          <w:w w:val="100"/>
          <w:position w:val="0"/>
        </w:rPr>
        <w:t>成本控制系统</w:t>
      </w:r>
      <w:r>
        <w:rPr>
          <w:rFonts w:ascii="Times New Roman" w:eastAsia="Times New Roman" w:hAnsi="Times New Roman" w:cs="Times New Roman"/>
          <w:color w:val="000000"/>
          <w:spacing w:val="0"/>
          <w:w w:val="100"/>
          <w:position w:val="0"/>
        </w:rPr>
        <w:t>Shiji PICC</w:t>
      </w:r>
      <w:r>
        <w:rPr>
          <w:color w:val="000000"/>
          <w:spacing w:val="0"/>
          <w:w w:val="100"/>
          <w:position w:val="0"/>
        </w:rPr>
        <w:t>、</w:t>
      </w:r>
      <w:r>
        <w:rPr>
          <w:color w:val="000000"/>
          <w:spacing w:val="0"/>
          <w:w w:val="100"/>
          <w:position w:val="0"/>
        </w:rPr>
        <w:t>人力资源系统</w:t>
      </w:r>
      <w:r>
        <w:rPr>
          <w:rFonts w:ascii="Times New Roman" w:eastAsia="Times New Roman" w:hAnsi="Times New Roman" w:cs="Times New Roman"/>
          <w:color w:val="000000"/>
          <w:spacing w:val="0"/>
          <w:w w:val="100"/>
          <w:position w:val="0"/>
        </w:rPr>
        <w:t>Shiji HRMS</w:t>
      </w:r>
      <w:r>
        <w:rPr>
          <w:color w:val="000000"/>
          <w:spacing w:val="0"/>
          <w:w w:val="100"/>
          <w:position w:val="0"/>
        </w:rPr>
        <w:t>、</w:t>
      </w:r>
      <w:r>
        <w:rPr>
          <w:color w:val="000000"/>
          <w:spacing w:val="0"/>
          <w:w w:val="100"/>
          <w:position w:val="0"/>
        </w:rPr>
        <w:t>独立运 营的石基在线酒店预订交易处理平台</w:t>
      </w:r>
      <w:r>
        <w:rPr>
          <w:rFonts w:ascii="Times New Roman" w:eastAsia="Times New Roman" w:hAnsi="Times New Roman" w:cs="Times New Roman"/>
          <w:color w:val="000000"/>
          <w:spacing w:val="0"/>
          <w:w w:val="100"/>
          <w:position w:val="0"/>
        </w:rPr>
        <w:t>SDS-Shiji distribution solutions</w:t>
      </w:r>
      <w:r>
        <w:rPr>
          <w:color w:val="000000"/>
          <w:spacing w:val="0"/>
          <w:w w:val="100"/>
          <w:position w:val="0"/>
        </w:rPr>
        <w:t>源</w:t>
      </w:r>
      <w:r>
        <w:rPr>
          <w:rFonts w:ascii="Times New Roman" w:eastAsia="Times New Roman" w:hAnsi="Times New Roman" w:cs="Times New Roman"/>
          <w:color w:val="000000"/>
          <w:spacing w:val="0"/>
          <w:w w:val="100"/>
          <w:position w:val="0"/>
        </w:rPr>
        <w:t xml:space="preserve">CHINAONLINE </w:t>
      </w:r>
      <w:r>
        <w:rPr>
          <w:color w:val="000000"/>
          <w:spacing w:val="0"/>
          <w:w w:val="100"/>
          <w:position w:val="0"/>
        </w:rPr>
        <w:t>（畅联）升级更名</w:t>
      </w:r>
      <w:r>
        <w:rPr>
          <w:rFonts w:ascii="Times New Roman" w:eastAsia="Times New Roman" w:hAnsi="Times New Roman" w:cs="Times New Roman"/>
          <w:color w:val="000000"/>
          <w:spacing w:val="0"/>
          <w:w w:val="100"/>
          <w:position w:val="0"/>
        </w:rPr>
        <w:t>］</w:t>
      </w:r>
      <w:r>
        <w:rPr>
          <w:color w:val="000000"/>
          <w:spacing w:val="0"/>
          <w:w w:val="100"/>
          <w:position w:val="0"/>
        </w:rPr>
        <w:t>、 石基酒店高尔夫及</w:t>
      </w:r>
      <w:r>
        <w:rPr>
          <w:rFonts w:ascii="Times New Roman" w:eastAsia="Times New Roman" w:hAnsi="Times New Roman" w:cs="Times New Roman"/>
          <w:color w:val="000000"/>
          <w:spacing w:val="0"/>
          <w:w w:val="100"/>
          <w:position w:val="0"/>
        </w:rPr>
        <w:t>SPA</w:t>
      </w:r>
      <w:r>
        <w:rPr>
          <w:color w:val="000000"/>
          <w:spacing w:val="0"/>
          <w:w w:val="100"/>
          <w:position w:val="0"/>
        </w:rPr>
        <w:t>信息系统</w:t>
      </w:r>
      <w:r>
        <w:rPr>
          <w:rFonts w:ascii="Times New Roman" w:eastAsia="Times New Roman" w:hAnsi="Times New Roman" w:cs="Times New Roman"/>
          <w:color w:val="000000"/>
          <w:spacing w:val="0"/>
          <w:w w:val="100"/>
          <w:position w:val="0"/>
        </w:rPr>
        <w:t>CONCEPT</w:t>
      </w:r>
      <w:r>
        <w:rPr>
          <w:color w:val="000000"/>
          <w:spacing w:val="0"/>
          <w:w w:val="100"/>
          <w:position w:val="0"/>
        </w:rPr>
        <w:t>、</w:t>
      </w:r>
      <w:r>
        <w:rPr>
          <w:color w:val="000000"/>
          <w:spacing w:val="0"/>
          <w:w w:val="100"/>
          <w:position w:val="0"/>
        </w:rPr>
        <w:t>石基客户声誉管理和分析系统</w:t>
      </w:r>
      <w:r>
        <w:rPr>
          <w:rFonts w:ascii="Times New Roman" w:eastAsia="Times New Roman" w:hAnsi="Times New Roman" w:cs="Times New Roman"/>
          <w:color w:val="000000"/>
          <w:spacing w:val="0"/>
          <w:w w:val="100"/>
          <w:position w:val="0"/>
        </w:rPr>
        <w:t>Review Pro</w:t>
      </w:r>
      <w:r>
        <w:rPr>
          <w:color w:val="000000"/>
          <w:spacing w:val="0"/>
          <w:w w:val="100"/>
          <w:position w:val="0"/>
        </w:rPr>
        <w:t>、</w:t>
      </w:r>
      <w:r>
        <w:rPr>
          <w:color w:val="000000"/>
          <w:spacing w:val="0"/>
          <w:w w:val="100"/>
          <w:position w:val="0"/>
        </w:rPr>
        <w:t>石基全球支付解决 方案</w:t>
      </w:r>
      <w:r>
        <w:rPr>
          <w:rFonts w:ascii="Times New Roman" w:eastAsia="Times New Roman" w:hAnsi="Times New Roman" w:cs="Times New Roman"/>
          <w:color w:val="000000"/>
          <w:spacing w:val="0"/>
          <w:w w:val="100"/>
          <w:position w:val="0"/>
        </w:rPr>
        <w:t>S PS-Shiji Payment Solution s</w:t>
      </w:r>
      <w:r>
        <w:rPr>
          <w:color w:val="000000"/>
          <w:spacing w:val="0"/>
          <w:w w:val="100"/>
          <w:position w:val="0"/>
        </w:rPr>
        <w:t>等。此外公司还拥有专门从事酒店中央预订系统</w:t>
      </w:r>
      <w:r>
        <w:rPr>
          <w:rFonts w:ascii="Times New Roman" w:eastAsia="Times New Roman" w:hAnsi="Times New Roman" w:cs="Times New Roman"/>
          <w:color w:val="000000"/>
          <w:spacing w:val="0"/>
          <w:w w:val="100"/>
          <w:position w:val="0"/>
        </w:rPr>
        <w:t>/</w:t>
      </w:r>
      <w:r>
        <w:rPr>
          <w:color w:val="000000"/>
          <w:spacing w:val="0"/>
          <w:w w:val="100"/>
          <w:position w:val="0"/>
        </w:rPr>
        <w:t>会员管理系统研发的控股 子公司石基昆仑，专业从事国内支付产品开发与销售的全资子公司银石科技，专业从事酒店开发咨询与顾 问服务的控股子公司浩华；公司的全资子公司杭州西软、广州万迅和航信华仪分别拥有满足本土酒店需求 的以</w:t>
      </w:r>
      <w:r>
        <w:rPr>
          <w:rFonts w:ascii="Times New Roman" w:eastAsia="Times New Roman" w:hAnsi="Times New Roman" w:cs="Times New Roman"/>
          <w:color w:val="000000"/>
          <w:spacing w:val="0"/>
          <w:w w:val="100"/>
          <w:position w:val="0"/>
        </w:rPr>
        <w:t>“</w:t>
      </w:r>
      <w:r>
        <w:rPr>
          <w:color w:val="000000"/>
          <w:spacing w:val="0"/>
          <w:w w:val="100"/>
          <w:position w:val="0"/>
        </w:rPr>
        <w:t>西软</w:t>
      </w:r>
      <w:r>
        <w:rPr>
          <w:rFonts w:ascii="Times New Roman" w:eastAsia="Times New Roman" w:hAnsi="Times New Roman" w:cs="Times New Roman"/>
          <w:color w:val="000000"/>
          <w:spacing w:val="0"/>
          <w:w w:val="100"/>
          <w:position w:val="0"/>
        </w:rPr>
        <w:t>“</w:t>
      </w:r>
      <w:r>
        <w:rPr>
          <w:color w:val="000000"/>
          <w:spacing w:val="0"/>
          <w:w w:val="100"/>
          <w:position w:val="0"/>
        </w:rPr>
        <w:t>千里马</w:t>
      </w:r>
      <w:r>
        <w:rPr>
          <w:rFonts w:ascii="Times New Roman" w:eastAsia="Times New Roman" w:hAnsi="Times New Roman" w:cs="Times New Roman"/>
          <w:color w:val="000000"/>
          <w:spacing w:val="0"/>
          <w:w w:val="100"/>
          <w:position w:val="0"/>
        </w:rPr>
        <w:t>“</w:t>
      </w:r>
      <w:r>
        <w:rPr>
          <w:color w:val="000000"/>
          <w:spacing w:val="0"/>
          <w:w w:val="100"/>
          <w:position w:val="0"/>
        </w:rPr>
        <w:t>华仪</w:t>
      </w:r>
      <w:r>
        <w:rPr>
          <w:rFonts w:ascii="Times New Roman" w:eastAsia="Times New Roman" w:hAnsi="Times New Roman" w:cs="Times New Roman"/>
          <w:color w:val="000000"/>
          <w:spacing w:val="0"/>
          <w:w w:val="100"/>
          <w:position w:val="0"/>
        </w:rPr>
        <w:t>''</w:t>
      </w:r>
      <w:r>
        <w:rPr>
          <w:color w:val="000000"/>
          <w:spacing w:val="0"/>
          <w:w w:val="100"/>
          <w:position w:val="0"/>
        </w:rPr>
        <w:t>为品牌的全套酒店信息管理系统。</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针对中国本地酒店客户，石基的云</w:t>
      </w:r>
      <w:r>
        <w:rPr>
          <w:rFonts w:ascii="Times New Roman" w:eastAsia="Times New Roman" w:hAnsi="Times New Roman" w:cs="Times New Roman"/>
          <w:color w:val="000000"/>
          <w:spacing w:val="0"/>
          <w:w w:val="100"/>
          <w:position w:val="0"/>
        </w:rPr>
        <w:t>PMS</w:t>
      </w:r>
      <w:r>
        <w:rPr>
          <w:color w:val="000000"/>
          <w:spacing w:val="0"/>
          <w:w w:val="100"/>
          <w:position w:val="0"/>
        </w:rPr>
        <w:t>系列产品已经非常成熟，这包括面向中国高端酒店市场但倾向 于国际化管理运营模式的</w:t>
      </w:r>
      <w:r>
        <w:rPr>
          <w:rFonts w:ascii="Times New Roman" w:eastAsia="Times New Roman" w:hAnsi="Times New Roman" w:cs="Times New Roman"/>
          <w:color w:val="000000"/>
          <w:spacing w:val="0"/>
          <w:w w:val="100"/>
          <w:position w:val="0"/>
        </w:rPr>
        <w:t>C ambridg e</w:t>
      </w:r>
      <w:r>
        <w:rPr>
          <w:color w:val="000000"/>
          <w:spacing w:val="0"/>
          <w:w w:val="100"/>
          <w:position w:val="0"/>
        </w:rPr>
        <w:t>云酒店管理系统，也包括面向纯本土酒店管理集团的西软</w:t>
      </w:r>
      <w:r>
        <w:rPr>
          <w:rFonts w:ascii="Times New Roman" w:eastAsia="Times New Roman" w:hAnsi="Times New Roman" w:cs="Times New Roman"/>
          <w:color w:val="000000"/>
          <w:spacing w:val="0"/>
          <w:w w:val="100"/>
          <w:position w:val="0"/>
        </w:rPr>
        <w:t>XMS</w:t>
      </w:r>
      <w:r>
        <w:rPr>
          <w:color w:val="000000"/>
          <w:spacing w:val="0"/>
          <w:w w:val="100"/>
          <w:position w:val="0"/>
        </w:rPr>
        <w:t>和千里 马</w:t>
      </w:r>
      <w:r>
        <w:rPr>
          <w:rFonts w:ascii="Times New Roman" w:eastAsia="Times New Roman" w:hAnsi="Times New Roman" w:cs="Times New Roman"/>
          <w:color w:val="000000"/>
          <w:spacing w:val="0"/>
          <w:w w:val="100"/>
          <w:position w:val="0"/>
        </w:rPr>
        <w:t>iPMS</w:t>
      </w:r>
      <w:r>
        <w:rPr>
          <w:color w:val="000000"/>
          <w:spacing w:val="0"/>
          <w:w w:val="100"/>
          <w:position w:val="0"/>
        </w:rPr>
        <w:t>解决方案，这三大</w:t>
      </w:r>
      <w:r>
        <w:rPr>
          <w:rFonts w:ascii="Times New Roman" w:eastAsia="Times New Roman" w:hAnsi="Times New Roman" w:cs="Times New Roman"/>
          <w:color w:val="000000"/>
          <w:spacing w:val="0"/>
          <w:w w:val="100"/>
          <w:position w:val="0"/>
        </w:rPr>
        <w:t>PMS</w:t>
      </w:r>
      <w:r>
        <w:rPr>
          <w:color w:val="000000"/>
          <w:spacing w:val="0"/>
          <w:w w:val="100"/>
          <w:position w:val="0"/>
        </w:rPr>
        <w:t>解决方案都是基于云端的，能够帮助酒店集团实现更好的数据流动和自上而 下的管理；针对国际酒店集团客户，公司经过多年海外团队的自主研发，已经推出了新一代云架构的企业 级酒店信息系统平台，报告期末已经在</w:t>
      </w:r>
      <w:r>
        <w:rPr>
          <w:rFonts w:ascii="Times New Roman" w:eastAsia="Times New Roman" w:hAnsi="Times New Roman" w:cs="Times New Roman"/>
          <w:color w:val="000000"/>
          <w:spacing w:val="0"/>
          <w:w w:val="100"/>
          <w:position w:val="0"/>
        </w:rPr>
        <w:t>10</w:t>
      </w:r>
      <w:r>
        <w:rPr>
          <w:color w:val="000000"/>
          <w:spacing w:val="0"/>
          <w:w w:val="100"/>
          <w:position w:val="0"/>
        </w:rPr>
        <w:t>家欧洲酒店成功上线，并已得到首个标杆型知名国际酒店集团半 岛酒店认可。剔除只使用</w:t>
      </w:r>
      <w:r>
        <w:rPr>
          <w:rFonts w:ascii="Times New Roman" w:eastAsia="Times New Roman" w:hAnsi="Times New Roman" w:cs="Times New Roman"/>
          <w:color w:val="000000"/>
          <w:spacing w:val="0"/>
          <w:w w:val="100"/>
          <w:position w:val="0"/>
        </w:rPr>
        <w:t>Oracle</w:t>
      </w:r>
      <w:r>
        <w:rPr>
          <w:color w:val="000000"/>
          <w:spacing w:val="0"/>
          <w:w w:val="100"/>
          <w:position w:val="0"/>
        </w:rPr>
        <w:t>代理软件的客户，本报告期末，使用石基自主软件的国内酒店客户总数依 然超过</w:t>
      </w:r>
      <w:r>
        <w:rPr>
          <w:rFonts w:ascii="Times New Roman" w:eastAsia="Times New Roman" w:hAnsi="Times New Roman" w:cs="Times New Roman"/>
          <w:color w:val="000000"/>
          <w:spacing w:val="0"/>
          <w:w w:val="100"/>
          <w:position w:val="0"/>
        </w:rPr>
        <w:t>13,000</w:t>
      </w:r>
      <w:r>
        <w:rPr>
          <w:color w:val="000000"/>
          <w:spacing w:val="0"/>
          <w:w w:val="100"/>
          <w:position w:val="0"/>
        </w:rPr>
        <w:t>家，公司自主酒店软件在中国五星级酒店市场的占有率约</w:t>
      </w:r>
      <w:r>
        <w:rPr>
          <w:rFonts w:ascii="Times New Roman" w:eastAsia="Times New Roman" w:hAnsi="Times New Roman" w:cs="Times New Roman"/>
          <w:color w:val="000000"/>
          <w:spacing w:val="0"/>
          <w:w w:val="100"/>
          <w:position w:val="0"/>
        </w:rPr>
        <w:t xml:space="preserve">60% </w:t>
      </w:r>
      <w:r>
        <w:rPr>
          <w:color w:val="000000"/>
          <w:spacing w:val="0"/>
          <w:w w:val="100"/>
          <w:position w:val="0"/>
        </w:rPr>
        <w:t>（至少使用了一种石基自主酒 店软件）。</w:t>
      </w:r>
    </w:p>
    <w:p>
      <w:pPr>
        <w:pStyle w:val="Style38"/>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为了将公司高端酒店信息系统业务向境外市场拓展，公司在亚太、欧洲和北美三大区域设立了一系列 境外子公司并正式开展业务，包括</w:t>
      </w:r>
      <w:r>
        <w:rPr>
          <w:color w:val="000000"/>
          <w:spacing w:val="0"/>
          <w:w w:val="100"/>
          <w:position w:val="0"/>
        </w:rPr>
        <w:t>Shiji （US） Ltd.</w:t>
      </w:r>
      <w:r>
        <w:rPr>
          <w:rFonts w:ascii="SimSun" w:eastAsia="SimSun" w:hAnsi="SimSun" w:cs="SimSun"/>
          <w:color w:val="000000"/>
          <w:spacing w:val="0"/>
          <w:w w:val="100"/>
          <w:position w:val="0"/>
        </w:rPr>
        <w:t>（石基美国）、</w:t>
      </w:r>
      <w:r>
        <w:rPr>
          <w:color w:val="000000"/>
          <w:spacing w:val="0"/>
          <w:w w:val="100"/>
          <w:position w:val="0"/>
        </w:rPr>
        <w:t>Shiji GmbH</w:t>
      </w:r>
      <w:r>
        <w:rPr>
          <w:rFonts w:ascii="SimSun" w:eastAsia="SimSun" w:hAnsi="SimSun" w:cs="SimSun"/>
          <w:color w:val="000000"/>
          <w:spacing w:val="0"/>
          <w:w w:val="100"/>
          <w:position w:val="0"/>
        </w:rPr>
        <w:t>（石基欧洲）、</w:t>
      </w:r>
      <w:r>
        <w:rPr>
          <w:color w:val="000000"/>
          <w:spacing w:val="0"/>
          <w:w w:val="100"/>
          <w:position w:val="0"/>
        </w:rPr>
        <w:t xml:space="preserve">Shiji Deutschland GmbH </w:t>
      </w:r>
      <w:r>
        <w:rPr>
          <w:rFonts w:ascii="SimSun" w:eastAsia="SimSun" w:hAnsi="SimSun" w:cs="SimSun"/>
          <w:color w:val="000000"/>
          <w:spacing w:val="0"/>
          <w:w w:val="100"/>
          <w:position w:val="0"/>
        </w:rPr>
        <w:t>（石基德国）、</w:t>
      </w:r>
      <w:r>
        <w:rPr>
          <w:color w:val="000000"/>
          <w:spacing w:val="0"/>
          <w:w w:val="100"/>
          <w:position w:val="0"/>
        </w:rPr>
        <w:t>Shiji （Singapore） Pte. Ltd.</w:t>
      </w:r>
      <w:r>
        <w:rPr>
          <w:rFonts w:ascii="SimSun" w:eastAsia="SimSun" w:hAnsi="SimSun" w:cs="SimSun"/>
          <w:color w:val="000000"/>
          <w:spacing w:val="0"/>
          <w:w w:val="100"/>
          <w:position w:val="0"/>
        </w:rPr>
        <w:t>（石基新加坡）、</w:t>
      </w:r>
      <w:r>
        <w:rPr>
          <w:color w:val="000000"/>
          <w:spacing w:val="0"/>
          <w:w w:val="100"/>
          <w:position w:val="0"/>
        </w:rPr>
        <w:t>Shiji Information （Hongkong） Limited（</w:t>
      </w:r>
      <w:r>
        <w:rPr>
          <w:rFonts w:ascii="SimSun" w:eastAsia="SimSun" w:hAnsi="SimSun" w:cs="SimSun"/>
          <w:color w:val="000000"/>
          <w:spacing w:val="0"/>
          <w:w w:val="100"/>
          <w:position w:val="0"/>
        </w:rPr>
        <w:t>石基 信息技术香港</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Shiji（ Macau） Limited （</w:t>
      </w:r>
      <w:r>
        <w:rPr>
          <w:rFonts w:ascii="SimSun" w:eastAsia="SimSun" w:hAnsi="SimSun" w:cs="SimSun"/>
          <w:color w:val="000000"/>
          <w:spacing w:val="0"/>
          <w:w w:val="100"/>
          <w:position w:val="0"/>
        </w:rPr>
        <w:t>石基澳门）、</w:t>
      </w:r>
      <w:r>
        <w:rPr>
          <w:color w:val="000000"/>
          <w:spacing w:val="0"/>
          <w:w w:val="100"/>
          <w:position w:val="0"/>
        </w:rPr>
        <w:t>Shiji（Australia）Pty Ltd.</w:t>
      </w:r>
      <w:r>
        <w:rPr>
          <w:rFonts w:ascii="SimSun" w:eastAsia="SimSun" w:hAnsi="SimSun" w:cs="SimSun"/>
          <w:color w:val="000000"/>
          <w:spacing w:val="0"/>
          <w:w w:val="100"/>
          <w:position w:val="0"/>
        </w:rPr>
        <w:t>（石基澳大利亚）、</w:t>
      </w:r>
      <w:r>
        <w:rPr>
          <w:color w:val="000000"/>
          <w:spacing w:val="0"/>
          <w:w w:val="100"/>
          <w:position w:val="0"/>
        </w:rPr>
        <w:t xml:space="preserve">Shiji Malaysia Sdn Bhd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石基马来西亚）、</w:t>
      </w:r>
      <w:r>
        <w:rPr>
          <w:color w:val="000000"/>
          <w:spacing w:val="0"/>
          <w:w w:val="100"/>
          <w:position w:val="0"/>
        </w:rPr>
        <w:t>Shiji Japan</w:t>
      </w:r>
      <w:r>
        <w:rPr>
          <w:rFonts w:ascii="SimSun" w:eastAsia="SimSun" w:hAnsi="SimSun" w:cs="SimSun"/>
          <w:color w:val="000000"/>
          <w:spacing w:val="0"/>
          <w:w w:val="100"/>
          <w:position w:val="0"/>
        </w:rPr>
        <w:t>株式会社（石基日本）、</w:t>
      </w:r>
      <w:r>
        <w:rPr>
          <w:color w:val="000000"/>
          <w:spacing w:val="0"/>
          <w:w w:val="100"/>
          <w:position w:val="0"/>
        </w:rPr>
        <w:t xml:space="preserve">Shiji Middle East-FZ LLC </w:t>
      </w:r>
      <w:r>
        <w:rPr>
          <w:rFonts w:ascii="SimSun" w:eastAsia="SimSun" w:hAnsi="SimSun" w:cs="SimSun"/>
          <w:color w:val="000000"/>
          <w:spacing w:val="0"/>
          <w:w w:val="100"/>
          <w:position w:val="0"/>
        </w:rPr>
        <w:t xml:space="preserve">（石基中东）、 </w:t>
      </w:r>
      <w:r>
        <w:rPr>
          <w:color w:val="000000"/>
          <w:spacing w:val="0"/>
          <w:w w:val="100"/>
          <w:position w:val="0"/>
        </w:rPr>
        <w:t xml:space="preserve">Shiji（ Thailand） Limited </w:t>
      </w:r>
      <w:r>
        <w:rPr>
          <w:rFonts w:ascii="SimSun" w:eastAsia="SimSun" w:hAnsi="SimSun" w:cs="SimSun"/>
          <w:color w:val="000000"/>
          <w:spacing w:val="0"/>
          <w:w w:val="100"/>
          <w:position w:val="0"/>
        </w:rPr>
        <w:t>（石基泰国）、</w:t>
      </w:r>
      <w:r>
        <w:rPr>
          <w:color w:val="000000"/>
          <w:spacing w:val="0"/>
          <w:w w:val="100"/>
          <w:position w:val="0"/>
        </w:rPr>
        <w:t xml:space="preserve">Shiji Slovakia s.r.o </w:t>
      </w:r>
      <w:r>
        <w:rPr>
          <w:rFonts w:ascii="SimSun" w:eastAsia="SimSun" w:hAnsi="SimSun" w:cs="SimSun"/>
          <w:color w:val="000000"/>
          <w:spacing w:val="0"/>
          <w:w w:val="100"/>
          <w:position w:val="0"/>
        </w:rPr>
        <w:t>（石基斯洛伐克）、</w:t>
      </w:r>
      <w:r>
        <w:rPr>
          <w:color w:val="000000"/>
          <w:spacing w:val="0"/>
          <w:w w:val="100"/>
          <w:position w:val="0"/>
        </w:rPr>
        <w:t xml:space="preserve">Shiji （India） LLP </w:t>
      </w:r>
      <w:r>
        <w:rPr>
          <w:rFonts w:ascii="SimSun" w:eastAsia="SimSun" w:hAnsi="SimSun" w:cs="SimSun"/>
          <w:color w:val="000000"/>
          <w:spacing w:val="0"/>
          <w:w w:val="100"/>
          <w:position w:val="0"/>
        </w:rPr>
        <w:t xml:space="preserve">（石基印度）、 </w:t>
      </w:r>
      <w:r>
        <w:rPr>
          <w:color w:val="000000"/>
          <w:spacing w:val="0"/>
          <w:w w:val="100"/>
          <w:position w:val="0"/>
        </w:rPr>
        <w:t>Shiji（ Canada） Inc.</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石基加拿大）、</w:t>
      </w:r>
      <w:r>
        <w:rPr>
          <w:color w:val="000000"/>
          <w:spacing w:val="0"/>
          <w:w w:val="100"/>
          <w:position w:val="0"/>
        </w:rPr>
        <w:t xml:space="preserve">Shiji Vietnam Limited Liablity Company </w:t>
      </w:r>
      <w:r>
        <w:rPr>
          <w:rFonts w:ascii="SimSun" w:eastAsia="SimSun" w:hAnsi="SimSun" w:cs="SimSun"/>
          <w:color w:val="000000"/>
          <w:spacing w:val="0"/>
          <w:w w:val="100"/>
          <w:position w:val="0"/>
        </w:rPr>
        <w:t>（石基越南）、</w:t>
      </w:r>
      <w:r>
        <w:rPr>
          <w:color w:val="000000"/>
          <w:spacing w:val="0"/>
          <w:w w:val="100"/>
          <w:position w:val="0"/>
        </w:rPr>
        <w:t xml:space="preserve">Shiji Korea Ltd </w:t>
      </w:r>
      <w:r>
        <w:rPr>
          <w:rFonts w:ascii="SimSun" w:eastAsia="SimSun" w:hAnsi="SimSun" w:cs="SimSun"/>
          <w:color w:val="000000"/>
          <w:spacing w:val="0"/>
          <w:w w:val="100"/>
          <w:position w:val="0"/>
        </w:rPr>
        <w:t>（石基韩国）、</w:t>
      </w:r>
      <w:r>
        <w:rPr>
          <w:color w:val="000000"/>
          <w:spacing w:val="0"/>
          <w:w w:val="100"/>
          <w:position w:val="0"/>
        </w:rPr>
        <w:t xml:space="preserve">Shiji Denmark ApS </w:t>
      </w:r>
      <w:r>
        <w:rPr>
          <w:rFonts w:ascii="SimSun" w:eastAsia="SimSun" w:hAnsi="SimSun" w:cs="SimSun"/>
          <w:color w:val="000000"/>
          <w:spacing w:val="0"/>
          <w:w w:val="100"/>
          <w:position w:val="0"/>
        </w:rPr>
        <w:t>（石基丹麦）、</w:t>
      </w:r>
      <w:r>
        <w:rPr>
          <w:color w:val="000000"/>
          <w:spacing w:val="0"/>
          <w:w w:val="100"/>
          <w:position w:val="0"/>
        </w:rPr>
        <w:t>Shiji Information Technology Spain, S.A.</w:t>
      </w:r>
      <w:r>
        <w:rPr>
          <w:rFonts w:ascii="SimSun" w:eastAsia="SimSun" w:hAnsi="SimSun" w:cs="SimSun"/>
          <w:color w:val="000000"/>
          <w:spacing w:val="0"/>
          <w:w w:val="100"/>
          <w:position w:val="0"/>
        </w:rPr>
        <w:t xml:space="preserve">（石基西班牙）、 </w:t>
      </w:r>
      <w:r>
        <w:rPr>
          <w:color w:val="000000"/>
          <w:spacing w:val="0"/>
          <w:w w:val="100"/>
          <w:position w:val="0"/>
        </w:rPr>
        <w:t>Shiji （UK） Ltd.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石基英国），以及</w:t>
      </w:r>
      <w:r>
        <w:rPr>
          <w:color w:val="000000"/>
          <w:spacing w:val="0"/>
          <w:w w:val="100"/>
          <w:position w:val="0"/>
        </w:rPr>
        <w:t>2020</w:t>
      </w:r>
      <w:r>
        <w:rPr>
          <w:rFonts w:ascii="SimSun" w:eastAsia="SimSun" w:hAnsi="SimSun" w:cs="SimSun"/>
          <w:color w:val="000000"/>
          <w:spacing w:val="0"/>
          <w:w w:val="100"/>
          <w:position w:val="0"/>
        </w:rPr>
        <w:t>年新增设立的</w:t>
      </w:r>
      <w:r>
        <w:rPr>
          <w:color w:val="000000"/>
          <w:spacing w:val="0"/>
          <w:w w:val="100"/>
          <w:position w:val="0"/>
          <w:sz w:val="22"/>
          <w:szCs w:val="22"/>
        </w:rPr>
        <w:t>ShijiMex Information Technology S.A. de C.V.</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石 基墨西哥）、</w:t>
      </w:r>
      <w:r>
        <w:rPr>
          <w:color w:val="000000"/>
          <w:spacing w:val="0"/>
          <w:w w:val="100"/>
          <w:position w:val="0"/>
        </w:rPr>
        <w:t>Shiji Technologies Ltd.</w:t>
      </w:r>
      <w:r>
        <w:rPr>
          <w:rFonts w:ascii="SimSun" w:eastAsia="SimSun" w:hAnsi="SimSun" w:cs="SimSun"/>
          <w:color w:val="000000"/>
          <w:spacing w:val="0"/>
          <w:w w:val="100"/>
          <w:position w:val="0"/>
          <w:sz w:val="22"/>
          <w:szCs w:val="22"/>
        </w:rPr>
        <w:t>（石基克罗地亚）</w:t>
      </w:r>
      <w:r>
        <w:rPr>
          <w:rFonts w:ascii="SimSun" w:eastAsia="SimSun" w:hAnsi="SimSun" w:cs="SimSun"/>
          <w:color w:val="000000"/>
          <w:spacing w:val="0"/>
          <w:w w:val="100"/>
          <w:position w:val="0"/>
        </w:rPr>
        <w:t>。</w:t>
      </w:r>
    </w:p>
    <w:p>
      <w:pPr>
        <w:pStyle w:val="Style35"/>
        <w:keepNext w:val="0"/>
        <w:keepLines w:val="0"/>
        <w:widowControl w:val="0"/>
        <w:shd w:val="clear" w:color="auto" w:fill="auto"/>
        <w:tabs>
          <w:tab w:pos="452" w:val="left"/>
        </w:tabs>
        <w:bidi w:val="0"/>
        <w:spacing w:before="0" w:after="0" w:line="312" w:lineRule="exact"/>
        <w:ind w:left="0" w:right="0" w:firstLine="44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2</w:t>
      </w:r>
      <w:r>
        <w:rPr>
          <w:color w:val="000000"/>
          <w:spacing w:val="0"/>
          <w:w w:val="100"/>
          <w:position w:val="0"/>
        </w:rPr>
        <w:t>）</w:t>
        <w:tab/>
        <w:t>在餐饮信息系统业务领域，公司拥有自主开发的</w:t>
      </w:r>
      <w:r>
        <w:rPr>
          <w:rFonts w:ascii="Times New Roman" w:eastAsia="Times New Roman" w:hAnsi="Times New Roman" w:cs="Times New Roman"/>
          <w:color w:val="000000"/>
          <w:spacing w:val="0"/>
          <w:w w:val="100"/>
          <w:position w:val="0"/>
        </w:rPr>
        <w:t>INFRA SYS</w:t>
      </w:r>
      <w:r>
        <w:rPr>
          <w:color w:val="000000"/>
          <w:spacing w:val="0"/>
          <w:w w:val="100"/>
          <w:position w:val="0"/>
        </w:rPr>
        <w:t xml:space="preserve">品牌面向全球高端酒店、餐饮及高端 </w:t>
      </w:r>
      <w:r>
        <w:rPr>
          <w:color w:val="000000"/>
          <w:spacing w:val="0"/>
          <w:w w:val="100"/>
          <w:position w:val="0"/>
        </w:rPr>
        <w:t>连锁社会餐饮客户，控股子公司正品贵德主要面向国内大型快餐连锁，控股子公司思迅软件面向餐饮全业 态包括连锁餐饮、大型中餐餐饮、西餐咖啡厅，以及酒店、会所等众多业态的信息管理软件系列产品。</w:t>
      </w:r>
    </w:p>
    <w:p>
      <w:pPr>
        <w:pStyle w:val="Style35"/>
        <w:keepNext w:val="0"/>
        <w:keepLines w:val="0"/>
        <w:widowControl w:val="0"/>
        <w:numPr>
          <w:ilvl w:val="0"/>
          <w:numId w:val="1"/>
        </w:numPr>
        <w:shd w:val="clear" w:color="auto" w:fill="auto"/>
        <w:bidi w:val="0"/>
        <w:spacing w:before="0" w:after="0" w:line="318" w:lineRule="exact"/>
        <w:ind w:left="0" w:right="0" w:firstLine="440"/>
        <w:jc w:val="both"/>
      </w:pPr>
      <w:bookmarkStart w:id="77" w:name="bookmark77"/>
      <w:bookmarkEnd w:id="77"/>
      <w:r>
        <w:rPr>
          <w:color w:val="000000"/>
          <w:spacing w:val="0"/>
          <w:w w:val="100"/>
          <w:position w:val="0"/>
        </w:rPr>
        <w:t xml:space="preserve"> 在零售信息系统业务领域，公司已经成为中国整个零售业信息系统的领导者，可为整个中国零 售业提供从低端到高端，从个体便利店到大型连锁商超乃至覆盖所有零售业态的信息系统解决方案。公司 拥有从事标准化零售信息系统业务的控股子公司思迅软件，以及从事规模化零售信息系统业务的控股子公 司石基零售及其下属全资或控股子公司石基大商、长益科技、富基信息、上海时运、广州合光和其参股子 公司科传控股。</w:t>
      </w:r>
    </w:p>
    <w:p>
      <w:pPr>
        <w:pStyle w:val="Style35"/>
        <w:keepNext w:val="0"/>
        <w:keepLines w:val="0"/>
        <w:widowControl w:val="0"/>
        <w:numPr>
          <w:ilvl w:val="0"/>
          <w:numId w:val="1"/>
        </w:numPr>
        <w:shd w:val="clear" w:color="auto" w:fill="auto"/>
        <w:tabs>
          <w:tab w:pos="961" w:val="left"/>
        </w:tabs>
        <w:bidi w:val="0"/>
        <w:spacing w:before="0" w:after="0" w:line="318" w:lineRule="exact"/>
        <w:ind w:left="0" w:right="0" w:firstLine="440"/>
        <w:jc w:val="both"/>
      </w:pPr>
      <w:bookmarkStart w:id="78" w:name="bookmark78"/>
      <w:bookmarkEnd w:id="78"/>
      <w:r>
        <w:rPr>
          <w:color w:val="000000"/>
          <w:spacing w:val="0"/>
          <w:w w:val="100"/>
          <w:position w:val="0"/>
        </w:rPr>
        <w:t>在旅游休闲信息系统业务领域，由公司控股子公司石基环企致力于为大型主题公园、景区旅游 小镇等复合型业态文化旅游目的地提供整体信息化管理解决方案，在中国大型主题公园和集团化大型旅游 目的地项目市场居领先地位。</w:t>
      </w: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除上述软件开发销售与技术服务业务以外，公司全资子公司中电器件负责与公司软件配套的硬件销售 业务，包括收银机、打印机等全系列商用硬件的集中采购与销售。此外，公司控股子公司海信智能商用负 责从事公司自主品牌的智能商用硬件设备生产，是国内最大的商用硬件生产商，主要提供</w:t>
      </w:r>
      <w:r>
        <w:rPr>
          <w:rFonts w:ascii="Times New Roman" w:eastAsia="Times New Roman" w:hAnsi="Times New Roman" w:cs="Times New Roman"/>
          <w:color w:val="000000"/>
          <w:spacing w:val="0"/>
          <w:w w:val="100"/>
          <w:position w:val="0"/>
        </w:rPr>
        <w:t>POS</w:t>
      </w:r>
      <w:r>
        <w:rPr>
          <w:color w:val="000000"/>
          <w:spacing w:val="0"/>
          <w:w w:val="100"/>
          <w:position w:val="0"/>
        </w:rPr>
        <w:t>机、金融机 具和自助设备，同时也提供部分商用软件。</w:t>
      </w:r>
    </w:p>
    <w:p>
      <w:pPr>
        <w:pStyle w:val="Style32"/>
        <w:keepNext/>
        <w:keepLines/>
        <w:widowControl w:val="0"/>
        <w:shd w:val="clear" w:color="auto" w:fill="auto"/>
        <w:bidi w:val="0"/>
        <w:spacing w:before="0" w:after="0" w:line="326" w:lineRule="auto"/>
        <w:ind w:left="0" w:right="0" w:firstLine="44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、公司的经营方式与盈利模式</w:t>
      </w:r>
      <w:bookmarkEnd w:id="79"/>
      <w:bookmarkEnd w:id="80"/>
      <w:bookmarkEnd w:id="82"/>
    </w:p>
    <w:p>
      <w:pPr>
        <w:pStyle w:val="Style32"/>
        <w:keepNext/>
        <w:keepLines/>
        <w:widowControl w:val="0"/>
        <w:numPr>
          <w:ilvl w:val="0"/>
          <w:numId w:val="3"/>
        </w:numPr>
        <w:shd w:val="clear" w:color="auto" w:fill="auto"/>
        <w:bidi w:val="0"/>
        <w:spacing w:before="0" w:after="0" w:line="312" w:lineRule="exact"/>
        <w:ind w:left="0" w:right="0" w:firstLine="440"/>
        <w:jc w:val="both"/>
      </w:pPr>
      <w:bookmarkStart w:id="79" w:name="bookmark79"/>
      <w:bookmarkStart w:id="80" w:name="bookmark80"/>
      <w:bookmarkStart w:id="83" w:name="bookmark83"/>
      <w:bookmarkStart w:id="84" w:name="bookmark84"/>
      <w:bookmarkEnd w:id="83"/>
      <w:r>
        <w:rPr>
          <w:color w:val="000000"/>
          <w:spacing w:val="0"/>
          <w:w w:val="100"/>
          <w:position w:val="0"/>
        </w:rPr>
        <w:t>软件开发销售与技术服务业务</w:t>
      </w:r>
      <w:bookmarkEnd w:id="79"/>
      <w:bookmarkEnd w:id="80"/>
      <w:bookmarkEnd w:id="84"/>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公司是目前全球最主要的酒店信息管理系统全面解决方案提供商之一，在餐饮信息管理系统、零售信 息管理系统、支付系统方面居于市场领先地位。公司传统的计算机服务和软件业务按其具体内容、工作重 点、项目实施阶段等方面的不同，可以划分为软件开发与销售、系统集成、技术支持与服务等三类业务， 上述三类业务主要以向酒店用户、餐饮企业用户、零售行业及休闲娱乐行业用户提供信息化全面解决方案 的方式开展，且上述三类业务相互交织、密不可分。</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公司计算机服务和软件业务的主要经营方式以及传统盈利模式可以概括为：以</w:t>
      </w:r>
      <w:r>
        <w:rPr>
          <w:rFonts w:ascii="Times New Roman" w:eastAsia="Times New Roman" w:hAnsi="Times New Roman" w:cs="Times New Roman"/>
          <w:color w:val="000000"/>
          <w:spacing w:val="0"/>
          <w:w w:val="100"/>
          <w:position w:val="0"/>
        </w:rPr>
        <w:t>“</w:t>
      </w:r>
      <w:r>
        <w:rPr>
          <w:color w:val="000000"/>
          <w:spacing w:val="0"/>
          <w:w w:val="100"/>
          <w:position w:val="0"/>
        </w:rPr>
        <w:t>信息管理系统工程项 目</w:t>
      </w:r>
      <w:r>
        <w:rPr>
          <w:rFonts w:ascii="Times New Roman" w:eastAsia="Times New Roman" w:hAnsi="Times New Roman" w:cs="Times New Roman"/>
          <w:color w:val="000000"/>
          <w:spacing w:val="0"/>
          <w:w w:val="100"/>
          <w:position w:val="0"/>
        </w:rPr>
        <w:t>''</w:t>
      </w:r>
      <w:r>
        <w:rPr>
          <w:color w:val="000000"/>
          <w:spacing w:val="0"/>
          <w:w w:val="100"/>
          <w:position w:val="0"/>
        </w:rPr>
        <w:t>合同、</w:t>
      </w:r>
      <w:r>
        <w:rPr>
          <w:rFonts w:ascii="Times New Roman" w:eastAsia="Times New Roman" w:hAnsi="Times New Roman" w:cs="Times New Roman"/>
          <w:color w:val="000000"/>
          <w:spacing w:val="0"/>
          <w:w w:val="100"/>
          <w:position w:val="0"/>
        </w:rPr>
        <w:t>“</w:t>
      </w:r>
      <w:r>
        <w:rPr>
          <w:color w:val="000000"/>
          <w:spacing w:val="0"/>
          <w:w w:val="100"/>
          <w:position w:val="0"/>
        </w:rPr>
        <w:t>软件销售合同</w:t>
      </w:r>
      <w:r>
        <w:rPr>
          <w:rFonts w:ascii="Times New Roman" w:eastAsia="Times New Roman" w:hAnsi="Times New Roman" w:cs="Times New Roman"/>
          <w:color w:val="000000"/>
          <w:spacing w:val="0"/>
          <w:w w:val="100"/>
          <w:position w:val="0"/>
        </w:rPr>
        <w:t>''</w:t>
      </w:r>
      <w:r>
        <w:rPr>
          <w:color w:val="000000"/>
          <w:spacing w:val="0"/>
          <w:w w:val="100"/>
          <w:position w:val="0"/>
        </w:rPr>
        <w:t>等方式，向酒店、餐饮、零售等不同行业类型的用户提供信息管理系统全面解决 方案。公司通过构建硬件和软件应用平台，向用户收取</w:t>
      </w:r>
      <w:r>
        <w:rPr>
          <w:rFonts w:ascii="Times New Roman" w:eastAsia="Times New Roman" w:hAnsi="Times New Roman" w:cs="Times New Roman"/>
          <w:color w:val="000000"/>
          <w:spacing w:val="0"/>
          <w:w w:val="100"/>
          <w:position w:val="0"/>
        </w:rPr>
        <w:t>“</w:t>
      </w:r>
      <w:r>
        <w:rPr>
          <w:color w:val="000000"/>
          <w:spacing w:val="0"/>
          <w:w w:val="100"/>
          <w:position w:val="0"/>
        </w:rPr>
        <w:t>信息管理系统工程项目</w:t>
      </w:r>
      <w:r>
        <w:rPr>
          <w:rFonts w:ascii="Times New Roman" w:eastAsia="Times New Roman" w:hAnsi="Times New Roman" w:cs="Times New Roman"/>
          <w:color w:val="000000"/>
          <w:spacing w:val="0"/>
          <w:w w:val="100"/>
          <w:position w:val="0"/>
        </w:rPr>
        <w:t>''</w:t>
      </w:r>
      <w:r>
        <w:rPr>
          <w:color w:val="000000"/>
          <w:spacing w:val="0"/>
          <w:w w:val="100"/>
          <w:position w:val="0"/>
        </w:rPr>
        <w:t>合同款、</w:t>
      </w:r>
      <w:r>
        <w:rPr>
          <w:rFonts w:ascii="Times New Roman" w:eastAsia="Times New Roman" w:hAnsi="Times New Roman" w:cs="Times New Roman"/>
          <w:color w:val="000000"/>
          <w:spacing w:val="0"/>
          <w:w w:val="100"/>
          <w:position w:val="0"/>
        </w:rPr>
        <w:t>“</w:t>
      </w:r>
      <w:r>
        <w:rPr>
          <w:color w:val="000000"/>
          <w:spacing w:val="0"/>
          <w:w w:val="100"/>
          <w:position w:val="0"/>
        </w:rPr>
        <w:t>软件销售</w:t>
      </w:r>
      <w:r>
        <w:rPr>
          <w:rFonts w:ascii="Times New Roman" w:eastAsia="Times New Roman" w:hAnsi="Times New Roman" w:cs="Times New Roman"/>
          <w:color w:val="000000"/>
          <w:spacing w:val="0"/>
          <w:w w:val="100"/>
          <w:position w:val="0"/>
        </w:rPr>
        <w:t>''</w:t>
      </w:r>
      <w:r>
        <w:rPr>
          <w:color w:val="000000"/>
          <w:spacing w:val="0"/>
          <w:w w:val="100"/>
          <w:position w:val="0"/>
        </w:rPr>
        <w:t>合同 款，实现收入与盈利；在为客户提供信息管理系统全面解决方案之后，以</w:t>
      </w:r>
      <w:r>
        <w:rPr>
          <w:rFonts w:ascii="Times New Roman" w:eastAsia="Times New Roman" w:hAnsi="Times New Roman" w:cs="Times New Roman"/>
          <w:color w:val="000000"/>
          <w:spacing w:val="0"/>
          <w:w w:val="100"/>
          <w:position w:val="0"/>
        </w:rPr>
        <w:t>“</w:t>
      </w:r>
      <w:r>
        <w:rPr>
          <w:color w:val="000000"/>
          <w:spacing w:val="0"/>
          <w:w w:val="100"/>
          <w:position w:val="0"/>
        </w:rPr>
        <w:t>技术支持服务合同</w:t>
      </w:r>
      <w:r>
        <w:rPr>
          <w:rFonts w:ascii="Times New Roman" w:eastAsia="Times New Roman" w:hAnsi="Times New Roman" w:cs="Times New Roman"/>
          <w:color w:val="000000"/>
          <w:spacing w:val="0"/>
          <w:w w:val="100"/>
          <w:position w:val="0"/>
        </w:rPr>
        <w:t>''</w:t>
      </w:r>
      <w:r>
        <w:rPr>
          <w:color w:val="000000"/>
          <w:spacing w:val="0"/>
          <w:w w:val="100"/>
          <w:position w:val="0"/>
        </w:rPr>
        <w:t>的方式长期 为客户提供产品升级、软硬件维护等服务，并通过收取</w:t>
      </w:r>
      <w:r>
        <w:rPr>
          <w:rFonts w:ascii="Times New Roman" w:eastAsia="Times New Roman" w:hAnsi="Times New Roman" w:cs="Times New Roman"/>
          <w:color w:val="000000"/>
          <w:spacing w:val="0"/>
          <w:w w:val="100"/>
          <w:position w:val="0"/>
        </w:rPr>
        <w:t>“</w:t>
      </w:r>
      <w:r>
        <w:rPr>
          <w:color w:val="000000"/>
          <w:spacing w:val="0"/>
          <w:w w:val="100"/>
          <w:position w:val="0"/>
        </w:rPr>
        <w:t>技术支持与服务</w:t>
      </w:r>
      <w:r>
        <w:rPr>
          <w:rFonts w:ascii="Times New Roman" w:eastAsia="Times New Roman" w:hAnsi="Times New Roman" w:cs="Times New Roman"/>
          <w:color w:val="000000"/>
          <w:spacing w:val="0"/>
          <w:w w:val="100"/>
          <w:position w:val="0"/>
        </w:rPr>
        <w:t>''</w:t>
      </w:r>
      <w:r>
        <w:rPr>
          <w:color w:val="000000"/>
          <w:spacing w:val="0"/>
          <w:w w:val="100"/>
          <w:position w:val="0"/>
        </w:rPr>
        <w:t>合同款，实现收入与盈利。</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w:t>
      </w:r>
      <w:r>
        <w:rPr>
          <w:rFonts w:ascii="Times New Roman" w:eastAsia="Times New Roman" w:hAnsi="Times New Roman" w:cs="Times New Roman"/>
          <w:color w:val="000000"/>
          <w:spacing w:val="0"/>
          <w:w w:val="100"/>
          <w:position w:val="0"/>
        </w:rPr>
        <w:t>2017</w:t>
      </w:r>
      <w:r>
        <w:rPr>
          <w:color w:val="000000"/>
          <w:spacing w:val="0"/>
          <w:w w:val="100"/>
          <w:position w:val="0"/>
        </w:rPr>
        <w:t>年起，随着公司国际化和平台化业务的发展，公司部分业务收入(以海外的业务为主)模式开 始从传统的软件、硬件和维护收入转为</w:t>
      </w:r>
      <w:r>
        <w:rPr>
          <w:rFonts w:ascii="Times New Roman" w:eastAsia="Times New Roman" w:hAnsi="Times New Roman" w:cs="Times New Roman"/>
          <w:color w:val="000000"/>
          <w:spacing w:val="0"/>
          <w:w w:val="100"/>
          <w:position w:val="0"/>
        </w:rPr>
        <w:t>“</w:t>
      </w:r>
      <w:r>
        <w:rPr>
          <w:color w:val="000000"/>
          <w:spacing w:val="0"/>
          <w:w w:val="100"/>
          <w:position w:val="0"/>
        </w:rPr>
        <w:t>软件即服务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SaaS</w:t>
      </w:r>
      <w:r>
        <w:rPr>
          <w:color w:val="000000"/>
          <w:spacing w:val="0"/>
          <w:w w:val="100"/>
          <w:position w:val="0"/>
        </w:rPr>
        <w:t>服务收入。软件通过订阅的方式收取费用，基 于云</w:t>
      </w:r>
      <w:r>
        <w:rPr>
          <w:rFonts w:ascii="Times New Roman" w:eastAsia="Times New Roman" w:hAnsi="Times New Roman" w:cs="Times New Roman"/>
          <w:color w:val="000000"/>
          <w:spacing w:val="0"/>
          <w:w w:val="100"/>
          <w:position w:val="0"/>
        </w:rPr>
        <w:t>SaaS</w:t>
      </w:r>
      <w:r>
        <w:rPr>
          <w:color w:val="000000"/>
          <w:spacing w:val="0"/>
          <w:w w:val="100"/>
          <w:position w:val="0"/>
        </w:rPr>
        <w:t>解决方案的利润实现以规模经济为中心。跨客户的多租户托管环境和标准化解决方案允许较低的 增量成本来托管、支持和提供新客户。当客户达到一定数量后，公司就可以减少销售和开发费用占比，并 获得更高的利润。公司在零售业和休闲娱乐业信息系统业务未来也将跟随公司在酒店、餐饮业的转型步伐, 逐步转向平台化和</w:t>
      </w:r>
      <w:r>
        <w:rPr>
          <w:rFonts w:ascii="Times New Roman" w:eastAsia="Times New Roman" w:hAnsi="Times New Roman" w:cs="Times New Roman"/>
          <w:color w:val="000000"/>
          <w:spacing w:val="0"/>
          <w:w w:val="100"/>
          <w:position w:val="0"/>
        </w:rPr>
        <w:t>SaaS</w:t>
      </w:r>
      <w:r>
        <w:rPr>
          <w:color w:val="000000"/>
          <w:spacing w:val="0"/>
          <w:w w:val="100"/>
          <w:position w:val="0"/>
        </w:rPr>
        <w:t>订阅付费方式。</w:t>
      </w:r>
    </w:p>
    <w:p>
      <w:pPr>
        <w:pStyle w:val="Style35"/>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公司在酒店和餐饮业的云转型目前可以概括为三个层次，首先是酒店和酒店集团之上的基于大数据的 应用服务，例如声誉管理、客户需求管理等实现云转型；其次是酒店餐饮管理系统、后台系统等原来与集 团系统连接不紧密的系统全面转向公有云；最后是酒店前台管理系统全面转向公有云。这三个层面的云系 统既相对独立又相互关联并最终在数据和应用平台层面完成集成，公司在这三个层面都已经进行了多年的 全球布局与产品研发，首先是基于大数据的应用云服务目前处于全球相对领先地位；其次是新一代云餐饮 管理系统</w:t>
      </w:r>
      <w:r>
        <w:rPr>
          <w:rFonts w:ascii="Times New Roman" w:eastAsia="Times New Roman" w:hAnsi="Times New Roman" w:cs="Times New Roman"/>
          <w:color w:val="000000"/>
          <w:spacing w:val="0"/>
          <w:w w:val="100"/>
          <w:position w:val="0"/>
        </w:rPr>
        <w:t>Infrasys Cloud</w:t>
      </w:r>
      <w:r>
        <w:rPr>
          <w:color w:val="000000"/>
          <w:spacing w:val="0"/>
          <w:w w:val="100"/>
          <w:position w:val="0"/>
        </w:rPr>
        <w:t xml:space="preserve">已陆续获得超过十家知名酒店集团的严格测试与评标认证，其中包括全球影响力 </w:t>
      </w:r>
      <w:r>
        <w:rPr>
          <w:rFonts w:ascii="Times New Roman" w:eastAsia="Times New Roman" w:hAnsi="Times New Roman" w:cs="Times New Roman"/>
          <w:color w:val="000000"/>
          <w:spacing w:val="0"/>
          <w:w w:val="100"/>
          <w:position w:val="0"/>
        </w:rPr>
        <w:t>TOP5</w:t>
      </w:r>
      <w:r>
        <w:rPr>
          <w:color w:val="000000"/>
          <w:spacing w:val="0"/>
          <w:w w:val="100"/>
          <w:position w:val="0"/>
        </w:rPr>
        <w:t>的酒店集团中的三家，并在这些集团中不断拓展上线，成为全球主要酒店餐饮信息系统提供商之一, 产品和技术处于全球酒店行业相对领先地位；最后是新一代云架构的酒店信息管理系统</w:t>
      </w:r>
      <w:r>
        <w:rPr>
          <w:rFonts w:ascii="Times New Roman" w:eastAsia="Times New Roman" w:hAnsi="Times New Roman" w:cs="Times New Roman"/>
          <w:color w:val="000000"/>
          <w:spacing w:val="0"/>
          <w:w w:val="100"/>
          <w:position w:val="0"/>
        </w:rPr>
        <w:t>“</w:t>
      </w:r>
      <w:r>
        <w:rPr>
          <w:color w:val="000000"/>
          <w:spacing w:val="0"/>
          <w:w w:val="100"/>
          <w:position w:val="0"/>
        </w:rPr>
        <w:t>石基企业平台</w:t>
      </w:r>
      <w:r>
        <w:rPr>
          <w:rFonts w:ascii="Times New Roman" w:eastAsia="Times New Roman" w:hAnsi="Times New Roman" w:cs="Times New Roman"/>
          <w:color w:val="000000"/>
          <w:spacing w:val="0"/>
          <w:w w:val="100"/>
          <w:position w:val="0"/>
        </w:rPr>
        <w:t xml:space="preserve">- </w:t>
      </w:r>
      <w:r>
        <w:rPr>
          <w:color w:val="000000"/>
          <w:spacing w:val="0"/>
          <w:w w:val="100"/>
          <w:position w:val="0"/>
        </w:rPr>
        <w:t>酒店业解决方案</w:t>
      </w:r>
      <w:r>
        <w:rPr>
          <w:rFonts w:ascii="Times New Roman" w:eastAsia="Times New Roman" w:hAnsi="Times New Roman" w:cs="Times New Roman"/>
          <w:color w:val="000000"/>
          <w:spacing w:val="0"/>
          <w:w w:val="100"/>
          <w:position w:val="0"/>
        </w:rPr>
        <w:t>[The Shiji Enterprise Platform (SEP)-Hospitality Solutions]”</w:t>
      </w:r>
      <w:r>
        <w:rPr>
          <w:color w:val="000000"/>
          <w:spacing w:val="0"/>
          <w:w w:val="100"/>
          <w:position w:val="0"/>
        </w:rPr>
        <w:t>在欧洲上线</w:t>
      </w:r>
      <w:r>
        <w:rPr>
          <w:rFonts w:ascii="Times New Roman" w:eastAsia="Times New Roman" w:hAnsi="Times New Roman" w:cs="Times New Roman"/>
          <w:color w:val="000000"/>
          <w:spacing w:val="0"/>
          <w:w w:val="100"/>
          <w:position w:val="0"/>
        </w:rPr>
        <w:t>10</w:t>
      </w:r>
      <w:r>
        <w:rPr>
          <w:color w:val="000000"/>
          <w:spacing w:val="0"/>
          <w:w w:val="100"/>
          <w:position w:val="0"/>
        </w:rPr>
        <w:t>家酒店的基础上，报 告期内已经完成全球化部署并拓展到欧洲以外，得到国际标杆酒店半岛酒店集团的认可，签约并完成系统 集成，正等待海外疫情得到控制，国际旅行得到恢复后即可以立即开始切换。除半岛集团以外，</w:t>
      </w:r>
      <w:r>
        <w:rPr>
          <w:rFonts w:ascii="Times New Roman" w:eastAsia="Times New Roman" w:hAnsi="Times New Roman" w:cs="Times New Roman"/>
          <w:color w:val="000000"/>
          <w:spacing w:val="0"/>
          <w:w w:val="100"/>
          <w:position w:val="0"/>
        </w:rPr>
        <w:t xml:space="preserve">SEP-HS </w:t>
      </w:r>
      <w:r>
        <w:rPr>
          <w:color w:val="000000"/>
          <w:spacing w:val="0"/>
          <w:w w:val="100"/>
          <w:position w:val="0"/>
        </w:rPr>
        <w:t>还继续在欧洲和亚太地区签约和上线新的酒店，包括成功切换了位于澳大利亚的大型五星级酒店的使用了 多年的</w:t>
      </w:r>
      <w:r>
        <w:rPr>
          <w:rFonts w:ascii="Times New Roman" w:eastAsia="Times New Roman" w:hAnsi="Times New Roman" w:cs="Times New Roman"/>
          <w:color w:val="000000"/>
          <w:spacing w:val="0"/>
          <w:w w:val="100"/>
          <w:position w:val="0"/>
        </w:rPr>
        <w:t>Opera</w:t>
      </w:r>
      <w:r>
        <w:rPr>
          <w:color w:val="000000"/>
          <w:spacing w:val="0"/>
          <w:w w:val="100"/>
          <w:position w:val="0"/>
        </w:rPr>
        <w:t>系统</w:t>
      </w:r>
      <w:r>
        <w:rPr>
          <w:rFonts w:ascii="Times New Roman" w:eastAsia="Times New Roman" w:hAnsi="Times New Roman" w:cs="Times New Roman"/>
          <w:color w:val="000000"/>
          <w:spacing w:val="0"/>
          <w:w w:val="100"/>
          <w:position w:val="0"/>
        </w:rPr>
        <w:t>,</w:t>
      </w:r>
      <w:r>
        <w:rPr>
          <w:color w:val="000000"/>
          <w:spacing w:val="0"/>
          <w:w w:val="100"/>
          <w:position w:val="0"/>
        </w:rPr>
        <w:t>获得客户很好的反馈。目前公司正在参与数个重要国际酒店集团对新一代酒店信息系统 的投标和测试，依靠技术和产品的领先，公司有望可以最终获选。</w:t>
      </w:r>
    </w:p>
    <w:p>
      <w:pPr>
        <w:pStyle w:val="Style35"/>
        <w:keepNext w:val="0"/>
        <w:keepLines w:val="0"/>
        <w:widowControl w:val="0"/>
        <w:shd w:val="clear" w:color="auto" w:fill="auto"/>
        <w:tabs>
          <w:tab w:pos="873" w:val="left"/>
        </w:tabs>
        <w:bidi w:val="0"/>
        <w:spacing w:before="0" w:after="40" w:line="312" w:lineRule="exact"/>
        <w:ind w:left="0" w:right="0" w:firstLine="44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商品批发与贸易业务</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公司的商品批发销售业务主要集中在中电器件，整个经营流程涉及采购、仓储、销售等环节。采购环 节中，中电器件选择生产厂商确定代理关系，定期根据经营实际情况向供应商采购；仓储环节中，中电器 件在北京、上海、广州等地设立了仓库；销售环节中，中电器件的主要销售模式为通过自身业务部门进行 直销，以及通过自有网络及经销商进行分销。中电器件在国内八大区域建立了销售及服务平台。</w:t>
      </w:r>
    </w:p>
    <w:p>
      <w:pPr>
        <w:pStyle w:val="Style35"/>
        <w:keepNext w:val="0"/>
        <w:keepLines w:val="0"/>
        <w:widowControl w:val="0"/>
        <w:shd w:val="clear" w:color="auto" w:fill="auto"/>
        <w:tabs>
          <w:tab w:pos="873" w:val="left"/>
        </w:tabs>
        <w:bidi w:val="0"/>
        <w:spacing w:before="0" w:after="40" w:line="312" w:lineRule="exact"/>
        <w:ind w:left="0" w:right="0" w:firstLine="440"/>
        <w:jc w:val="both"/>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自主智能商用设备业务</w:t>
      </w:r>
    </w:p>
    <w:p>
      <w:pPr>
        <w:pStyle w:val="Style35"/>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报告期内，公司的自主智能商用设备业务主要集中在控股子公司海信智能商用。该子公司负责生产、 制造、销售多种商用硬件设备和提供智能化解决方案，可适用于各种商业业态，包括为石基大消费生态圈 的酒店、餐饮、零售等行业的软件用户提供与软件紧密结合优化的配套硬件，在国内商用收款机品牌市场 居领先地位。该子公司的收入类型包括产品收入</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产品、金融</w:t>
      </w:r>
      <w:r>
        <w:rPr>
          <w:rFonts w:ascii="Times New Roman" w:eastAsia="Times New Roman" w:hAnsi="Times New Roman" w:cs="Times New Roman"/>
          <w:color w:val="000000"/>
          <w:spacing w:val="0"/>
          <w:w w:val="100"/>
          <w:position w:val="0"/>
        </w:rPr>
        <w:t>POS</w:t>
      </w:r>
      <w:r>
        <w:rPr>
          <w:color w:val="000000"/>
          <w:spacing w:val="0"/>
          <w:w w:val="100"/>
          <w:position w:val="0"/>
        </w:rPr>
        <w:t>产品、彩票机等）、项目软件收入、 项目硬件收入、项目服务费收入等。</w:t>
      </w:r>
    </w:p>
    <w:p>
      <w:pPr>
        <w:pStyle w:val="Style32"/>
        <w:keepNext/>
        <w:keepLines/>
        <w:widowControl w:val="0"/>
        <w:shd w:val="clear" w:color="auto" w:fill="auto"/>
        <w:bidi w:val="0"/>
        <w:spacing w:before="0" w:after="0" w:line="329" w:lineRule="auto"/>
        <w:ind w:left="0" w:right="0" w:firstLine="44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3</w:t>
      </w:r>
      <w:bookmarkEnd w:id="89"/>
      <w:r>
        <w:rPr>
          <w:color w:val="000000"/>
          <w:spacing w:val="0"/>
          <w:w w:val="100"/>
          <w:position w:val="0"/>
        </w:rPr>
        <w:t>、行业发展态势与行业地位</w:t>
      </w:r>
      <w:bookmarkEnd w:id="87"/>
      <w:bookmarkEnd w:id="88"/>
      <w:bookmarkEnd w:id="90"/>
    </w:p>
    <w:p>
      <w:pPr>
        <w:pStyle w:val="Style32"/>
        <w:keepNext/>
        <w:keepLines/>
        <w:widowControl w:val="0"/>
        <w:shd w:val="clear" w:color="auto" w:fill="auto"/>
        <w:bidi w:val="0"/>
        <w:spacing w:before="0" w:after="120" w:line="312" w:lineRule="exact"/>
        <w:ind w:left="0" w:right="0" w:firstLine="440"/>
        <w:jc w:val="both"/>
      </w:pPr>
      <w:bookmarkStart w:id="87" w:name="bookmark87"/>
      <w:bookmarkStart w:id="88" w:name="bookmark88"/>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color w:val="000000"/>
          <w:spacing w:val="0"/>
          <w:w w:val="100"/>
          <w:position w:val="0"/>
        </w:rPr>
        <w:t>1</w:t>
      </w:r>
      <w:r>
        <w:rPr>
          <w:color w:val="000000"/>
          <w:spacing w:val="0"/>
          <w:w w:val="100"/>
          <w:position w:val="0"/>
        </w:rPr>
        <w:t>）行业发展态势分析及应对措施</w:t>
      </w:r>
      <w:bookmarkEnd w:id="87"/>
      <w:bookmarkEnd w:id="88"/>
      <w:bookmarkEnd w:id="92"/>
    </w:p>
    <w:p>
      <w:pPr>
        <w:pStyle w:val="Style35"/>
        <w:keepNext w:val="0"/>
        <w:keepLines w:val="0"/>
        <w:widowControl w:val="0"/>
        <w:shd w:val="clear" w:color="auto" w:fill="auto"/>
        <w:tabs>
          <w:tab w:pos="832" w:val="left"/>
        </w:tabs>
        <w:bidi w:val="0"/>
        <w:spacing w:before="0" w:after="0"/>
        <w:ind w:left="0" w:right="0" w:firstLine="440"/>
        <w:jc w:val="both"/>
      </w:pPr>
      <w:bookmarkStart w:id="93" w:name="bookmark93"/>
      <w:r>
        <w:rPr>
          <w:rFonts w:ascii="Times New Roman" w:eastAsia="Times New Roman" w:hAnsi="Times New Roman" w:cs="Times New Roman"/>
          <w:color w:val="000000"/>
          <w:spacing w:val="0"/>
          <w:w w:val="100"/>
          <w:position w:val="0"/>
        </w:rPr>
        <w:t>1</w:t>
      </w:r>
      <w:bookmarkEnd w:id="93"/>
      <w:r>
        <w:rPr>
          <w:color w:val="000000"/>
          <w:spacing w:val="0"/>
          <w:w w:val="100"/>
          <w:position w:val="0"/>
        </w:rPr>
        <w:t>）</w:t>
        <w:tab/>
        <w:t>长期来看中国大消费行业发展空间仍然较大</w:t>
      </w:r>
    </w:p>
    <w:p>
      <w:pPr>
        <w:pStyle w:val="Style35"/>
        <w:keepNext w:val="0"/>
        <w:keepLines w:val="0"/>
        <w:widowControl w:val="0"/>
        <w:shd w:val="clear" w:color="auto" w:fill="auto"/>
        <w:bidi w:val="0"/>
        <w:spacing w:before="0" w:after="12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年一季度爆发的疫情使国内很多行业受到不同程度的冲击。因疫情防控、消费需求下降等原因造 成大消费行业的经营压力。但是从中长期来看，国内经济的</w:t>
      </w:r>
      <w:r>
        <w:rPr>
          <w:rFonts w:ascii="Times New Roman" w:eastAsia="Times New Roman" w:hAnsi="Times New Roman" w:cs="Times New Roman"/>
          <w:color w:val="000000"/>
          <w:spacing w:val="0"/>
          <w:w w:val="100"/>
          <w:position w:val="0"/>
        </w:rPr>
        <w:t>“</w:t>
      </w:r>
      <w:r>
        <w:rPr>
          <w:color w:val="000000"/>
          <w:spacing w:val="0"/>
          <w:w w:val="100"/>
          <w:position w:val="0"/>
        </w:rPr>
        <w:t>稳增长</w:t>
      </w:r>
      <w:r>
        <w:rPr>
          <w:rFonts w:ascii="Times New Roman" w:eastAsia="Times New Roman" w:hAnsi="Times New Roman" w:cs="Times New Roman"/>
          <w:color w:val="000000"/>
          <w:spacing w:val="0"/>
          <w:w w:val="100"/>
          <w:position w:val="0"/>
        </w:rPr>
        <w:t>''</w:t>
      </w:r>
      <w:r>
        <w:rPr>
          <w:color w:val="000000"/>
          <w:spacing w:val="0"/>
          <w:w w:val="100"/>
          <w:position w:val="0"/>
        </w:rPr>
        <w:t>仍然是经济政策的重要目标，随着疫 情的有效防控，中国市场消费升级与产业升级仍然具有较大潜力。</w:t>
      </w:r>
    </w:p>
    <w:p>
      <w:pPr>
        <w:pStyle w:val="Style35"/>
        <w:keepNext w:val="0"/>
        <w:keepLines w:val="0"/>
        <w:widowControl w:val="0"/>
        <w:shd w:val="clear" w:color="auto" w:fill="auto"/>
        <w:bidi w:val="0"/>
        <w:spacing w:before="0" w:after="0"/>
        <w:ind w:left="0" w:right="0" w:firstLine="440"/>
        <w:jc w:val="both"/>
      </w:pPr>
      <w:bookmarkStart w:id="94" w:name="bookmark94"/>
      <w:r>
        <w:rPr>
          <w:rFonts w:ascii="Times New Roman" w:eastAsia="Times New Roman" w:hAnsi="Times New Roman" w:cs="Times New Roman"/>
          <w:color w:val="000000"/>
          <w:spacing w:val="0"/>
          <w:w w:val="100"/>
          <w:position w:val="0"/>
        </w:rPr>
        <w:t>2</w:t>
      </w:r>
      <w:bookmarkEnd w:id="94"/>
      <w:r>
        <w:rPr>
          <w:color w:val="000000"/>
          <w:spacing w:val="0"/>
          <w:w w:val="100"/>
          <w:position w:val="0"/>
        </w:rPr>
        <w:t>） 后疫情时代消费复苏，催生出新的发展机遇</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国家统计局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月份数据显示，疫情对服务行业产生较大冲击，其中对酒店、餐饮、旅游等行业 更是形成重创。但对旅游业来说，长期发展趋势仍然向好，旅游消费迭代升级的趋势得到加强。被抑制的 需求有可能在疫情平稳后逐步释放，出现消费回补甚至报复性反弹，因此，旅游产业仍将是后疫情时代战 略产业。</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与旅游产业紧密联系的酒店行业，疫情的影响短期来看会造成部分中小酒店经营现金流断裂，但是长 远来看有助于酒店行业重新洗牌整合，或许将会淘汰末端的低质产品，但更有利于提升酒店业对质的要求, 进一步催化整体行业品质的提升，同时或将加速促进行业内的集中化发展及连锁化发展。鉴于连锁酒店集 团较高的抗风险能力，未来或将使头部酒店的话语权加大。行业集中化及连锁化运营的发展趋势将有利于 公司在中高端市场竞争优势的发挥。同时在疫情的影响下，迫使酒店积极创新，从困难中求生存，在危机 中寻机遇。疫情催生出酒店行业进行数字化转型的需求变得迫在眉睫，酒店自身对数据的集合管理、对不 同地区酒店的统一管理、消费者移动端的应用增大、无接触入住等问题都亟需酒店解决，因此酒店行业向 云化数字化转型反而加快了步伐。公司在疫情期间在积极应对疫情的同时，坚持以客户为本，以客户需求 为首要需求，通过积极增强创新能力、采用对客户适当减免的政策、为客户提供有价值的咨询等措施，切 实帮助客户克服疫情。</w:t>
      </w:r>
    </w:p>
    <w:p>
      <w:pPr>
        <w:pStyle w:val="Style35"/>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在疫情的影响下与民众息息相关的零售行业中线下实体零售受到了严峻的考验，但与此同时，疫情也 催生出很多发展机遇。随着互联网的飞速发展，很多消费场景由线下转为线上，有报告显示，</w:t>
      </w:r>
      <w:r>
        <w:rPr>
          <w:rFonts w:ascii="Times New Roman" w:eastAsia="Times New Roman" w:hAnsi="Times New Roman" w:cs="Times New Roman"/>
          <w:color w:val="000000"/>
          <w:spacing w:val="0"/>
          <w:w w:val="100"/>
          <w:position w:val="0"/>
        </w:rPr>
        <w:t>66%</w:t>
      </w:r>
      <w:r>
        <w:rPr>
          <w:color w:val="000000"/>
          <w:spacing w:val="0"/>
          <w:w w:val="100"/>
          <w:position w:val="0"/>
        </w:rPr>
        <w:t>的消费 者在购买生鲜、食品品类时，倾向</w:t>
      </w:r>
      <w:r>
        <w:rPr>
          <w:rFonts w:ascii="Times New Roman" w:eastAsia="Times New Roman" w:hAnsi="Times New Roman" w:cs="Times New Roman"/>
          <w:color w:val="000000"/>
          <w:spacing w:val="0"/>
          <w:w w:val="100"/>
          <w:position w:val="0"/>
        </w:rPr>
        <w:t>“</w:t>
      </w:r>
      <w:r>
        <w:rPr>
          <w:color w:val="000000"/>
          <w:spacing w:val="0"/>
          <w:w w:val="100"/>
          <w:position w:val="0"/>
        </w:rPr>
        <w:t>网上下单，</w:t>
      </w:r>
      <w:r>
        <w:rPr>
          <w:rFonts w:ascii="Times New Roman" w:eastAsia="Times New Roman" w:hAnsi="Times New Roman" w:cs="Times New Roman"/>
          <w:color w:val="000000"/>
          <w:spacing w:val="0"/>
          <w:w w:val="100"/>
          <w:position w:val="0"/>
        </w:rPr>
        <w:t>2</w:t>
      </w:r>
      <w:r>
        <w:rPr>
          <w:color w:val="000000"/>
          <w:spacing w:val="0"/>
          <w:w w:val="100"/>
          <w:position w:val="0"/>
        </w:rPr>
        <w:t>小时送达</w:t>
      </w:r>
      <w:r>
        <w:rPr>
          <w:rFonts w:ascii="Times New Roman" w:eastAsia="Times New Roman" w:hAnsi="Times New Roman" w:cs="Times New Roman"/>
          <w:color w:val="000000"/>
          <w:spacing w:val="0"/>
          <w:w w:val="100"/>
          <w:position w:val="0"/>
        </w:rPr>
        <w:t>”</w:t>
      </w:r>
      <w:r>
        <w:rPr>
          <w:color w:val="000000"/>
          <w:spacing w:val="0"/>
          <w:w w:val="100"/>
          <w:position w:val="0"/>
        </w:rPr>
        <w:t>，购物也向</w:t>
      </w:r>
      <w:r>
        <w:rPr>
          <w:rFonts w:ascii="Times New Roman" w:eastAsia="Times New Roman" w:hAnsi="Times New Roman" w:cs="Times New Roman"/>
          <w:color w:val="000000"/>
          <w:spacing w:val="0"/>
          <w:w w:val="100"/>
          <w:position w:val="0"/>
        </w:rPr>
        <w:t>“</w:t>
      </w:r>
      <w:r>
        <w:rPr>
          <w:color w:val="000000"/>
          <w:spacing w:val="0"/>
          <w:w w:val="100"/>
          <w:position w:val="0"/>
        </w:rPr>
        <w:t>按日补货，少量采购</w:t>
      </w:r>
      <w:r>
        <w:rPr>
          <w:color w:val="000000"/>
          <w:spacing w:val="0"/>
          <w:w w:val="100"/>
          <w:position w:val="0"/>
        </w:rPr>
        <w:t>''</w:t>
      </w:r>
      <w:r>
        <w:rPr>
          <w:color w:val="000000"/>
          <w:spacing w:val="0"/>
          <w:w w:val="100"/>
          <w:position w:val="0"/>
        </w:rPr>
        <w:t>的即时消费模 式转变。即时消费模式、即时配送日趋成熟；因防疫需要居家隔离，使</w:t>
      </w:r>
      <w:r>
        <w:rPr>
          <w:rFonts w:ascii="Times New Roman" w:eastAsia="Times New Roman" w:hAnsi="Times New Roman" w:cs="Times New Roman"/>
          <w:color w:val="000000"/>
          <w:spacing w:val="0"/>
          <w:w w:val="100"/>
          <w:position w:val="0"/>
        </w:rPr>
        <w:t>“</w:t>
      </w:r>
      <w:r>
        <w:rPr>
          <w:color w:val="000000"/>
          <w:spacing w:val="0"/>
          <w:w w:val="100"/>
          <w:position w:val="0"/>
        </w:rPr>
        <w:t>无接触式消费</w:t>
      </w:r>
      <w:r>
        <w:rPr>
          <w:rFonts w:ascii="Times New Roman" w:eastAsia="Times New Roman" w:hAnsi="Times New Roman" w:cs="Times New Roman"/>
          <w:color w:val="000000"/>
          <w:spacing w:val="0"/>
          <w:w w:val="100"/>
          <w:position w:val="0"/>
        </w:rPr>
        <w:t>”“</w:t>
      </w:r>
      <w:r>
        <w:rPr>
          <w:color w:val="000000"/>
          <w:spacing w:val="0"/>
          <w:w w:val="100"/>
          <w:position w:val="0"/>
        </w:rPr>
        <w:t>无人化消费''发展 迅速；以上对于零售企业的需求变化均离不开大数据、云化等信息技术的发展。</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因此疫情的产生促使酒店、餐饮、零售、休闲娱乐等旅游大消费行业利用互联网技术重新调整产业结 构，加快进行产业数字化升级转型。</w:t>
      </w: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 xml:space="preserve">应对措施：疫情期间公司内外兼修，对内通过加大产品研发投入和员工培训，对外积极响应客户的需 </w:t>
      </w:r>
      <w:r>
        <w:rPr>
          <w:color w:val="000000"/>
          <w:spacing w:val="0"/>
          <w:w w:val="100"/>
          <w:position w:val="0"/>
        </w:rPr>
        <w:t>求，通过发挥技术优势、客户优势等为客户提供有价值的服务产品。</w:t>
      </w:r>
    </w:p>
    <w:p>
      <w:pPr>
        <w:pStyle w:val="Style35"/>
        <w:keepNext w:val="0"/>
        <w:keepLines w:val="0"/>
        <w:widowControl w:val="0"/>
        <w:shd w:val="clear" w:color="auto" w:fill="auto"/>
        <w:tabs>
          <w:tab w:pos="772" w:val="left"/>
        </w:tabs>
        <w:bidi w:val="0"/>
        <w:spacing w:before="0" w:after="0"/>
        <w:ind w:left="0" w:right="0" w:firstLine="440"/>
        <w:jc w:val="both"/>
      </w:pPr>
      <w:bookmarkStart w:id="95" w:name="bookmark95"/>
      <w:r>
        <w:rPr>
          <w:rFonts w:ascii="Times New Roman" w:eastAsia="Times New Roman" w:hAnsi="Times New Roman" w:cs="Times New Roman"/>
          <w:color w:val="000000"/>
          <w:spacing w:val="0"/>
          <w:w w:val="100"/>
          <w:position w:val="0"/>
        </w:rPr>
        <w:t>3</w:t>
      </w:r>
      <w:bookmarkEnd w:id="95"/>
      <w:r>
        <w:rPr>
          <w:color w:val="000000"/>
          <w:spacing w:val="0"/>
          <w:w w:val="100"/>
          <w:position w:val="0"/>
        </w:rPr>
        <w:t>）</w:t>
        <w:tab/>
        <w:t>酒店、餐饮、零售等大消费行业当前处于升级转型期</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虽然大消费行业还有较大的发展空间，但是受中国经济结构深度调整和增速放缓的影响，中国大消费 行业处在升级转型期。</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酒店、餐饮行业告别粗放增长的时代，进入了回归产品和服务本质的全新发展时期。从行业创新来看, 当前酒店、餐饮业正进入调整期，酒店的管理模式、产品模式、市场模式都在进行根本性和结构性变革。 从市场环境来说，品牌创新将进入高速爆发期，品牌取代星级成为市场标杆。从产品模式来说，企业将更 多地研究目标市场消费需求，重新组合酒店提供的服务和设施，消费者需要的部分将被更加重视，而消费 者不需要的部分则会被弱化。而互联网大数据、移动信息科技技术时代的来临，为酒店和餐饮信息化市场 的繁荣发展提供了新的拓展空间。</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中国零售业无论从产品和经营模式都正在迎来互联网的巨大冲击，消费升级趋势明显，品牌和商品信 息能通过网络更加容易地传播到消费者，传统零售业基于从生产者到最终消费者之间各个环节信息不对称 所建立起来的商业模式正在被瓦解和颠覆，实体零售店必须且必然会与互联网融为一体利用其服务优势参 与到新的商业零售的重构中来，互联网和信息技术只是工具，最终洗牌后的商业主角还将以实体店为依托, 实体店通过利用新一代信息技术将继续成为商品和服务交易的核心环节。</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应对措施：公司从多年以来一直非常关注酒店、餐饮、零售等旅游消费行业新一代信息技术的发展方 向，并依赖对行业的前瞻性判断，较早地投资于下一代酒店信息系统、餐饮信息系统和零售信息系统的研 发，以便在未来新一代信息技术变革的过程中继续掌握主动权。</w:t>
      </w:r>
    </w:p>
    <w:p>
      <w:pPr>
        <w:pStyle w:val="Style35"/>
        <w:keepNext w:val="0"/>
        <w:keepLines w:val="0"/>
        <w:widowControl w:val="0"/>
        <w:shd w:val="clear" w:color="auto" w:fill="auto"/>
        <w:tabs>
          <w:tab w:pos="772" w:val="left"/>
        </w:tabs>
        <w:bidi w:val="0"/>
        <w:spacing w:before="0" w:after="0" w:line="312" w:lineRule="exact"/>
        <w:ind w:left="0" w:right="0" w:firstLine="440"/>
        <w:jc w:val="both"/>
      </w:pPr>
      <w:bookmarkStart w:id="96" w:name="bookmark96"/>
      <w:r>
        <w:rPr>
          <w:rFonts w:ascii="Times New Roman" w:eastAsia="Times New Roman" w:hAnsi="Times New Roman" w:cs="Times New Roman"/>
          <w:color w:val="000000"/>
          <w:spacing w:val="0"/>
          <w:w w:val="100"/>
          <w:position w:val="0"/>
        </w:rPr>
        <w:t>4</w:t>
      </w:r>
      <w:bookmarkEnd w:id="96"/>
      <w:r>
        <w:rPr>
          <w:color w:val="000000"/>
          <w:spacing w:val="0"/>
          <w:w w:val="100"/>
          <w:position w:val="0"/>
        </w:rPr>
        <w:t>）</w:t>
        <w:tab/>
        <w:t>云计算技术是新一代酒店、餐饮和零售业信息系统技术发展方向</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从信息化行业的技术发展趋势来看，以云计算为代表的新一代信息管理系统将成为未来酒店、餐饮及 零售信息系统的发展趋势。基于云的信息系统不仅简化了实施部署和培训，使得优秀的信息系统可以快速 得到推广和普及，更重要的是，基于云的信息系统有助于公司最终建立覆盖酒店、餐饮、零售的整个消费 信息服务平台和数据平台。公司在云酒店和餐饮信息系统方面已经投入多年并成功地被一定规模的用户所 使用，特别是公司下一代的云餐饮信息管理系统已经开始获得超过</w:t>
      </w:r>
      <w:r>
        <w:rPr>
          <w:rFonts w:ascii="Times New Roman" w:eastAsia="Times New Roman" w:hAnsi="Times New Roman" w:cs="Times New Roman"/>
          <w:color w:val="000000"/>
          <w:spacing w:val="0"/>
          <w:w w:val="100"/>
          <w:position w:val="0"/>
        </w:rPr>
        <w:t>10</w:t>
      </w:r>
      <w:r>
        <w:rPr>
          <w:color w:val="000000"/>
          <w:spacing w:val="0"/>
          <w:w w:val="100"/>
          <w:position w:val="0"/>
        </w:rPr>
        <w:t>个知名酒店集团认可。公司希望借助 酒店业的经验，利用投资控股零售企业的专业人才优势，通过数据平台和开发云平台的建立，实现公司在 新一代基于云的零售信息系统的领导地位。</w:t>
      </w:r>
    </w:p>
    <w:p>
      <w:pPr>
        <w:pStyle w:val="Style35"/>
        <w:keepNext w:val="0"/>
        <w:keepLines w:val="0"/>
        <w:widowControl w:val="0"/>
        <w:shd w:val="clear" w:color="auto" w:fill="auto"/>
        <w:tabs>
          <w:tab w:pos="772" w:val="left"/>
        </w:tabs>
        <w:bidi w:val="0"/>
        <w:spacing w:before="0" w:after="0" w:line="312" w:lineRule="exact"/>
        <w:ind w:left="0" w:right="0" w:firstLine="440"/>
        <w:jc w:val="both"/>
      </w:pPr>
      <w:bookmarkStart w:id="97" w:name="bookmark97"/>
      <w:r>
        <w:rPr>
          <w:rFonts w:ascii="Times New Roman" w:eastAsia="Times New Roman" w:hAnsi="Times New Roman" w:cs="Times New Roman"/>
          <w:color w:val="000000"/>
          <w:spacing w:val="0"/>
          <w:w w:val="100"/>
          <w:position w:val="0"/>
        </w:rPr>
        <w:t>5</w:t>
      </w:r>
      <w:bookmarkEnd w:id="97"/>
      <w:r>
        <w:rPr>
          <w:color w:val="000000"/>
          <w:spacing w:val="0"/>
          <w:w w:val="100"/>
          <w:position w:val="0"/>
        </w:rPr>
        <w:t>）</w:t>
        <w:tab/>
        <w:t>移动互联网的发展和普及强化了平台化和直连技术在大消费行业信息化发展中的应用需求</w:t>
      </w:r>
    </w:p>
    <w:p>
      <w:pPr>
        <w:pStyle w:val="Style35"/>
        <w:keepNext w:val="0"/>
        <w:keepLines w:val="0"/>
        <w:widowControl w:val="0"/>
        <w:shd w:val="clear" w:color="auto" w:fill="auto"/>
        <w:bidi w:val="0"/>
        <w:spacing w:before="0" w:after="0" w:line="304" w:lineRule="exact"/>
        <w:ind w:left="0" w:right="0" w:firstLine="440"/>
        <w:jc w:val="both"/>
      </w:pPr>
      <w:r>
        <w:rPr>
          <w:color w:val="000000"/>
          <w:spacing w:val="0"/>
          <w:w w:val="100"/>
          <w:position w:val="0"/>
        </w:rPr>
        <w:t>从我国酒店行业信息化发展来看，我国酒店的管理系统建设滞后导致酒店预订目前主要依靠人工参与 完成，直连应用仍存在巨大发展空间。拥有直连技术后，通过预订网站产生的预订数据将直接写入到酒店 信息管理系统之中，而预订网站也能够实时或者定时读取酒店信息管理系统的数据。一方面，直连能够简 化预订流程、缩短预订时间；另一方面，直连降低了人为错误的可能性，因此直连技术能够提升预订行业 的效率，降低成本。</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移动互联网的发展和普及将强化直连需求。移动互联网的兴起导致越来越多的客户通过手机应用</w:t>
      </w:r>
      <w:r>
        <w:rPr>
          <w:rFonts w:ascii="Times New Roman" w:eastAsia="Times New Roman" w:hAnsi="Times New Roman" w:cs="Times New Roman"/>
          <w:color w:val="000000"/>
          <w:spacing w:val="0"/>
          <w:w w:val="100"/>
          <w:position w:val="0"/>
        </w:rPr>
        <w:t xml:space="preserve">APP </w:t>
      </w:r>
      <w:r>
        <w:rPr>
          <w:color w:val="000000"/>
          <w:spacing w:val="0"/>
          <w:w w:val="100"/>
          <w:position w:val="0"/>
        </w:rPr>
        <w:t>来实现吃住行购娱等所有消费的预订和购买，成为推动直连需求及酒店、餐饮、零售娱乐信息系统平台化 的又一重要因素。一方面，移动互联网时代人们更改旅行计划将更为容易，越来越多的用户放弃了提前预 订，而是在住宿需求确定后（比如抵达旅行目的地后）才开始预订房间；这就要求旅客的订单必须迅速得 到确认，必将推动直连的发展；另一方面，移动互联网用户对体验的要求更为苛刻，希望从离家出发到旅 行归来的整个旅程包括从航班选位，入住酒店的所有过程（包括预订、选房、入住、支付、离店优惠券， 本地交通预订与安排、订餐、购物和休闲娱乐等）都能在手机上或手机的帮助下完成，满足其需求的唯一 方式是实现整个消费行业信息系统的平台化并实现自动直连。</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应对措施：公司一直将基于直连技术的平台化战略作为公司实现转型的重要途径，利用自身在酒店、 餐饮、零售信息系统行业取得的优势地位，目前正致力于从预订和支付这两个环节延伸打造基于畅联直连 技术的预订平台和基于一体化直连技术的支付平台。</w:t>
      </w:r>
    </w:p>
    <w:p>
      <w:pPr>
        <w:pStyle w:val="Style32"/>
        <w:keepNext/>
        <w:keepLines/>
        <w:widowControl w:val="0"/>
        <w:numPr>
          <w:ilvl w:val="0"/>
          <w:numId w:val="3"/>
        </w:numPr>
        <w:shd w:val="clear" w:color="auto" w:fill="auto"/>
        <w:bidi w:val="0"/>
        <w:spacing w:before="0" w:after="0" w:line="312" w:lineRule="exact"/>
        <w:ind w:left="0" w:right="0" w:firstLine="440"/>
        <w:jc w:val="both"/>
      </w:pPr>
      <w:bookmarkStart w:id="100" w:name="bookmark100"/>
      <w:bookmarkStart w:id="101" w:name="bookmark101"/>
      <w:bookmarkStart w:id="98" w:name="bookmark98"/>
      <w:bookmarkStart w:id="99" w:name="bookmark99"/>
      <w:bookmarkEnd w:id="100"/>
      <w:r>
        <w:rPr>
          <w:color w:val="000000"/>
          <w:spacing w:val="0"/>
          <w:w w:val="100"/>
          <w:position w:val="0"/>
        </w:rPr>
        <w:t>公司在酒店、餐饮及零售信息系统行业的地位</w:t>
      </w:r>
      <w:bookmarkEnd w:id="101"/>
      <w:bookmarkEnd w:id="98"/>
      <w:bookmarkEnd w:id="99"/>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目前，国际酒店管理集团在中国酒店行业的强势地位并未发生根本改变。在中国现有的五星级酒店中， 本土酒店品牌仅占不到三分之一。在目前国内已有的星级酒店中，连锁酒店仅占</w:t>
      </w:r>
      <w:r>
        <w:rPr>
          <w:rFonts w:ascii="Times New Roman" w:eastAsia="Times New Roman" w:hAnsi="Times New Roman" w:cs="Times New Roman"/>
          <w:color w:val="000000"/>
          <w:spacing w:val="0"/>
          <w:w w:val="100"/>
          <w:position w:val="0"/>
        </w:rPr>
        <w:t>10%</w:t>
      </w:r>
      <w:r>
        <w:rPr>
          <w:color w:val="000000"/>
          <w:spacing w:val="0"/>
          <w:w w:val="100"/>
          <w:position w:val="0"/>
        </w:rPr>
        <w:t>左右，国际连锁酒店 数量更少，大部分是管理水平较低的单体酒店，星级酒店无论是数量还是质量均远远不能满足高速发展的 中国旅游业的需求。因此，经营连锁化、运营信息化是我国旅游酒店业提升服务质量、提高经营效益的必 由之路，也是我国旅游酒店业近几年的发展趋势。经营连锁化、运营信息化必然对酒店的信息管理系统提 出更高的技术先进性、运行可靠性、系统扩展性要求。</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由于公司很早就预判到了以云计算为代表的新一代信息管理系统将成为未来酒店、餐饮及零售信息系 统的发展趋势，公司在取得中国酒店信息系统行业的领先地位之后一直试图通过多种手段希望在下一代酒 店信息技术变革到来时继续引领行业的发展。</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月，公司启动了国际化业务进程。通过公司过去多 年在海外较大规模的研发投入使得公司目前具有自主知识产权的新一代云架构的企业级酒店信息系统产 品能够满足全球国际化连锁酒店的要求，公司的产品与服务在上述各方面相比于其他市场参与主体具有显 著的优势，行业与市场的发展将有利于公司各项竞争优势的充分发挥，公司目前正处于向平台化和国际化 转型的关键时期，公司期望通过产品、技术和服务的先发优势，来实现这次转型。公司与</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RACLE</w:t>
      </w:r>
      <w:r>
        <w:rPr>
          <w:color w:val="000000"/>
          <w:spacing w:val="0"/>
          <w:w w:val="100"/>
          <w:position w:val="0"/>
        </w:rPr>
        <w:t>公司的 酒店产品代理合同已于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日到期不再续约，此后公司将集中资源继续完善新一代云架构的企业 级酒店信息系统的应用优化，将从人力资源、市场宣传等多方面专注于新一代云架构的企业级酒店信息系 统的全球落地，加速公司国际化转型的步伐，力争在新一轮的市场竞争中占据全球主导地位。</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即使公司从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日起不再代理</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RACLE</w:t>
      </w:r>
      <w:r>
        <w:rPr>
          <w:color w:val="000000"/>
          <w:spacing w:val="0"/>
          <w:w w:val="100"/>
          <w:position w:val="0"/>
        </w:rPr>
        <w:t>公司的酒店前台管理系统和餐饮管理系统，公司仍是目 前国内最主要的酒店信息管理系统解决方案提供商之一，能够为从高星级到较低星级直至经济型连锁酒店 提供自主知识产权的全套完整的解决方案，其中包括：含有支持多物业、多语言、多货币处理的、全面满 足国际化专业酒店管理需求的基于公有云的纯</w:t>
      </w:r>
      <w:r>
        <w:rPr>
          <w:rFonts w:ascii="Times New Roman" w:eastAsia="Times New Roman" w:hAnsi="Times New Roman" w:cs="Times New Roman"/>
          <w:color w:val="000000"/>
          <w:spacing w:val="0"/>
          <w:w w:val="100"/>
          <w:position w:val="0"/>
        </w:rPr>
        <w:t>SaaS</w:t>
      </w:r>
      <w:r>
        <w:rPr>
          <w:color w:val="000000"/>
          <w:spacing w:val="0"/>
          <w:w w:val="100"/>
          <w:position w:val="0"/>
        </w:rPr>
        <w:t>收费方式的新一代酒店信息管理系统</w:t>
      </w:r>
      <w:r>
        <w:rPr>
          <w:rFonts w:ascii="Times New Roman" w:eastAsia="Times New Roman" w:hAnsi="Times New Roman" w:cs="Times New Roman"/>
          <w:color w:val="000000"/>
          <w:spacing w:val="0"/>
          <w:w w:val="100"/>
          <w:position w:val="0"/>
        </w:rPr>
        <w:t>“</w:t>
      </w:r>
      <w:r>
        <w:rPr>
          <w:color w:val="000000"/>
          <w:spacing w:val="0"/>
          <w:w w:val="100"/>
          <w:position w:val="0"/>
        </w:rPr>
        <w:t>石基企业平台</w:t>
      </w:r>
      <w:r>
        <w:rPr>
          <w:rFonts w:ascii="Times New Roman" w:eastAsia="Times New Roman" w:hAnsi="Times New Roman" w:cs="Times New Roman"/>
          <w:color w:val="000000"/>
          <w:spacing w:val="0"/>
          <w:w w:val="100"/>
          <w:position w:val="0"/>
        </w:rPr>
        <w:t>-</w:t>
      </w:r>
      <w:r>
        <w:rPr>
          <w:color w:val="000000"/>
          <w:spacing w:val="0"/>
          <w:w w:val="100"/>
          <w:position w:val="0"/>
        </w:rPr>
        <w:t>酒 店业解决方案</w:t>
      </w:r>
      <w:r>
        <w:rPr>
          <w:rFonts w:ascii="Times New Roman" w:eastAsia="Times New Roman" w:hAnsi="Times New Roman" w:cs="Times New Roman"/>
          <w:color w:val="000000"/>
          <w:spacing w:val="0"/>
          <w:w w:val="100"/>
          <w:position w:val="0"/>
        </w:rPr>
        <w:t>[The Shiji Enterprise Platform (SEP)-Hospitality Solutions]”</w:t>
      </w:r>
      <w:r>
        <w:rPr>
          <w:color w:val="000000"/>
          <w:spacing w:val="0"/>
          <w:w w:val="100"/>
          <w:position w:val="0"/>
        </w:rPr>
        <w:t>、石基餐饮云管理系统</w:t>
      </w:r>
      <w:r>
        <w:rPr>
          <w:rFonts w:ascii="Times New Roman" w:eastAsia="Times New Roman" w:hAnsi="Times New Roman" w:cs="Times New Roman"/>
          <w:color w:val="000000"/>
          <w:spacing w:val="0"/>
          <w:w w:val="100"/>
          <w:position w:val="0"/>
        </w:rPr>
        <w:t>Infrasys Cloud</w:t>
      </w:r>
      <w:r>
        <w:rPr>
          <w:color w:val="000000"/>
          <w:spacing w:val="0"/>
          <w:w w:val="100"/>
          <w:position w:val="0"/>
        </w:rPr>
        <w:t>，</w:t>
      </w:r>
      <w:r>
        <w:rPr>
          <w:color w:val="000000"/>
          <w:spacing w:val="0"/>
          <w:w w:val="100"/>
          <w:position w:val="0"/>
        </w:rPr>
        <w:t>针对中国本地经营但采用国际化管理方式的酒店的完全公有云部署的采用</w:t>
      </w:r>
      <w:r>
        <w:rPr>
          <w:rFonts w:ascii="Times New Roman" w:eastAsia="Times New Roman" w:hAnsi="Times New Roman" w:cs="Times New Roman"/>
          <w:color w:val="000000"/>
          <w:spacing w:val="0"/>
          <w:w w:val="100"/>
          <w:position w:val="0"/>
        </w:rPr>
        <w:t>SAAS</w:t>
      </w:r>
      <w:r>
        <w:rPr>
          <w:color w:val="000000"/>
          <w:spacing w:val="0"/>
          <w:w w:val="100"/>
          <w:position w:val="0"/>
        </w:rPr>
        <w:t xml:space="preserve">收费方式的石基云 </w:t>
      </w:r>
      <w:r>
        <w:rPr>
          <w:rFonts w:ascii="Times New Roman" w:eastAsia="Times New Roman" w:hAnsi="Times New Roman" w:cs="Times New Roman"/>
          <w:color w:val="000000"/>
          <w:spacing w:val="0"/>
          <w:w w:val="100"/>
          <w:position w:val="0"/>
        </w:rPr>
        <w:t>PMS -Cambridge</w:t>
      </w:r>
      <w:r>
        <w:rPr>
          <w:color w:val="000000"/>
          <w:spacing w:val="0"/>
          <w:w w:val="100"/>
          <w:position w:val="0"/>
        </w:rPr>
        <w:t>，</w:t>
      </w:r>
      <w:r>
        <w:rPr>
          <w:color w:val="000000"/>
          <w:spacing w:val="0"/>
          <w:w w:val="100"/>
          <w:position w:val="0"/>
        </w:rPr>
        <w:t>；公司的中央预订系统</w:t>
      </w:r>
      <w:r>
        <w:rPr>
          <w:color w:val="000000"/>
          <w:spacing w:val="0"/>
          <w:w w:val="100"/>
          <w:position w:val="0"/>
        </w:rPr>
        <w:t>(</w:t>
      </w:r>
      <w:r>
        <w:rPr>
          <w:rFonts w:ascii="Times New Roman" w:eastAsia="Times New Roman" w:hAnsi="Times New Roman" w:cs="Times New Roman"/>
          <w:color w:val="000000"/>
          <w:spacing w:val="0"/>
          <w:w w:val="100"/>
          <w:position w:val="0"/>
        </w:rPr>
        <w:t>CRS</w:t>
      </w:r>
      <w:r>
        <w:rPr>
          <w:color w:val="000000"/>
          <w:spacing w:val="0"/>
          <w:w w:val="100"/>
          <w:position w:val="0"/>
        </w:rPr>
        <w:t>)</w:t>
      </w:r>
      <w:r>
        <w:rPr>
          <w:color w:val="000000"/>
          <w:spacing w:val="0"/>
          <w:w w:val="100"/>
          <w:position w:val="0"/>
        </w:rPr>
        <w:t>也已经成为国内中高星级酒店集团的主要选择之一，为 中国酒店连锁化运营做好了技术准备；公司的全资子公司杭州西软、广州万迅和航信华仪分别拥有满足本 土酒店需求的以</w:t>
      </w:r>
      <w:r>
        <w:rPr>
          <w:rFonts w:ascii="Times New Roman" w:eastAsia="Times New Roman" w:hAnsi="Times New Roman" w:cs="Times New Roman"/>
          <w:color w:val="000000"/>
          <w:spacing w:val="0"/>
          <w:w w:val="100"/>
          <w:position w:val="0"/>
        </w:rPr>
        <w:t>“</w:t>
      </w:r>
      <w:r>
        <w:rPr>
          <w:color w:val="000000"/>
          <w:spacing w:val="0"/>
          <w:w w:val="100"/>
          <w:position w:val="0"/>
        </w:rPr>
        <w:t>西软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千里马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华仪</w:t>
      </w:r>
      <w:r>
        <w:rPr>
          <w:rFonts w:ascii="Times New Roman" w:eastAsia="Times New Roman" w:hAnsi="Times New Roman" w:cs="Times New Roman"/>
          <w:color w:val="000000"/>
          <w:spacing w:val="0"/>
          <w:w w:val="100"/>
          <w:position w:val="0"/>
        </w:rPr>
        <w:t>”</w:t>
      </w:r>
      <w:r>
        <w:rPr>
          <w:color w:val="000000"/>
          <w:spacing w:val="0"/>
          <w:w w:val="100"/>
          <w:position w:val="0"/>
        </w:rPr>
        <w:t>为品牌的全套酒店信息管理系统，其中杭州西软是国内单体酒 店客户数量最多的公司。</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不考虑仅使用</w:t>
      </w:r>
      <w:r>
        <w:rPr>
          <w:rFonts w:ascii="Times New Roman" w:eastAsia="Times New Roman" w:hAnsi="Times New Roman" w:cs="Times New Roman"/>
          <w:color w:val="000000"/>
          <w:spacing w:val="0"/>
          <w:w w:val="100"/>
          <w:position w:val="0"/>
        </w:rPr>
        <w:t>ORACLE</w:t>
      </w:r>
      <w:r>
        <w:rPr>
          <w:color w:val="000000"/>
          <w:spacing w:val="0"/>
          <w:w w:val="100"/>
          <w:position w:val="0"/>
        </w:rPr>
        <w:t>代理产品而未使用任何石基软件的客户，目前石基在国内的酒店客户总量依然 超过</w:t>
      </w:r>
      <w:r>
        <w:rPr>
          <w:rFonts w:ascii="Times New Roman" w:eastAsia="Times New Roman" w:hAnsi="Times New Roman" w:cs="Times New Roman"/>
          <w:color w:val="000000"/>
          <w:spacing w:val="0"/>
          <w:w w:val="100"/>
          <w:position w:val="0"/>
        </w:rPr>
        <w:t>13,000</w:t>
      </w:r>
      <w:r>
        <w:rPr>
          <w:color w:val="000000"/>
          <w:spacing w:val="0"/>
          <w:w w:val="100"/>
          <w:position w:val="0"/>
        </w:rPr>
        <w:t>家，在中国高星级酒店市场居领先地位。本地化酒店信息管理系统领域现阶段主要的竞争对手 有北京众荟信息技术股份有限公司、上海别样红信息技术有限公司、盟广信息技术(上海)有限公司、杭 州绿云科技有限公司等众多公司。</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在餐饮信息化行业高度分散的局势下，公司通过有效整合旗下品牌，中高端、连锁餐饮用户数量已超 过</w:t>
      </w:r>
      <w:r>
        <w:rPr>
          <w:rFonts w:ascii="Times New Roman" w:eastAsia="Times New Roman" w:hAnsi="Times New Roman" w:cs="Times New Roman"/>
          <w:color w:val="000000"/>
          <w:spacing w:val="0"/>
          <w:w w:val="100"/>
          <w:position w:val="0"/>
        </w:rPr>
        <w:t>1</w:t>
      </w:r>
      <w:r>
        <w:rPr>
          <w:color w:val="000000"/>
          <w:spacing w:val="0"/>
          <w:w w:val="100"/>
          <w:position w:val="0"/>
        </w:rPr>
        <w:t>万家，标准化餐饮用户约</w:t>
      </w:r>
      <w:r>
        <w:rPr>
          <w:rFonts w:ascii="Times New Roman" w:eastAsia="Times New Roman" w:hAnsi="Times New Roman" w:cs="Times New Roman"/>
          <w:color w:val="000000"/>
          <w:spacing w:val="0"/>
          <w:w w:val="100"/>
          <w:position w:val="0"/>
        </w:rPr>
        <w:t>20</w:t>
      </w:r>
      <w:r>
        <w:rPr>
          <w:color w:val="000000"/>
          <w:spacing w:val="0"/>
          <w:w w:val="100"/>
          <w:position w:val="0"/>
        </w:rPr>
        <w:t>万家，无论在中高端及连锁餐饮市场还是在整个餐饮信息化市场的占有率 均处于相对领先水平。</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对于零售信息化市场，多年以来竞争激烈。截止本报告期末，公司主要通过旗下控股的长益科技、富基信 息、思迅软件及海信智能商用，累计零售客户总量约</w:t>
      </w:r>
      <w:r>
        <w:rPr>
          <w:rFonts w:ascii="Times New Roman" w:eastAsia="Times New Roman" w:hAnsi="Times New Roman" w:cs="Times New Roman"/>
          <w:color w:val="000000"/>
          <w:spacing w:val="0"/>
          <w:w w:val="100"/>
          <w:position w:val="0"/>
        </w:rPr>
        <w:t>60</w:t>
      </w:r>
      <w:r>
        <w:rPr>
          <w:color w:val="000000"/>
          <w:spacing w:val="0"/>
          <w:w w:val="100"/>
          <w:position w:val="0"/>
        </w:rPr>
        <w:t>万家，占中国零售百强客户群的</w:t>
      </w:r>
      <w:r>
        <w:rPr>
          <w:rFonts w:ascii="Times New Roman" w:eastAsia="Times New Roman" w:hAnsi="Times New Roman" w:cs="Times New Roman"/>
          <w:color w:val="000000"/>
          <w:spacing w:val="0"/>
          <w:w w:val="100"/>
          <w:position w:val="0"/>
        </w:rPr>
        <w:t>50%</w:t>
      </w:r>
      <w:r>
        <w:rPr>
          <w:color w:val="000000"/>
          <w:spacing w:val="0"/>
          <w:w w:val="100"/>
          <w:position w:val="0"/>
        </w:rPr>
        <w:t>以上，通过整 合与加大下一代产品的研发投入，公司有望在零售业取得与酒店业相同的领导地位。</w:t>
      </w:r>
      <w:r>
        <w:br w:type="page"/>
      </w:r>
    </w:p>
    <w:p>
      <w:pPr>
        <w:pStyle w:val="Style24"/>
        <w:keepNext/>
        <w:keepLines/>
        <w:widowControl w:val="0"/>
        <w:shd w:val="clear" w:color="auto" w:fill="auto"/>
        <w:bidi w:val="0"/>
        <w:spacing w:before="0" w:after="34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二</w:t>
      </w:r>
      <w:bookmarkEnd w:id="104"/>
      <w:r>
        <w:rPr>
          <w:color w:val="000000"/>
          <w:spacing w:val="0"/>
          <w:w w:val="100"/>
          <w:position w:val="0"/>
        </w:rPr>
        <w:t>、主要资产重大变化情况</w:t>
      </w:r>
      <w:bookmarkEnd w:id="102"/>
      <w:bookmarkEnd w:id="103"/>
      <w:bookmarkEnd w:id="105"/>
    </w:p>
    <w:p>
      <w:pPr>
        <w:pStyle w:val="Style32"/>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、主要资产重大变化情况</w:t>
      </w:r>
      <w:bookmarkEnd w:id="106"/>
      <w:bookmarkEnd w:id="107"/>
      <w:bookmarkEnd w:id="109"/>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交易性金融资产本期较期初增长</w:t>
            </w:r>
            <w:r>
              <w:rPr>
                <w:rFonts w:ascii="Times New Roman" w:eastAsia="Times New Roman" w:hAnsi="Times New Roman" w:cs="Times New Roman"/>
                <w:color w:val="000000"/>
                <w:spacing w:val="0"/>
                <w:w w:val="100"/>
                <w:position w:val="0"/>
                <w:sz w:val="18"/>
                <w:szCs w:val="18"/>
              </w:rPr>
              <w:t>95.54%</w:t>
            </w:r>
            <w:r>
              <w:rPr>
                <w:color w:val="000000"/>
                <w:spacing w:val="0"/>
                <w:w w:val="100"/>
                <w:position w:val="0"/>
                <w:sz w:val="17"/>
                <w:szCs w:val="17"/>
              </w:rPr>
              <w:t>，主要系本期购买的理财产品较期初增加较 多所致；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应收票据本期较期初增长</w:t>
            </w:r>
            <w:r>
              <w:rPr>
                <w:rFonts w:ascii="Times New Roman" w:eastAsia="Times New Roman" w:hAnsi="Times New Roman" w:cs="Times New Roman"/>
                <w:color w:val="000000"/>
                <w:spacing w:val="0"/>
                <w:w w:val="100"/>
                <w:position w:val="0"/>
                <w:sz w:val="18"/>
                <w:szCs w:val="18"/>
              </w:rPr>
              <w:t>123.70%</w:t>
            </w:r>
            <w:r>
              <w:rPr>
                <w:color w:val="000000"/>
                <w:spacing w:val="0"/>
                <w:w w:val="100"/>
                <w:position w:val="0"/>
                <w:sz w:val="17"/>
                <w:szCs w:val="17"/>
              </w:rPr>
              <w:t>，主要系控股子公司本期收到的商业承兑汇票较 期初增加较多所致；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其他应收款本期较期初下降</w:t>
            </w:r>
            <w:r>
              <w:rPr>
                <w:rFonts w:ascii="Times New Roman" w:eastAsia="Times New Roman" w:hAnsi="Times New Roman" w:cs="Times New Roman"/>
                <w:color w:val="000000"/>
                <w:spacing w:val="0"/>
                <w:w w:val="100"/>
                <w:position w:val="0"/>
                <w:sz w:val="18"/>
                <w:szCs w:val="18"/>
              </w:rPr>
              <w:t>45.77%</w:t>
            </w:r>
            <w:r>
              <w:rPr>
                <w:color w:val="000000"/>
                <w:spacing w:val="0"/>
                <w:w w:val="100"/>
                <w:position w:val="0"/>
                <w:sz w:val="17"/>
                <w:szCs w:val="17"/>
              </w:rPr>
              <w:t>，主要系本期收回期初应收的存款利息较多所 致；</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其他流动资产本期较期初下降</w:t>
            </w:r>
            <w:r>
              <w:rPr>
                <w:rFonts w:ascii="Times New Roman" w:eastAsia="Times New Roman" w:hAnsi="Times New Roman" w:cs="Times New Roman"/>
                <w:color w:val="000000"/>
                <w:spacing w:val="0"/>
                <w:w w:val="100"/>
                <w:position w:val="0"/>
                <w:sz w:val="18"/>
                <w:szCs w:val="18"/>
              </w:rPr>
              <w:t>56.31%</w:t>
            </w:r>
            <w:r>
              <w:rPr>
                <w:color w:val="000000"/>
                <w:spacing w:val="0"/>
                <w:w w:val="100"/>
                <w:position w:val="0"/>
                <w:sz w:val="17"/>
                <w:szCs w:val="17"/>
              </w:rPr>
              <w:t>,主要系理财产品购买较少，及预缴增值税较 期初大幅下降共同所致；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长期应收款本期较期初增加</w:t>
            </w:r>
            <w:r>
              <w:rPr>
                <w:rFonts w:ascii="Times New Roman" w:eastAsia="Times New Roman" w:hAnsi="Times New Roman" w:cs="Times New Roman"/>
                <w:color w:val="000000"/>
                <w:spacing w:val="0"/>
                <w:w w:val="100"/>
                <w:position w:val="0"/>
                <w:sz w:val="18"/>
                <w:szCs w:val="18"/>
              </w:rPr>
              <w:t>2963</w:t>
            </w:r>
            <w:r>
              <w:rPr>
                <w:color w:val="000000"/>
                <w:spacing w:val="0"/>
                <w:w w:val="100"/>
                <w:position w:val="0"/>
                <w:sz w:val="17"/>
                <w:szCs w:val="17"/>
              </w:rPr>
              <w:t>万元，主要系下属子公司青岛海信智能商用由于 更改购房需求，原购房保证金从其他非流动资产转入长期应收款所致；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开发支出本期较期初增长</w:t>
            </w:r>
            <w:r>
              <w:rPr>
                <w:rFonts w:ascii="Times New Roman" w:eastAsia="Times New Roman" w:hAnsi="Times New Roman" w:cs="Times New Roman"/>
                <w:color w:val="000000"/>
                <w:spacing w:val="0"/>
                <w:w w:val="100"/>
                <w:position w:val="0"/>
                <w:sz w:val="18"/>
                <w:szCs w:val="18"/>
              </w:rPr>
              <w:t>66.12%</w:t>
            </w:r>
            <w:r>
              <w:rPr>
                <w:color w:val="000000"/>
                <w:spacing w:val="0"/>
                <w:w w:val="100"/>
                <w:position w:val="0"/>
                <w:sz w:val="17"/>
                <w:szCs w:val="17"/>
              </w:rPr>
              <w:t>，主要系境外子公司</w:t>
            </w:r>
            <w:r>
              <w:rPr>
                <w:rFonts w:ascii="Times New Roman" w:eastAsia="Times New Roman" w:hAnsi="Times New Roman" w:cs="Times New Roman"/>
                <w:color w:val="000000"/>
                <w:spacing w:val="0"/>
                <w:w w:val="100"/>
                <w:position w:val="0"/>
                <w:sz w:val="18"/>
                <w:szCs w:val="18"/>
              </w:rPr>
              <w:t xml:space="preserve">Shiji Singapore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AC CLOUD</w:t>
            </w:r>
            <w:r>
              <w:rPr>
                <w:color w:val="000000"/>
                <w:spacing w:val="0"/>
                <w:w w:val="100"/>
                <w:position w:val="0"/>
                <w:sz w:val="17"/>
                <w:szCs w:val="17"/>
              </w:rPr>
              <w:t xml:space="preserve">] </w:t>
            </w:r>
            <w:r>
              <w:rPr>
                <w:color w:val="000000"/>
                <w:spacing w:val="0"/>
                <w:w w:val="100"/>
                <w:position w:val="0"/>
                <w:sz w:val="17"/>
                <w:szCs w:val="17"/>
              </w:rPr>
              <w:t>项目未研发完成，期末余额</w:t>
            </w:r>
            <w:r>
              <w:rPr>
                <w:rFonts w:ascii="Times New Roman" w:eastAsia="Times New Roman" w:hAnsi="Times New Roman" w:cs="Times New Roman"/>
                <w:color w:val="000000"/>
                <w:spacing w:val="0"/>
                <w:w w:val="100"/>
                <w:position w:val="0"/>
                <w:sz w:val="18"/>
                <w:szCs w:val="18"/>
              </w:rPr>
              <w:t>2.36</w:t>
            </w:r>
            <w:r>
              <w:rPr>
                <w:color w:val="000000"/>
                <w:spacing w:val="0"/>
                <w:w w:val="100"/>
                <w:position w:val="0"/>
                <w:sz w:val="17"/>
                <w:szCs w:val="17"/>
              </w:rPr>
              <w:t>亿较期初增加</w:t>
            </w:r>
            <w:r>
              <w:rPr>
                <w:rFonts w:ascii="Times New Roman" w:eastAsia="Times New Roman" w:hAnsi="Times New Roman" w:cs="Times New Roman"/>
                <w:color w:val="000000"/>
                <w:spacing w:val="0"/>
                <w:w w:val="100"/>
                <w:position w:val="0"/>
                <w:sz w:val="18"/>
                <w:szCs w:val="18"/>
              </w:rPr>
              <w:t>1.07</w:t>
            </w:r>
            <w:r>
              <w:rPr>
                <w:color w:val="000000"/>
                <w:spacing w:val="0"/>
                <w:w w:val="100"/>
                <w:position w:val="0"/>
                <w:sz w:val="17"/>
                <w:szCs w:val="17"/>
              </w:rPr>
              <w:t>亿所致；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长期待摊费用本期较期初增长</w:t>
            </w:r>
            <w:r>
              <w:rPr>
                <w:rFonts w:ascii="Times New Roman" w:eastAsia="Times New Roman" w:hAnsi="Times New Roman" w:cs="Times New Roman"/>
                <w:color w:val="000000"/>
                <w:spacing w:val="0"/>
                <w:w w:val="100"/>
                <w:position w:val="0"/>
                <w:sz w:val="18"/>
                <w:szCs w:val="18"/>
              </w:rPr>
              <w:t>58.65%</w:t>
            </w:r>
            <w:r>
              <w:rPr>
                <w:color w:val="000000"/>
                <w:spacing w:val="0"/>
                <w:w w:val="100"/>
                <w:position w:val="0"/>
                <w:sz w:val="17"/>
                <w:szCs w:val="17"/>
              </w:rPr>
              <w:t>，主要系本期新增办公楼改造项目及下属子公 司装修费新增较多共同所致；</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其他非流动资产本期较期初下降</w:t>
            </w:r>
            <w:r>
              <w:rPr>
                <w:rFonts w:ascii="Times New Roman" w:eastAsia="Times New Roman" w:hAnsi="Times New Roman" w:cs="Times New Roman"/>
                <w:color w:val="000000"/>
                <w:spacing w:val="0"/>
                <w:w w:val="100"/>
                <w:position w:val="0"/>
                <w:sz w:val="18"/>
                <w:szCs w:val="18"/>
              </w:rPr>
              <w:t>95.26%</w:t>
            </w:r>
            <w:r>
              <w:rPr>
                <w:color w:val="000000"/>
                <w:spacing w:val="0"/>
                <w:w w:val="100"/>
                <w:position w:val="0"/>
                <w:sz w:val="17"/>
                <w:szCs w:val="17"/>
              </w:rPr>
              <w:t>，主要系下属子公司青岛海信智能商用由于 更改购房需求，原购房保证金从其他非流动资产转入长期应收款，及石基零售参股 科码先锋公司认购完成转为长期股权投资共同所致；</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、主要境外资产情况</w:t>
      </w:r>
      <w:bookmarkEnd w:id="110"/>
      <w:bookmarkEnd w:id="111"/>
      <w:bookmarkEnd w:id="11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499"/>
        <w:gridCol w:w="1627"/>
        <w:gridCol w:w="499"/>
        <w:gridCol w:w="422"/>
        <w:gridCol w:w="2837"/>
        <w:gridCol w:w="499"/>
        <w:gridCol w:w="1061"/>
        <w:gridCol w:w="1070"/>
      </w:tblGrid>
      <w:tr>
        <w:trPr>
          <w:trHeight w:val="103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资产的具体 内容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形成 原因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资产规模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所在 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运营 模式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保障资产安全性的控制措施</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收益 状况</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境外资产占 公司净资产 的比重</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是否存在重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大减值风险</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石基（香港）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4,698,873,364.58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自主 经营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委派董事、境外公司高级管理人员， 依据健全的内控管理制度，对境外 公司资产进行妥善管理。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良好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其他情况说</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gridSpan w:val="8"/>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4"/>
        <w:keepNext/>
        <w:keepLines/>
        <w:widowControl w:val="0"/>
        <w:shd w:val="clear" w:color="auto" w:fill="auto"/>
        <w:bidi w:val="0"/>
        <w:spacing w:before="0" w:after="2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三</w:t>
      </w:r>
      <w:bookmarkEnd w:id="116"/>
      <w:r>
        <w:rPr>
          <w:color w:val="000000"/>
          <w:spacing w:val="0"/>
          <w:w w:val="100"/>
          <w:position w:val="0"/>
        </w:rPr>
        <w:t>、核心竞争力分析</w:t>
      </w:r>
      <w:bookmarkEnd w:id="114"/>
      <w:bookmarkEnd w:id="115"/>
      <w:bookmarkEnd w:id="117"/>
    </w:p>
    <w:p>
      <w:pPr>
        <w:pStyle w:val="Style32"/>
        <w:keepNext/>
        <w:keepLines/>
        <w:widowControl w:val="0"/>
        <w:shd w:val="clear" w:color="auto" w:fill="auto"/>
        <w:bidi w:val="0"/>
        <w:spacing w:before="0" w:after="0" w:line="313" w:lineRule="exact"/>
        <w:ind w:left="0" w:right="0" w:firstLine="44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color w:val="000000"/>
          <w:spacing w:val="0"/>
          <w:w w:val="100"/>
          <w:position w:val="0"/>
        </w:rPr>
        <w:t>一）产品及技术优势明显</w:t>
      </w:r>
      <w:bookmarkEnd w:id="118"/>
      <w:bookmarkEnd w:id="119"/>
      <w:bookmarkEnd w:id="121"/>
    </w:p>
    <w:p>
      <w:pPr>
        <w:pStyle w:val="Style35"/>
        <w:keepNext w:val="0"/>
        <w:keepLines w:val="0"/>
        <w:widowControl w:val="0"/>
        <w:shd w:val="clear" w:color="auto" w:fill="auto"/>
        <w:bidi w:val="0"/>
        <w:spacing w:before="0" w:after="0" w:line="313" w:lineRule="exact"/>
        <w:ind w:left="0" w:right="0" w:firstLine="440"/>
        <w:jc w:val="both"/>
      </w:pPr>
      <w:bookmarkStart w:id="122" w:name="bookmark122"/>
      <w:r>
        <w:rPr>
          <w:rFonts w:ascii="Times New Roman" w:eastAsia="Times New Roman" w:hAnsi="Times New Roman" w:cs="Times New Roman"/>
          <w:color w:val="000000"/>
          <w:spacing w:val="0"/>
          <w:w w:val="100"/>
          <w:position w:val="0"/>
        </w:rPr>
        <w:t>1</w:t>
      </w:r>
      <w:bookmarkEnd w:id="122"/>
      <w:r>
        <w:rPr>
          <w:color w:val="000000"/>
          <w:spacing w:val="0"/>
          <w:w w:val="100"/>
          <w:position w:val="0"/>
        </w:rPr>
        <w:t>、核心产品自主研发创新优势明显</w:t>
      </w:r>
    </w:p>
    <w:p>
      <w:pPr>
        <w:pStyle w:val="Style35"/>
        <w:keepNext w:val="0"/>
        <w:keepLines w:val="0"/>
        <w:widowControl w:val="0"/>
        <w:shd w:val="clear" w:color="auto" w:fill="auto"/>
        <w:tabs>
          <w:tab w:pos="868" w:val="left"/>
        </w:tabs>
        <w:bidi w:val="0"/>
        <w:spacing w:before="0" w:after="0" w:line="313" w:lineRule="exact"/>
        <w:ind w:left="0" w:right="0" w:firstLine="440"/>
        <w:jc w:val="both"/>
      </w:pPr>
      <w:bookmarkStart w:id="123" w:name="bookmark123"/>
      <w:r>
        <w:rPr>
          <w:color w:val="000000"/>
          <w:spacing w:val="0"/>
          <w:w w:val="100"/>
          <w:position w:val="0"/>
        </w:rPr>
        <w:t>（</w:t>
      </w:r>
      <w:bookmarkEnd w:id="123"/>
      <w:r>
        <w:rPr>
          <w:rFonts w:ascii="Times New Roman" w:eastAsia="Times New Roman" w:hAnsi="Times New Roman" w:cs="Times New Roman"/>
          <w:color w:val="000000"/>
          <w:spacing w:val="0"/>
          <w:w w:val="100"/>
          <w:position w:val="0"/>
        </w:rPr>
        <w:t>1</w:t>
      </w:r>
      <w:r>
        <w:rPr>
          <w:color w:val="000000"/>
          <w:spacing w:val="0"/>
          <w:w w:val="100"/>
          <w:position w:val="0"/>
        </w:rPr>
        <w:t>）</w:t>
        <w:tab/>
        <w:t>设计理念创新</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公司一直以来致力成为酒店、餐饮、零售旅游等大消费行业提供整体性解决方案的平台化应用服务商。 自</w:t>
      </w:r>
      <w:r>
        <w:rPr>
          <w:rFonts w:ascii="Times New Roman" w:eastAsia="Times New Roman" w:hAnsi="Times New Roman" w:cs="Times New Roman"/>
          <w:color w:val="000000"/>
          <w:spacing w:val="0"/>
          <w:w w:val="100"/>
          <w:position w:val="0"/>
        </w:rPr>
        <w:t>2015</w:t>
      </w:r>
      <w:r>
        <w:rPr>
          <w:color w:val="000000"/>
          <w:spacing w:val="0"/>
          <w:w w:val="100"/>
          <w:position w:val="0"/>
        </w:rPr>
        <w:t>年开始第四次国际化转型以来，根据自身对行业未来发展的前瞻性判断以及对未来酒店业信息技术 变革的敏锐察觉，公司确定数字化及云化转型是酒旅行业未来大势所趋。当前酒旅行业的技术发展趋势仍 然会以客户为中心实现营销一体化、业财一体化、运营智能化。公司凭借十几年一线行业经验结合国际知 名酒店深入互动，沉淀出对目前酒旅行业的真实需求，深入理解当前行业面临的挑战及痛点，从公司高层 战略角度希望通过一种全新的平台化、云架构的信息系统努力为酒店行业提供具有建设性的顾问式支持， 因此公司较早的投入自主研发以云架构为基础的新一代</w:t>
      </w:r>
      <w:r>
        <w:rPr>
          <w:rFonts w:ascii="Times New Roman" w:eastAsia="Times New Roman" w:hAnsi="Times New Roman" w:cs="Times New Roman"/>
          <w:color w:val="000000"/>
          <w:spacing w:val="0"/>
          <w:w w:val="100"/>
          <w:position w:val="0"/>
        </w:rPr>
        <w:t>“</w:t>
      </w:r>
      <w:r>
        <w:rPr>
          <w:color w:val="000000"/>
          <w:spacing w:val="0"/>
          <w:w w:val="100"/>
          <w:position w:val="0"/>
        </w:rPr>
        <w:t>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w:t>
      </w:r>
      <w:r>
        <w:rPr>
          <w:rFonts w:ascii="Times New Roman" w:eastAsia="Times New Roman" w:hAnsi="Times New Roman" w:cs="Times New Roman"/>
          <w:color w:val="000000"/>
          <w:spacing w:val="0"/>
          <w:w w:val="100"/>
          <w:position w:val="0"/>
        </w:rPr>
        <w:t xml:space="preserve">[Shiji Enterprises Platform </w:t>
      </w:r>
      <w:r>
        <w:rPr>
          <w:color w:val="000000"/>
          <w:spacing w:val="0"/>
          <w:w w:val="100"/>
          <w:position w:val="0"/>
        </w:rPr>
        <w:t>（</w:t>
      </w:r>
      <w:r>
        <w:rPr>
          <w:rFonts w:ascii="Times New Roman" w:eastAsia="Times New Roman" w:hAnsi="Times New Roman" w:cs="Times New Roman"/>
          <w:color w:val="000000"/>
          <w:spacing w:val="0"/>
          <w:w w:val="100"/>
          <w:position w:val="0"/>
        </w:rPr>
        <w:t>SEP</w:t>
      </w:r>
      <w:r>
        <w:rPr>
          <w:color w:val="000000"/>
          <w:spacing w:val="0"/>
          <w:w w:val="100"/>
          <w:position w:val="0"/>
        </w:rPr>
        <w:t xml:space="preserve">） </w:t>
      </w:r>
      <w:r>
        <w:rPr>
          <w:rFonts w:ascii="Times New Roman" w:eastAsia="Times New Roman" w:hAnsi="Times New Roman" w:cs="Times New Roman"/>
          <w:color w:val="000000"/>
          <w:spacing w:val="0"/>
          <w:w w:val="100"/>
          <w:position w:val="0"/>
        </w:rPr>
        <w:t>-Hospitality Solutions]”</w:t>
      </w:r>
      <w:r>
        <w:rPr>
          <w:color w:val="000000"/>
          <w:spacing w:val="0"/>
          <w:w w:val="100"/>
          <w:position w:val="0"/>
        </w:rPr>
        <w:t>。</w:t>
      </w:r>
      <w:r>
        <w:rPr>
          <w:color w:val="000000"/>
          <w:spacing w:val="0"/>
          <w:w w:val="100"/>
          <w:position w:val="0"/>
        </w:rPr>
        <w:t>该平台完全以客户为核心，改变传统的以酒店为核心自下而上的 设计，从集团角度出发采用自上而下的设计逻辑，搭建出整个平台依托于微服务架构并提供开放的接口文 档说明（</w:t>
      </w:r>
      <w:r>
        <w:rPr>
          <w:rFonts w:ascii="Times New Roman" w:eastAsia="Times New Roman" w:hAnsi="Times New Roman" w:cs="Times New Roman"/>
          <w:color w:val="000000"/>
          <w:spacing w:val="0"/>
          <w:w w:val="100"/>
          <w:position w:val="0"/>
        </w:rPr>
        <w:t>API</w:t>
      </w:r>
      <w:r>
        <w:rPr>
          <w:color w:val="000000"/>
          <w:spacing w:val="0"/>
          <w:w w:val="100"/>
          <w:position w:val="0"/>
        </w:rPr>
        <w:t>）</w:t>
      </w:r>
      <w:r>
        <w:rPr>
          <w:color w:val="000000"/>
          <w:spacing w:val="0"/>
          <w:w w:val="100"/>
          <w:position w:val="0"/>
        </w:rPr>
        <w:t>的一整套云化解决方案。该解决方案能够有效帮助酒店集团在全球范围内建立宾客单一身 份识别体系，继而在通过整合各系统核心功能帮助酒店实现以服务为导向，兼具灵活性、目的性、前瞻性 及可盈利性的运营技术及解决方案。目前该方案已经得到国际标杆酒店半岛酒店集团的认可，签约并完成 系统集成，正等待海外疫情得到控制，国际旅行得到恢复后即可以立即开始切换。除半岛集团以外，</w:t>
      </w:r>
      <w:r>
        <w:rPr>
          <w:rFonts w:ascii="Times New Roman" w:eastAsia="Times New Roman" w:hAnsi="Times New Roman" w:cs="Times New Roman"/>
          <w:color w:val="000000"/>
          <w:spacing w:val="0"/>
          <w:w w:val="100"/>
          <w:position w:val="0"/>
        </w:rPr>
        <w:t xml:space="preserve">SEP-HS </w:t>
      </w:r>
      <w:r>
        <w:rPr>
          <w:color w:val="000000"/>
          <w:spacing w:val="0"/>
          <w:w w:val="100"/>
          <w:position w:val="0"/>
        </w:rPr>
        <w:t>还继续在欧洲和亚太地区签约和上线新的酒店，包括成功切换了位于澳大利亚的大型五星级酒店的使用了 多年的</w:t>
      </w:r>
      <w:r>
        <w:rPr>
          <w:rFonts w:ascii="Times New Roman" w:eastAsia="Times New Roman" w:hAnsi="Times New Roman" w:cs="Times New Roman"/>
          <w:color w:val="000000"/>
          <w:spacing w:val="0"/>
          <w:w w:val="100"/>
          <w:position w:val="0"/>
        </w:rPr>
        <w:t>Opera</w:t>
      </w:r>
      <w:r>
        <w:rPr>
          <w:color w:val="000000"/>
          <w:spacing w:val="0"/>
          <w:w w:val="100"/>
          <w:position w:val="0"/>
        </w:rPr>
        <w:t>系统，获得客户很好的反馈。目前公司正在参与数个重要国际酒店集团对新一代酒店信息系 统的投标和测试，依靠技术和产品的领先，公司有望可以最终获选。</w:t>
      </w:r>
    </w:p>
    <w:p>
      <w:pPr>
        <w:pStyle w:val="Style35"/>
        <w:keepNext w:val="0"/>
        <w:keepLines w:val="0"/>
        <w:widowControl w:val="0"/>
        <w:shd w:val="clear" w:color="auto" w:fill="auto"/>
        <w:tabs>
          <w:tab w:pos="868" w:val="left"/>
        </w:tabs>
        <w:bidi w:val="0"/>
        <w:spacing w:before="0" w:after="0" w:line="313" w:lineRule="exact"/>
        <w:ind w:left="0" w:right="0" w:firstLine="440"/>
        <w:jc w:val="both"/>
      </w:pPr>
      <w:bookmarkStart w:id="124" w:name="bookmark124"/>
      <w:r>
        <w:rPr>
          <w:color w:val="000000"/>
          <w:spacing w:val="0"/>
          <w:w w:val="100"/>
          <w:position w:val="0"/>
        </w:rPr>
        <w:t>（</w:t>
      </w:r>
      <w:bookmarkEnd w:id="124"/>
      <w:r>
        <w:rPr>
          <w:rFonts w:ascii="Times New Roman" w:eastAsia="Times New Roman" w:hAnsi="Times New Roman" w:cs="Times New Roman"/>
          <w:color w:val="000000"/>
          <w:spacing w:val="0"/>
          <w:w w:val="100"/>
          <w:position w:val="0"/>
        </w:rPr>
        <w:t>2</w:t>
      </w:r>
      <w:r>
        <w:rPr>
          <w:color w:val="000000"/>
          <w:spacing w:val="0"/>
          <w:w w:val="100"/>
          <w:position w:val="0"/>
        </w:rPr>
        <w:t>）</w:t>
        <w:tab/>
        <w:t>技术应用及产品功能创新</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首先，公司以云架构为基础的新一代石基企业平台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酒店业解决方案自</w:t>
      </w:r>
      <w:r>
        <w:rPr>
          <w:rFonts w:ascii="Times New Roman" w:eastAsia="Times New Roman" w:hAnsi="Times New Roman" w:cs="Times New Roman"/>
          <w:color w:val="000000"/>
          <w:spacing w:val="0"/>
          <w:w w:val="100"/>
          <w:position w:val="0"/>
        </w:rPr>
        <w:t>2015</w:t>
      </w:r>
      <w:r>
        <w:rPr>
          <w:color w:val="000000"/>
          <w:spacing w:val="0"/>
          <w:w w:val="100"/>
          <w:position w:val="0"/>
        </w:rPr>
        <w:t>年就开始设计并通过试点打 磨，致力于为酒店管理集团提供极具扩展性且最先进的技术和架构，其开放性的架构让系统之间的互通互 联操作便捷，其中核心的是开放的</w:t>
      </w:r>
      <w:r>
        <w:rPr>
          <w:rFonts w:ascii="Times New Roman" w:eastAsia="Times New Roman" w:hAnsi="Times New Roman" w:cs="Times New Roman"/>
          <w:color w:val="000000"/>
          <w:spacing w:val="0"/>
          <w:w w:val="100"/>
          <w:position w:val="0"/>
        </w:rPr>
        <w:t>API</w:t>
      </w:r>
      <w:r>
        <w:rPr>
          <w:color w:val="000000"/>
          <w:spacing w:val="0"/>
          <w:w w:val="100"/>
          <w:position w:val="0"/>
        </w:rPr>
        <w:t>可以让不同应用程序实现无缝对接从而让各个业务管理系统</w:t>
      </w:r>
      <w:r>
        <w:rPr>
          <w:rFonts w:ascii="Times New Roman" w:eastAsia="Times New Roman" w:hAnsi="Times New Roman" w:cs="Times New Roman"/>
          <w:color w:val="000000"/>
          <w:spacing w:val="0"/>
          <w:w w:val="100"/>
          <w:position w:val="0"/>
        </w:rPr>
        <w:t>/</w:t>
      </w:r>
      <w:r>
        <w:rPr>
          <w:color w:val="000000"/>
          <w:spacing w:val="0"/>
          <w:w w:val="100"/>
          <w:position w:val="0"/>
        </w:rPr>
        <w:t>业务系 统与第三方设备之间的对接更方便，数据整合更容易。同时整个平台的功能也在不断丰富，增加了如餐厅 管理、餐位管理、数据智能、休闲娱乐和</w:t>
      </w:r>
      <w:r>
        <w:rPr>
          <w:rFonts w:ascii="Times New Roman" w:eastAsia="Times New Roman" w:hAnsi="Times New Roman" w:cs="Times New Roman"/>
          <w:color w:val="000000"/>
          <w:spacing w:val="0"/>
          <w:w w:val="100"/>
          <w:position w:val="0"/>
        </w:rPr>
        <w:t>Spa</w:t>
      </w:r>
      <w:r>
        <w:rPr>
          <w:color w:val="000000"/>
          <w:spacing w:val="0"/>
          <w:w w:val="100"/>
          <w:position w:val="0"/>
        </w:rPr>
        <w:t>管理等功能；添加了如宾客偏好管理、酒店管理服务等其他 功能，成为面向全球酒店行业的、真正的企业级平台。</w:t>
      </w:r>
    </w:p>
    <w:p>
      <w:pPr>
        <w:pStyle w:val="Style35"/>
        <w:keepNext w:val="0"/>
        <w:keepLines w:val="0"/>
        <w:widowControl w:val="0"/>
        <w:shd w:val="clear" w:color="auto" w:fill="auto"/>
        <w:tabs>
          <w:tab w:pos="868" w:val="left"/>
        </w:tabs>
        <w:bidi w:val="0"/>
        <w:spacing w:before="0" w:after="0" w:line="313" w:lineRule="exact"/>
        <w:ind w:left="0" w:right="0" w:firstLine="440"/>
        <w:jc w:val="both"/>
      </w:pPr>
      <w:bookmarkStart w:id="125" w:name="bookmark125"/>
      <w:r>
        <w:rPr>
          <w:color w:val="000000"/>
          <w:spacing w:val="0"/>
          <w:w w:val="100"/>
          <w:position w:val="0"/>
        </w:rPr>
        <w:t>（</w:t>
      </w:r>
      <w:bookmarkEnd w:id="125"/>
      <w:r>
        <w:rPr>
          <w:rFonts w:ascii="Times New Roman" w:eastAsia="Times New Roman" w:hAnsi="Times New Roman" w:cs="Times New Roman"/>
          <w:color w:val="000000"/>
          <w:spacing w:val="0"/>
          <w:w w:val="100"/>
          <w:position w:val="0"/>
        </w:rPr>
        <w:t>3</w:t>
      </w:r>
      <w:r>
        <w:rPr>
          <w:color w:val="000000"/>
          <w:spacing w:val="0"/>
          <w:w w:val="100"/>
          <w:position w:val="0"/>
        </w:rPr>
        <w:t>）</w:t>
        <w:tab/>
        <w:t>数据安全保障</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以云架构为基础的新一代石基企业平台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酒店业解决方案最大的优势在于能够满足数据的汇聚和流动、 瞬时直连、协同性以及交易便捷性。对于数据安全保障始终是公司高度重视的。</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首先，公司从软件基础层及应用层保证系统安全性。公司投入大量的资源包括顶尖的技术投入、专业 人才投入等旨在建立一个安全防控完整的闭环流程，即从安全风险的识别，到使用合适的安全管理和数据 治理策略，再到安全防控措施的具体实施落实，再到对防控措施进行结果跟踪和检测，来确保系统的高效 运转。公司在软件开发过程中采取多种措施进行安全管理，如</w:t>
      </w:r>
      <w:r>
        <w:rPr>
          <w:rFonts w:ascii="Times New Roman" w:eastAsia="Times New Roman" w:hAnsi="Times New Roman" w:cs="Times New Roman"/>
          <w:color w:val="000000"/>
          <w:spacing w:val="0"/>
          <w:w w:val="100"/>
          <w:position w:val="0"/>
        </w:rPr>
        <w:t>1</w:t>
      </w:r>
      <w:r>
        <w:rPr>
          <w:color w:val="000000"/>
          <w:spacing w:val="0"/>
          <w:w w:val="100"/>
          <w:position w:val="0"/>
        </w:rPr>
        <w:t>）对软件设计进行分析，确保软件能够应 对所有人以上列出的潜在的安全风险，免遭网络攻击；</w:t>
      </w:r>
      <w:r>
        <w:rPr>
          <w:rFonts w:ascii="Times New Roman" w:eastAsia="Times New Roman" w:hAnsi="Times New Roman" w:cs="Times New Roman"/>
          <w:color w:val="000000"/>
          <w:spacing w:val="0"/>
          <w:w w:val="100"/>
          <w:position w:val="0"/>
        </w:rPr>
        <w:t>2</w:t>
      </w:r>
      <w:r>
        <w:rPr>
          <w:color w:val="000000"/>
          <w:spacing w:val="0"/>
          <w:w w:val="100"/>
          <w:position w:val="0"/>
        </w:rPr>
        <w:t>）软件代码需符合安全管理要求；</w:t>
      </w:r>
      <w:r>
        <w:rPr>
          <w:rFonts w:ascii="Times New Roman" w:eastAsia="Times New Roman" w:hAnsi="Times New Roman" w:cs="Times New Roman"/>
          <w:color w:val="000000"/>
          <w:spacing w:val="0"/>
          <w:w w:val="100"/>
          <w:position w:val="0"/>
        </w:rPr>
        <w:t>3</w:t>
      </w:r>
      <w:r>
        <w:rPr>
          <w:color w:val="000000"/>
          <w:spacing w:val="0"/>
          <w:w w:val="100"/>
          <w:position w:val="0"/>
        </w:rPr>
        <w:t>）对软件代码 进行审核来进一步确保安全性，并进行渗透测试；</w:t>
      </w:r>
      <w:r>
        <w:rPr>
          <w:rFonts w:ascii="Times New Roman" w:eastAsia="Times New Roman" w:hAnsi="Times New Roman" w:cs="Times New Roman"/>
          <w:color w:val="000000"/>
          <w:spacing w:val="0"/>
          <w:w w:val="100"/>
          <w:position w:val="0"/>
        </w:rPr>
        <w:t>4</w:t>
      </w:r>
      <w:r>
        <w:rPr>
          <w:color w:val="000000"/>
          <w:spacing w:val="0"/>
          <w:w w:val="100"/>
          <w:position w:val="0"/>
        </w:rPr>
        <w:t>）对运行中的软件进行持续监控，及时确定可能的潜 在网络攻击并进行立即响应。辅之以公司对安全事件的极速响应机制，能够实现公司软件系统的安全运行。</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其次，公司保护隐私数据及个人数据安全。公司数据保护合规性方面已经不断满足不同国家、不同地 区数据保护法的相关规定。公司的数据安全管理系统是通过国际</w:t>
      </w:r>
      <w:r>
        <w:rPr>
          <w:rFonts w:ascii="Times New Roman" w:eastAsia="Times New Roman" w:hAnsi="Times New Roman" w:cs="Times New Roman"/>
          <w:color w:val="000000"/>
          <w:spacing w:val="0"/>
          <w:w w:val="100"/>
          <w:position w:val="0"/>
        </w:rPr>
        <w:t>ISO27001</w:t>
      </w:r>
      <w:r>
        <w:rPr>
          <w:color w:val="000000"/>
          <w:spacing w:val="0"/>
          <w:w w:val="100"/>
          <w:position w:val="0"/>
        </w:rPr>
        <w:t>认证的，该认证誉为国际上最 严谨、最权威，也是最被广泛接受和应用的信息安全领域的体系认证；同时公司还获得了</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 xml:space="preserve">27018 </w:t>
      </w:r>
      <w:r>
        <w:rPr>
          <w:color w:val="000000"/>
          <w:spacing w:val="0"/>
          <w:w w:val="100"/>
          <w:position w:val="0"/>
        </w:rPr>
        <w:t>和</w:t>
      </w:r>
      <w:r>
        <w:rPr>
          <w:rFonts w:ascii="Times New Roman" w:eastAsia="Times New Roman" w:hAnsi="Times New Roman" w:cs="Times New Roman"/>
          <w:color w:val="000000"/>
          <w:spacing w:val="0"/>
          <w:w w:val="100"/>
          <w:position w:val="0"/>
        </w:rPr>
        <w:t>PCI</w:t>
      </w:r>
      <w:r>
        <w:rPr>
          <w:color w:val="000000"/>
          <w:spacing w:val="0"/>
          <w:w w:val="100"/>
          <w:position w:val="0"/>
        </w:rPr>
        <w:t>-</w:t>
      </w:r>
      <w:r>
        <w:rPr>
          <w:rFonts w:ascii="Times New Roman" w:eastAsia="Times New Roman" w:hAnsi="Times New Roman" w:cs="Times New Roman"/>
          <w:color w:val="000000"/>
          <w:spacing w:val="0"/>
          <w:w w:val="100"/>
          <w:position w:val="0"/>
        </w:rPr>
        <w:t>DSS</w:t>
      </w:r>
      <w:r>
        <w:rPr>
          <w:color w:val="000000"/>
          <w:spacing w:val="0"/>
          <w:w w:val="100"/>
          <w:position w:val="0"/>
        </w:rPr>
        <w:t>认证，其中</w:t>
      </w:r>
      <w:r>
        <w:rPr>
          <w:rFonts w:ascii="Times New Roman" w:eastAsia="Times New Roman" w:hAnsi="Times New Roman" w:cs="Times New Roman"/>
          <w:color w:val="000000"/>
          <w:spacing w:val="0"/>
          <w:w w:val="100"/>
          <w:position w:val="0"/>
        </w:rPr>
        <w:t>ISO27O18</w:t>
      </w:r>
      <w:r>
        <w:rPr>
          <w:color w:val="000000"/>
          <w:spacing w:val="0"/>
          <w:w w:val="100"/>
          <w:position w:val="0"/>
        </w:rPr>
        <w:t>更着重于个人隐私数据保护，又称云隐保护认证，也是国际权威、严格 的信息安全体系认证；</w:t>
      </w:r>
      <w:r>
        <w:rPr>
          <w:rFonts w:ascii="Times New Roman" w:eastAsia="Times New Roman" w:hAnsi="Times New Roman" w:cs="Times New Roman"/>
          <w:color w:val="000000"/>
          <w:spacing w:val="0"/>
          <w:w w:val="100"/>
          <w:position w:val="0"/>
        </w:rPr>
        <w:t>PCI</w:t>
      </w:r>
      <w:r>
        <w:rPr>
          <w:color w:val="000000"/>
          <w:spacing w:val="0"/>
          <w:w w:val="100"/>
          <w:position w:val="0"/>
        </w:rPr>
        <w:t>-</w:t>
      </w:r>
      <w:r>
        <w:rPr>
          <w:rFonts w:ascii="Times New Roman" w:eastAsia="Times New Roman" w:hAnsi="Times New Roman" w:cs="Times New Roman"/>
          <w:color w:val="000000"/>
          <w:spacing w:val="0"/>
          <w:w w:val="100"/>
          <w:position w:val="0"/>
        </w:rPr>
        <w:t>DSS</w:t>
      </w:r>
      <w:r>
        <w:rPr>
          <w:color w:val="000000"/>
          <w:spacing w:val="0"/>
          <w:w w:val="100"/>
          <w:position w:val="0"/>
        </w:rPr>
        <w:t>认证的重点是对持卡人数据的保护，是有</w:t>
      </w:r>
      <w:r>
        <w:rPr>
          <w:rFonts w:ascii="Times New Roman" w:eastAsia="Times New Roman" w:hAnsi="Times New Roman" w:cs="Times New Roman"/>
          <w:color w:val="000000"/>
          <w:spacing w:val="0"/>
          <w:w w:val="100"/>
          <w:position w:val="0"/>
        </w:rPr>
        <w:t>PCI</w:t>
      </w:r>
      <w:r>
        <w:rPr>
          <w:color w:val="000000"/>
          <w:spacing w:val="0"/>
          <w:w w:val="100"/>
          <w:position w:val="0"/>
        </w:rPr>
        <w:t>安全标准委员会的创始成员 共同制定。</w:t>
      </w:r>
    </w:p>
    <w:p>
      <w:pPr>
        <w:pStyle w:val="Style35"/>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最后，公司建立安全和网络运营中心时刻监测系统安全性。公司在海外建立了</w:t>
      </w:r>
      <w:r>
        <w:rPr>
          <w:rFonts w:ascii="Times New Roman" w:eastAsia="Times New Roman" w:hAnsi="Times New Roman" w:cs="Times New Roman"/>
          <w:color w:val="000000"/>
          <w:spacing w:val="0"/>
          <w:w w:val="100"/>
          <w:position w:val="0"/>
        </w:rPr>
        <w:t>365</w:t>
      </w:r>
      <w:r>
        <w:rPr>
          <w:color w:val="000000"/>
          <w:spacing w:val="0"/>
          <w:w w:val="100"/>
          <w:position w:val="0"/>
        </w:rPr>
        <w:t>天及</w:t>
      </w:r>
      <w:r>
        <w:rPr>
          <w:rFonts w:ascii="Times New Roman" w:eastAsia="Times New Roman" w:hAnsi="Times New Roman" w:cs="Times New Roman"/>
          <w:color w:val="000000"/>
          <w:spacing w:val="0"/>
          <w:w w:val="100"/>
          <w:position w:val="0"/>
        </w:rPr>
        <w:t>7*24</w:t>
      </w:r>
      <w:r>
        <w:rPr>
          <w:color w:val="000000"/>
          <w:spacing w:val="0"/>
          <w:w w:val="100"/>
          <w:position w:val="0"/>
        </w:rPr>
        <w:t>小时网络 安全运营团队，时刻监控系统安全问题并及时响应偶发及突发事件。</w:t>
      </w:r>
    </w:p>
    <w:p>
      <w:pPr>
        <w:pStyle w:val="Style35"/>
        <w:keepNext w:val="0"/>
        <w:keepLines w:val="0"/>
        <w:widowControl w:val="0"/>
        <w:shd w:val="clear" w:color="auto" w:fill="auto"/>
        <w:bidi w:val="0"/>
        <w:spacing w:before="0" w:after="0"/>
        <w:ind w:left="0" w:right="0" w:firstLine="440"/>
        <w:jc w:val="both"/>
      </w:pPr>
      <w:bookmarkStart w:id="126" w:name="bookmark126"/>
      <w:r>
        <w:rPr>
          <w:rFonts w:ascii="Times New Roman" w:eastAsia="Times New Roman" w:hAnsi="Times New Roman" w:cs="Times New Roman"/>
          <w:color w:val="000000"/>
          <w:spacing w:val="0"/>
          <w:w w:val="100"/>
          <w:position w:val="0"/>
        </w:rPr>
        <w:t>2</w:t>
      </w:r>
      <w:bookmarkEnd w:id="126"/>
      <w:r>
        <w:rPr>
          <w:color w:val="000000"/>
          <w:spacing w:val="0"/>
          <w:w w:val="100"/>
          <w:position w:val="0"/>
        </w:rPr>
        <w:t>、其他产品云化创新优势明显</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除公司新一代云架构的酒店信息系统管理企业级平台外，公司在国内酒店、餐饮、零售及旅游板块同 样推出先进、便捷的云化创新产品。国内酒店领域公司研发的</w:t>
      </w:r>
      <w:r>
        <w:rPr>
          <w:rFonts w:ascii="Times New Roman" w:eastAsia="Times New Roman" w:hAnsi="Times New Roman" w:cs="Times New Roman"/>
          <w:color w:val="000000"/>
          <w:spacing w:val="0"/>
          <w:w w:val="100"/>
          <w:position w:val="0"/>
        </w:rPr>
        <w:t>Cambridge</w:t>
      </w:r>
      <w:r>
        <w:rPr>
          <w:color w:val="000000"/>
          <w:spacing w:val="0"/>
          <w:w w:val="100"/>
          <w:position w:val="0"/>
        </w:rPr>
        <w:t>石基云</w:t>
      </w:r>
      <w:r>
        <w:rPr>
          <w:rFonts w:ascii="Times New Roman" w:eastAsia="Times New Roman" w:hAnsi="Times New Roman" w:cs="Times New Roman"/>
          <w:color w:val="000000"/>
          <w:spacing w:val="0"/>
          <w:w w:val="100"/>
          <w:position w:val="0"/>
        </w:rPr>
        <w:t>PMS</w:t>
      </w:r>
      <w:r>
        <w:rPr>
          <w:color w:val="000000"/>
          <w:spacing w:val="0"/>
          <w:w w:val="100"/>
          <w:position w:val="0"/>
        </w:rPr>
        <w:t>管理系统已经实现了 云</w:t>
      </w:r>
      <w:r>
        <w:rPr>
          <w:rFonts w:ascii="Times New Roman" w:eastAsia="Times New Roman" w:hAnsi="Times New Roman" w:cs="Times New Roman"/>
          <w:color w:val="000000"/>
          <w:spacing w:val="0"/>
          <w:w w:val="100"/>
          <w:position w:val="0"/>
        </w:rPr>
        <w:t>PMS</w:t>
      </w:r>
      <w:r>
        <w:rPr>
          <w:color w:val="000000"/>
          <w:spacing w:val="0"/>
          <w:w w:val="100"/>
          <w:position w:val="0"/>
        </w:rPr>
        <w:t>的全平台应用，能够全面支持</w:t>
      </w:r>
      <w:r>
        <w:rPr>
          <w:rFonts w:ascii="Times New Roman" w:eastAsia="Times New Roman" w:hAnsi="Times New Roman" w:cs="Times New Roman"/>
          <w:color w:val="000000"/>
          <w:spacing w:val="0"/>
          <w:w w:val="100"/>
          <w:position w:val="0"/>
        </w:rPr>
        <w:t>PC</w:t>
      </w:r>
      <w:r>
        <w:rPr>
          <w:color w:val="000000"/>
          <w:spacing w:val="0"/>
          <w:w w:val="100"/>
          <w:position w:val="0"/>
        </w:rPr>
        <w:t>、</w:t>
      </w:r>
      <w:r>
        <w:rPr>
          <w:color w:val="000000"/>
          <w:spacing w:val="0"/>
          <w:w w:val="100"/>
          <w:position w:val="0"/>
        </w:rPr>
        <w:t>平板、</w:t>
      </w:r>
      <w:r>
        <w:rPr>
          <w:rFonts w:ascii="Times New Roman" w:eastAsia="Times New Roman" w:hAnsi="Times New Roman" w:cs="Times New Roman"/>
          <w:color w:val="000000"/>
          <w:spacing w:val="0"/>
          <w:w w:val="100"/>
          <w:position w:val="0"/>
        </w:rPr>
        <w:t>Android</w:t>
      </w:r>
      <w:r>
        <w:rPr>
          <w:color w:val="000000"/>
          <w:spacing w:val="0"/>
          <w:w w:val="100"/>
          <w:position w:val="0"/>
        </w:rPr>
        <w:t>和</w:t>
      </w:r>
      <w:r>
        <w:rPr>
          <w:rFonts w:ascii="Times New Roman" w:eastAsia="Times New Roman" w:hAnsi="Times New Roman" w:cs="Times New Roman"/>
          <w:color w:val="000000"/>
          <w:spacing w:val="0"/>
          <w:w w:val="100"/>
          <w:position w:val="0"/>
        </w:rPr>
        <w:t>IOS</w:t>
      </w:r>
      <w:r>
        <w:rPr>
          <w:color w:val="000000"/>
          <w:spacing w:val="0"/>
          <w:w w:val="100"/>
          <w:position w:val="0"/>
        </w:rPr>
        <w:t xml:space="preserve">在内的各种前端应用设备；餐饮领域研发的 </w:t>
      </w:r>
      <w:r>
        <w:rPr>
          <w:rFonts w:ascii="Times New Roman" w:eastAsia="Times New Roman" w:hAnsi="Times New Roman" w:cs="Times New Roman"/>
          <w:color w:val="000000"/>
          <w:spacing w:val="0"/>
          <w:w w:val="100"/>
          <w:position w:val="0"/>
        </w:rPr>
        <w:t>Infrasys</w:t>
      </w:r>
      <w:r>
        <w:rPr>
          <w:color w:val="000000"/>
          <w:spacing w:val="0"/>
          <w:w w:val="100"/>
          <w:position w:val="0"/>
        </w:rPr>
        <w:t>云餐饮管理解决方案获得了国外酒店集团及国内高端酒店的广泛认可；零售领域，石基零售成为国 内首家完成</w:t>
      </w:r>
      <w:r>
        <w:rPr>
          <w:rFonts w:ascii="Times New Roman" w:eastAsia="Times New Roman" w:hAnsi="Times New Roman" w:cs="Times New Roman"/>
          <w:color w:val="000000"/>
          <w:spacing w:val="0"/>
          <w:w w:val="100"/>
          <w:position w:val="0"/>
        </w:rPr>
        <w:t>CMMI</w:t>
      </w:r>
      <w:r>
        <w:rPr>
          <w:color w:val="000000"/>
          <w:spacing w:val="0"/>
          <w:w w:val="100"/>
          <w:position w:val="0"/>
        </w:rPr>
        <w:t>认证的流通行业软件服务商，该认证系美国国防部与卡耐基梅隆大学共同研究与开发， 并在全世界推广实施的一种软件能力成熟度评估标准。石基零售获此认证标志着其在软件研发和服务能力 方面与国际主流模式进一步接轨。</w:t>
      </w:r>
    </w:p>
    <w:p>
      <w:pPr>
        <w:pStyle w:val="Style35"/>
        <w:keepNext w:val="0"/>
        <w:keepLines w:val="0"/>
        <w:widowControl w:val="0"/>
        <w:shd w:val="clear" w:color="auto" w:fill="auto"/>
        <w:tabs>
          <w:tab w:pos="974" w:val="left"/>
        </w:tabs>
        <w:bidi w:val="0"/>
        <w:spacing w:before="0" w:after="60" w:line="313" w:lineRule="exact"/>
        <w:ind w:left="0" w:right="0" w:firstLine="440"/>
        <w:jc w:val="both"/>
      </w:pPr>
      <w:bookmarkStart w:id="127" w:name="bookmark127"/>
      <w:r>
        <w:rPr>
          <w:color w:val="000000"/>
          <w:spacing w:val="0"/>
          <w:w w:val="100"/>
          <w:position w:val="0"/>
        </w:rPr>
        <w:t>（</w:t>
      </w:r>
      <w:bookmarkEnd w:id="127"/>
      <w:r>
        <w:rPr>
          <w:color w:val="000000"/>
          <w:spacing w:val="0"/>
          <w:w w:val="100"/>
          <w:position w:val="0"/>
        </w:rPr>
        <w:t>二）</w:t>
        <w:tab/>
      </w:r>
      <w:r>
        <w:rPr>
          <w:b/>
          <w:bCs/>
          <w:color w:val="000000"/>
          <w:spacing w:val="0"/>
          <w:w w:val="100"/>
          <w:position w:val="0"/>
        </w:rPr>
        <w:t>专业化服务优势</w:t>
      </w:r>
    </w:p>
    <w:p>
      <w:pPr>
        <w:pStyle w:val="Style35"/>
        <w:keepNext w:val="0"/>
        <w:keepLines w:val="0"/>
        <w:widowControl w:val="0"/>
        <w:shd w:val="clear" w:color="auto" w:fill="auto"/>
        <w:tabs>
          <w:tab w:pos="757" w:val="left"/>
        </w:tabs>
        <w:bidi w:val="0"/>
        <w:spacing w:before="0" w:after="0"/>
        <w:ind w:left="0" w:right="0" w:firstLine="440"/>
        <w:jc w:val="both"/>
      </w:pPr>
      <w:bookmarkStart w:id="128" w:name="bookmark128"/>
      <w:r>
        <w:rPr>
          <w:rFonts w:ascii="Times New Roman" w:eastAsia="Times New Roman" w:hAnsi="Times New Roman" w:cs="Times New Roman"/>
          <w:color w:val="000000"/>
          <w:spacing w:val="0"/>
          <w:w w:val="100"/>
          <w:position w:val="0"/>
        </w:rPr>
        <w:t>1</w:t>
      </w:r>
      <w:bookmarkEnd w:id="128"/>
      <w:r>
        <w:rPr>
          <w:color w:val="000000"/>
          <w:spacing w:val="0"/>
          <w:w w:val="100"/>
          <w:position w:val="0"/>
        </w:rPr>
        <w:t>、</w:t>
        <w:tab/>
        <w:t>服务本地化部署</w:t>
      </w:r>
    </w:p>
    <w:p>
      <w:pPr>
        <w:pStyle w:val="Style35"/>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公司在向全球用户提供创新技术和解决方案的同时，始终践行为用户提供高品质本地服务。公司通过 继续在全球重要城市开设全服务办公室的方式基本完成石基的全球化销售和服务网络的建设。</w:t>
      </w:r>
      <w:r>
        <w:rPr>
          <w:rFonts w:ascii="Times New Roman" w:eastAsia="Times New Roman" w:hAnsi="Times New Roman" w:cs="Times New Roman"/>
          <w:color w:val="000000"/>
          <w:spacing w:val="0"/>
          <w:w w:val="100"/>
          <w:position w:val="0"/>
        </w:rPr>
        <w:t>2020</w:t>
      </w:r>
      <w:r>
        <w:rPr>
          <w:color w:val="000000"/>
          <w:spacing w:val="0"/>
          <w:w w:val="100"/>
          <w:position w:val="0"/>
        </w:rPr>
        <w:t>年度即 使在疫情影响下，公司仍继续深耕拉美市场，在马里兰州及墨西哥建立办公室，目前公司已在共计超过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个核心城市开设了石基的办公室并正式开展业务，基本完成了石基的全球化研发、销售和服务网络的建设。</w:t>
      </w:r>
    </w:p>
    <w:p>
      <w:pPr>
        <w:pStyle w:val="Style35"/>
        <w:keepNext w:val="0"/>
        <w:keepLines w:val="0"/>
        <w:widowControl w:val="0"/>
        <w:shd w:val="clear" w:color="auto" w:fill="auto"/>
        <w:tabs>
          <w:tab w:pos="757" w:val="left"/>
        </w:tabs>
        <w:bidi w:val="0"/>
        <w:spacing w:before="0" w:after="0"/>
        <w:ind w:left="0" w:right="0" w:firstLine="440"/>
        <w:jc w:val="both"/>
      </w:pPr>
      <w:bookmarkStart w:id="129" w:name="bookmark129"/>
      <w:r>
        <w:rPr>
          <w:rFonts w:ascii="Times New Roman" w:eastAsia="Times New Roman" w:hAnsi="Times New Roman" w:cs="Times New Roman"/>
          <w:color w:val="000000"/>
          <w:spacing w:val="0"/>
          <w:w w:val="100"/>
          <w:position w:val="0"/>
        </w:rPr>
        <w:t>2</w:t>
      </w:r>
      <w:bookmarkEnd w:id="129"/>
      <w:r>
        <w:rPr>
          <w:color w:val="000000"/>
          <w:spacing w:val="0"/>
          <w:w w:val="100"/>
          <w:position w:val="0"/>
        </w:rPr>
        <w:t>、</w:t>
        <w:tab/>
        <w:t>简化实施与交付工作</w:t>
      </w:r>
    </w:p>
    <w:p>
      <w:pPr>
        <w:pStyle w:val="Style35"/>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公司新一代云架构的酒店信息系统管理企业级平台通过云架构实现简化的实施交付及使用工作。传统 信息系统复杂的流程设计需要在客户安装系统后实行为期几天的培训工作，以确保客户能熟练正确的操作 系统，但是云化系统可以将系统功能以简约方式呈现在使用者移动端设备（如手机等）上，无需进行冗繁 的培训，进而大大提升酒店客户使用效率，同时提高系统被接受程度及可操作性。</w:t>
      </w:r>
    </w:p>
    <w:p>
      <w:pPr>
        <w:pStyle w:val="Style35"/>
        <w:keepNext w:val="0"/>
        <w:keepLines w:val="0"/>
        <w:widowControl w:val="0"/>
        <w:shd w:val="clear" w:color="auto" w:fill="auto"/>
        <w:tabs>
          <w:tab w:pos="757" w:val="left"/>
        </w:tabs>
        <w:bidi w:val="0"/>
        <w:spacing w:before="0" w:after="0" w:line="324" w:lineRule="auto"/>
        <w:ind w:left="0" w:right="0" w:firstLine="440"/>
        <w:jc w:val="both"/>
      </w:pPr>
      <w:bookmarkStart w:id="130" w:name="bookmark130"/>
      <w:r>
        <w:rPr>
          <w:rFonts w:ascii="Times New Roman" w:eastAsia="Times New Roman" w:hAnsi="Times New Roman" w:cs="Times New Roman"/>
          <w:color w:val="000000"/>
          <w:spacing w:val="0"/>
          <w:w w:val="100"/>
          <w:position w:val="0"/>
        </w:rPr>
        <w:t>3</w:t>
      </w:r>
      <w:bookmarkEnd w:id="130"/>
      <w:r>
        <w:rPr>
          <w:color w:val="000000"/>
          <w:spacing w:val="0"/>
          <w:w w:val="100"/>
          <w:position w:val="0"/>
        </w:rPr>
        <w:t>、</w:t>
        <w:tab/>
        <w:t>线上线下技术支持优势</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公司采用线上线下双管齐下的方式，除了选择将服务本地化部署，以最快的速度解决客户问题以外， 仍然建立线上远程技术支持。通过做好维护工作增加客户黏性，提高客户对我们的认可。</w:t>
      </w:r>
    </w:p>
    <w:p>
      <w:pPr>
        <w:pStyle w:val="Style35"/>
        <w:keepNext w:val="0"/>
        <w:keepLines w:val="0"/>
        <w:widowControl w:val="0"/>
        <w:shd w:val="clear" w:color="auto" w:fill="auto"/>
        <w:tabs>
          <w:tab w:pos="978" w:val="left"/>
        </w:tabs>
        <w:bidi w:val="0"/>
        <w:spacing w:before="0" w:after="0" w:line="311" w:lineRule="exact"/>
        <w:ind w:left="0" w:right="0" w:firstLine="440"/>
        <w:jc w:val="both"/>
      </w:pPr>
      <w:bookmarkStart w:id="131" w:name="bookmark131"/>
      <w:r>
        <w:rPr>
          <w:b/>
          <w:bCs/>
          <w:color w:val="000000"/>
          <w:spacing w:val="0"/>
          <w:w w:val="100"/>
          <w:position w:val="0"/>
        </w:rPr>
        <w:t>（</w:t>
      </w:r>
      <w:bookmarkEnd w:id="131"/>
      <w:r>
        <w:rPr>
          <w:b/>
          <w:bCs/>
          <w:color w:val="000000"/>
          <w:spacing w:val="0"/>
          <w:w w:val="100"/>
          <w:position w:val="0"/>
        </w:rPr>
        <w:t>三）</w:t>
        <w:tab/>
        <w:t>行业优势</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公司经过二十余载在酒店文旅行业持续深耕，已经形成了一定的市场规模及客户资源；在餐饮信息化 行业高度分散的局势下，公司通过有效整合，中高端、连锁餐饮用户数量已超过</w:t>
      </w:r>
      <w:r>
        <w:rPr>
          <w:rFonts w:ascii="Times New Roman" w:eastAsia="Times New Roman" w:hAnsi="Times New Roman" w:cs="Times New Roman"/>
          <w:color w:val="000000"/>
          <w:spacing w:val="0"/>
          <w:w w:val="100"/>
          <w:position w:val="0"/>
        </w:rPr>
        <w:t>10,000</w:t>
      </w:r>
      <w:r>
        <w:rPr>
          <w:color w:val="000000"/>
          <w:spacing w:val="0"/>
          <w:w w:val="100"/>
          <w:position w:val="0"/>
        </w:rPr>
        <w:t>家，大众餐饮店用 户约</w:t>
      </w:r>
      <w:r>
        <w:rPr>
          <w:rFonts w:ascii="Times New Roman" w:eastAsia="Times New Roman" w:hAnsi="Times New Roman" w:cs="Times New Roman"/>
          <w:color w:val="000000"/>
          <w:spacing w:val="0"/>
          <w:w w:val="100"/>
          <w:position w:val="0"/>
        </w:rPr>
        <w:t>20</w:t>
      </w:r>
      <w:r>
        <w:rPr>
          <w:color w:val="000000"/>
          <w:spacing w:val="0"/>
          <w:w w:val="100"/>
          <w:position w:val="0"/>
        </w:rPr>
        <w:t>万家，无论在中高端及连锁餐饮市场还是在整个餐饮信息化市场的占有率均处于相对领先水平。在 零售信息系统行业，通过控股的长益科技、富基信息、思迅软件、海信智能商用，零售客户总数约</w:t>
      </w:r>
      <w:r>
        <w:rPr>
          <w:rFonts w:ascii="Times New Roman" w:eastAsia="Times New Roman" w:hAnsi="Times New Roman" w:cs="Times New Roman"/>
          <w:color w:val="000000"/>
          <w:spacing w:val="0"/>
          <w:w w:val="100"/>
          <w:position w:val="0"/>
        </w:rPr>
        <w:t>60</w:t>
      </w:r>
      <w:r>
        <w:rPr>
          <w:color w:val="000000"/>
          <w:spacing w:val="0"/>
          <w:w w:val="100"/>
          <w:position w:val="0"/>
        </w:rPr>
        <w:t>万家, 占中国零售百强客户群的</w:t>
      </w:r>
      <w:r>
        <w:rPr>
          <w:rFonts w:ascii="Times New Roman" w:eastAsia="Times New Roman" w:hAnsi="Times New Roman" w:cs="Times New Roman"/>
          <w:color w:val="000000"/>
          <w:spacing w:val="0"/>
          <w:w w:val="100"/>
          <w:position w:val="0"/>
        </w:rPr>
        <w:t>50%</w:t>
      </w:r>
      <w:r>
        <w:rPr>
          <w:color w:val="000000"/>
          <w:spacing w:val="0"/>
          <w:w w:val="100"/>
          <w:position w:val="0"/>
        </w:rPr>
        <w:t>以上。在旅游休闲信息系统行业，控股子公司石基环企在大型主题公园和集 团化大型旅游目的地项目市场居领先地位。报告期内，作为中国文旅业暨大消费领域深耕多年的技术服务 企业，石基信息斩获</w:t>
      </w:r>
      <w:r>
        <w:rPr>
          <w:rFonts w:ascii="Times New Roman" w:eastAsia="Times New Roman" w:hAnsi="Times New Roman" w:cs="Times New Roman"/>
          <w:color w:val="000000"/>
          <w:spacing w:val="0"/>
          <w:w w:val="100"/>
          <w:position w:val="0"/>
        </w:rPr>
        <w:t>“2020</w:t>
      </w:r>
      <w:r>
        <w:rPr>
          <w:color w:val="000000"/>
          <w:spacing w:val="0"/>
          <w:w w:val="100"/>
          <w:position w:val="0"/>
        </w:rPr>
        <w:t>年度最具创新力数字文旅集团</w:t>
      </w:r>
      <w:r>
        <w:rPr>
          <w:color w:val="000000"/>
          <w:spacing w:val="0"/>
          <w:w w:val="100"/>
          <w:position w:val="0"/>
        </w:rPr>
        <w:t>''，</w:t>
      </w:r>
      <w:r>
        <w:rPr>
          <w:color w:val="000000"/>
          <w:spacing w:val="0"/>
          <w:w w:val="100"/>
          <w:position w:val="0"/>
        </w:rPr>
        <w:t xml:space="preserve">其旗下全自主研发的石基目的地综合解决方案 荣获了 </w:t>
      </w:r>
      <w:r>
        <w:rPr>
          <w:rFonts w:ascii="Times New Roman" w:eastAsia="Times New Roman" w:hAnsi="Times New Roman" w:cs="Times New Roman"/>
          <w:color w:val="000000"/>
          <w:spacing w:val="0"/>
          <w:w w:val="100"/>
          <w:position w:val="0"/>
        </w:rPr>
        <w:t>“2020</w:t>
      </w:r>
      <w:r>
        <w:rPr>
          <w:color w:val="000000"/>
          <w:spacing w:val="0"/>
          <w:w w:val="100"/>
          <w:position w:val="0"/>
        </w:rPr>
        <w:t>年度最佳文旅科技项目</w:t>
      </w:r>
      <w:r>
        <w:rPr>
          <w:rFonts w:ascii="Times New Roman" w:eastAsia="Times New Roman" w:hAnsi="Times New Roman" w:cs="Times New Roman"/>
          <w:color w:val="000000"/>
          <w:spacing w:val="0"/>
          <w:w w:val="100"/>
          <w:position w:val="0"/>
        </w:rPr>
        <w:t>”</w:t>
      </w:r>
      <w:r>
        <w:rPr>
          <w:color w:val="000000"/>
          <w:spacing w:val="0"/>
          <w:w w:val="100"/>
          <w:position w:val="0"/>
        </w:rPr>
        <w:t>奖。</w:t>
      </w:r>
    </w:p>
    <w:p>
      <w:pPr>
        <w:pStyle w:val="Style35"/>
        <w:keepNext w:val="0"/>
        <w:keepLines w:val="0"/>
        <w:widowControl w:val="0"/>
        <w:shd w:val="clear" w:color="auto" w:fill="auto"/>
        <w:tabs>
          <w:tab w:pos="978" w:val="left"/>
        </w:tabs>
        <w:bidi w:val="0"/>
        <w:spacing w:before="0" w:after="60" w:line="311" w:lineRule="exact"/>
        <w:ind w:left="0" w:right="0" w:firstLine="440"/>
        <w:jc w:val="both"/>
      </w:pPr>
      <w:bookmarkStart w:id="132" w:name="bookmark132"/>
      <w:r>
        <w:rPr>
          <w:b/>
          <w:bCs/>
          <w:color w:val="000000"/>
          <w:spacing w:val="0"/>
          <w:w w:val="100"/>
          <w:position w:val="0"/>
        </w:rPr>
        <w:t>（</w:t>
      </w:r>
      <w:bookmarkEnd w:id="132"/>
      <w:r>
        <w:rPr>
          <w:b/>
          <w:bCs/>
          <w:color w:val="000000"/>
          <w:spacing w:val="0"/>
          <w:w w:val="100"/>
          <w:position w:val="0"/>
        </w:rPr>
        <w:t>四）</w:t>
        <w:tab/>
        <w:t>核心人才优势</w:t>
      </w:r>
    </w:p>
    <w:p>
      <w:pPr>
        <w:pStyle w:val="Style35"/>
        <w:keepNext w:val="0"/>
        <w:keepLines w:val="0"/>
        <w:widowControl w:val="0"/>
        <w:shd w:val="clear" w:color="auto" w:fill="auto"/>
        <w:bidi w:val="0"/>
        <w:spacing w:before="0" w:after="60" w:line="313" w:lineRule="exact"/>
        <w:ind w:left="0" w:right="0" w:firstLine="360"/>
        <w:jc w:val="both"/>
      </w:pPr>
      <w:r>
        <w:rPr>
          <w:color w:val="000000"/>
          <w:spacing w:val="0"/>
          <w:w w:val="100"/>
          <w:position w:val="0"/>
        </w:rPr>
        <w:t>公司已建立起一支技术精湛、经验丰富、结构合理、团结合作的国际化管理团队。过去几年，公司加 大了海外专业人才的招聘和使用，公司已经在全球范围建立了基本覆盖全球酒店、餐饮、娱乐业需求的技 术领先的研发团队，他们或具有多年国际酒店管理的经验，或具有多年的酒店信息管理系统开发设计经验, 对国内外酒店信息管理系统行业的技术及业务发展历程、未来趋势具有深刻理解。公司的产品开发、市场 销售业务骨干大多具有多年国际酒店从业经验，既精通信息技术，同时又理解酒店及消费者需求；工程实 施、技术服务人员也大都具有多年从业经验，并经公司严格的内部培训。同时公司通过收购快速实现了规 模化零售业信息管理系统行业的相对控制，这些从事零售业信息系统业务的子公司为行业最优秀的公司， 代表了行业最优秀的管理和运营团队。在休闲娱乐行业信息系统行业，公司控股子公司石基环企拥有十多 年的大型文旅项目研发实施经验、超百人的专业技术团队。因此，专业的国际化管理团队和专业、敬业的 优秀员工队伍是公司的核心竞争优势之一。</w:t>
      </w:r>
    </w:p>
    <w:p>
      <w:pPr>
        <w:pStyle w:val="Style8"/>
        <w:keepNext/>
        <w:keepLines/>
        <w:widowControl w:val="0"/>
        <w:shd w:val="clear" w:color="auto" w:fill="auto"/>
        <w:bidi w:val="0"/>
        <w:spacing w:before="0" w:after="560" w:line="240" w:lineRule="auto"/>
        <w:ind w:left="0" w:right="0" w:firstLine="0"/>
        <w:jc w:val="center"/>
      </w:pPr>
      <w:bookmarkStart w:id="133" w:name="bookmark133"/>
      <w:bookmarkStart w:id="134" w:name="bookmark134"/>
      <w:bookmarkStart w:id="135" w:name="bookmark135"/>
      <w:r>
        <w:rPr>
          <w:color w:val="000000"/>
          <w:spacing w:val="0"/>
          <w:w w:val="100"/>
          <w:position w:val="0"/>
        </w:rPr>
        <w:t>第四节经营情况讨论与分析</w:t>
      </w:r>
      <w:bookmarkEnd w:id="133"/>
      <w:bookmarkEnd w:id="134"/>
      <w:bookmarkEnd w:id="135"/>
    </w:p>
    <w:p>
      <w:pPr>
        <w:pStyle w:val="Style24"/>
        <w:keepNext/>
        <w:keepLines/>
        <w:widowControl w:val="0"/>
        <w:shd w:val="clear" w:color="auto" w:fill="auto"/>
        <w:bidi w:val="0"/>
        <w:spacing w:before="0" w:after="280" w:line="240" w:lineRule="auto"/>
        <w:ind w:left="0" w:right="0" w:firstLine="0"/>
        <w:jc w:val="both"/>
      </w:pPr>
      <w:bookmarkStart w:id="136" w:name="bookmark136"/>
      <w:bookmarkStart w:id="137" w:name="bookmark137"/>
      <w:bookmarkStart w:id="138" w:name="bookmark138"/>
      <w:bookmarkStart w:id="139" w:name="bookmark139"/>
      <w:bookmarkStart w:id="140" w:name="bookmark140"/>
      <w:r>
        <w:rPr>
          <w:color w:val="000000"/>
          <w:spacing w:val="0"/>
          <w:w w:val="100"/>
          <w:position w:val="0"/>
        </w:rPr>
        <w:t>一</w:t>
      </w:r>
      <w:bookmarkEnd w:id="139"/>
      <w:r>
        <w:rPr>
          <w:color w:val="000000"/>
          <w:spacing w:val="0"/>
          <w:w w:val="100"/>
          <w:position w:val="0"/>
        </w:rPr>
        <w:t>、概述</w:t>
      </w:r>
      <w:bookmarkEnd w:id="137"/>
      <w:bookmarkEnd w:id="138"/>
      <w:bookmarkEnd w:id="140"/>
      <w:bookmarkEnd w:id="136"/>
    </w:p>
    <w:p>
      <w:pPr>
        <w:pStyle w:val="Style35"/>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年，全球疫情对公司所处的酒店、餐饮、零售、休闲娱乐等大消费行业产生了重创；疫情在全国 爆发后不久，公司义无反顾地决定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月底之后不再续期与</w:t>
      </w:r>
      <w:r>
        <w:rPr>
          <w:rFonts w:ascii="Times New Roman" w:eastAsia="Times New Roman" w:hAnsi="Times New Roman" w:cs="Times New Roman"/>
          <w:color w:val="000000"/>
          <w:spacing w:val="0"/>
          <w:w w:val="100"/>
          <w:position w:val="0"/>
        </w:rPr>
        <w:t>Oracle</w:t>
      </w:r>
      <w:r>
        <w:rPr>
          <w:color w:val="000000"/>
          <w:spacing w:val="0"/>
          <w:w w:val="100"/>
          <w:position w:val="0"/>
        </w:rPr>
        <w:t>的酒店业相关代理合作协议，从此不 受约束、全心全意地专注于自主产品的研发，以利用疫情销售暂停的时间窗口加快新一代云架构的石基企 业平台的开发和落地；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月底，公司按照美国总统行政命令的要求出售了此前收购的美国</w:t>
      </w:r>
      <w:r>
        <w:rPr>
          <w:rFonts w:ascii="Times New Roman" w:eastAsia="Times New Roman" w:hAnsi="Times New Roman" w:cs="Times New Roman"/>
          <w:color w:val="000000"/>
          <w:spacing w:val="0"/>
          <w:w w:val="100"/>
          <w:position w:val="0"/>
        </w:rPr>
        <w:t xml:space="preserve">StayNTouch </w:t>
      </w:r>
      <w:r>
        <w:rPr>
          <w:color w:val="000000"/>
          <w:spacing w:val="0"/>
          <w:w w:val="100"/>
          <w:position w:val="0"/>
        </w:rPr>
        <w:t>公司全部股权，尽管本次出售事项一次性减少公司净利润约</w:t>
      </w:r>
      <w:r>
        <w:rPr>
          <w:rFonts w:ascii="Times New Roman" w:eastAsia="Times New Roman" w:hAnsi="Times New Roman" w:cs="Times New Roman"/>
          <w:color w:val="000000"/>
          <w:spacing w:val="0"/>
          <w:w w:val="100"/>
          <w:position w:val="0"/>
        </w:rPr>
        <w:t>1.7</w:t>
      </w:r>
      <w:r>
        <w:rPr>
          <w:color w:val="000000"/>
          <w:spacing w:val="0"/>
          <w:w w:val="100"/>
          <w:position w:val="0"/>
        </w:rPr>
        <w:t>亿元人民币，但并不涉及公司自主研发的全 新一代云产品核心技术，通过此次美国外国投资委员会</w:t>
      </w:r>
      <w:r>
        <w:rPr>
          <w:color w:val="000000"/>
          <w:spacing w:val="0"/>
          <w:w w:val="100"/>
          <w:position w:val="0"/>
        </w:rPr>
        <w:t>（</w:t>
      </w:r>
      <w:r>
        <w:rPr>
          <w:rFonts w:ascii="Times New Roman" w:eastAsia="Times New Roman" w:hAnsi="Times New Roman" w:cs="Times New Roman"/>
          <w:color w:val="000000"/>
          <w:spacing w:val="0"/>
          <w:w w:val="100"/>
          <w:position w:val="0"/>
        </w:rPr>
        <w:t>CFIUS</w:t>
      </w:r>
      <w:r>
        <w:rPr>
          <w:color w:val="000000"/>
          <w:spacing w:val="0"/>
          <w:w w:val="100"/>
          <w:position w:val="0"/>
        </w:rPr>
        <w:t>）</w:t>
      </w:r>
      <w:r>
        <w:rPr>
          <w:color w:val="000000"/>
          <w:spacing w:val="0"/>
          <w:w w:val="100"/>
          <w:position w:val="0"/>
        </w:rPr>
        <w:t>审核事项，公司也进一步明确了在产品、 技术和运营上将系统和数据安全放在首要位置的原则。</w:t>
      </w:r>
    </w:p>
    <w:p>
      <w:pPr>
        <w:pStyle w:val="Style35"/>
        <w:keepNext w:val="0"/>
        <w:keepLines w:val="0"/>
        <w:widowControl w:val="0"/>
        <w:shd w:val="clear" w:color="auto" w:fill="auto"/>
        <w:bidi w:val="0"/>
        <w:spacing w:before="0" w:after="40" w:line="309" w:lineRule="exact"/>
        <w:ind w:left="0" w:right="0" w:firstLine="440"/>
        <w:jc w:val="both"/>
      </w:pPr>
      <w:r>
        <w:rPr>
          <w:color w:val="000000"/>
          <w:spacing w:val="0"/>
          <w:w w:val="100"/>
          <w:position w:val="0"/>
        </w:rPr>
        <w:t>在诸多不利的外部环境下，</w:t>
      </w:r>
      <w:r>
        <w:rPr>
          <w:rFonts w:ascii="Times New Roman" w:eastAsia="Times New Roman" w:hAnsi="Times New Roman" w:cs="Times New Roman"/>
          <w:color w:val="000000"/>
          <w:spacing w:val="0"/>
          <w:w w:val="100"/>
          <w:position w:val="0"/>
        </w:rPr>
        <w:t>2020</w:t>
      </w:r>
      <w:r>
        <w:rPr>
          <w:color w:val="000000"/>
          <w:spacing w:val="0"/>
          <w:w w:val="100"/>
          <w:position w:val="0"/>
        </w:rPr>
        <w:t>年，公司毫不动摇地坚持国际化与平台化的大战略，在国际化方面取 得了一系列阶段性成果：基于大数据的酒店云服务处于全球相对领先地位，在中国之外全球有超过</w:t>
      </w:r>
      <w:r>
        <w:rPr>
          <w:rFonts w:ascii="Times New Roman" w:eastAsia="Times New Roman" w:hAnsi="Times New Roman" w:cs="Times New Roman"/>
          <w:color w:val="000000"/>
          <w:spacing w:val="0"/>
          <w:w w:val="100"/>
          <w:position w:val="0"/>
        </w:rPr>
        <w:t>7</w:t>
      </w:r>
      <w:r>
        <w:rPr>
          <w:color w:val="000000"/>
          <w:spacing w:val="0"/>
          <w:w w:val="100"/>
          <w:position w:val="0"/>
        </w:rPr>
        <w:t>万家 酒店正在使用公司提供的云服务；新一代云餐饮管理系统被更多国际知名酒店集团认证为集团标准，全球 最具影响力的</w:t>
      </w:r>
      <w:r>
        <w:rPr>
          <w:rFonts w:ascii="Times New Roman" w:eastAsia="Times New Roman" w:hAnsi="Times New Roman" w:cs="Times New Roman"/>
          <w:color w:val="000000"/>
          <w:spacing w:val="0"/>
          <w:w w:val="100"/>
          <w:position w:val="0"/>
        </w:rPr>
        <w:t>Top5</w:t>
      </w:r>
      <w:r>
        <w:rPr>
          <w:color w:val="000000"/>
          <w:spacing w:val="0"/>
          <w:w w:val="100"/>
          <w:position w:val="0"/>
        </w:rPr>
        <w:t>酒店集团中有</w:t>
      </w:r>
      <w:r>
        <w:rPr>
          <w:rFonts w:ascii="Times New Roman" w:eastAsia="Times New Roman" w:hAnsi="Times New Roman" w:cs="Times New Roman"/>
          <w:color w:val="000000"/>
          <w:spacing w:val="0"/>
          <w:w w:val="100"/>
          <w:position w:val="0"/>
        </w:rPr>
        <w:t>3</w:t>
      </w:r>
      <w:r>
        <w:rPr>
          <w:color w:val="000000"/>
          <w:spacing w:val="0"/>
          <w:w w:val="100"/>
          <w:position w:val="0"/>
        </w:rPr>
        <w:t>家已经选择了石基餐饮云为其全球标准，另外两家也正在开始谈判和测 试之中，该产品成功通过了全球几十个国家的法律</w:t>
      </w:r>
      <w:r>
        <w:rPr>
          <w:rFonts w:ascii="Times New Roman" w:eastAsia="Times New Roman" w:hAnsi="Times New Roman" w:cs="Times New Roman"/>
          <w:color w:val="000000"/>
          <w:spacing w:val="0"/>
          <w:w w:val="100"/>
          <w:position w:val="0"/>
        </w:rPr>
        <w:t>/</w:t>
      </w:r>
      <w:r>
        <w:rPr>
          <w:color w:val="000000"/>
          <w:spacing w:val="0"/>
          <w:w w:val="100"/>
          <w:position w:val="0"/>
        </w:rPr>
        <w:t>财务认证，并在这些国家不断拓展上线，公司成为全球 主要酒店餐饮信息系统提供商之一，产品和技术处于全球酒店行业相对领先地位；最为关键的是，在新一 代云架构的石基企业平台</w:t>
      </w:r>
      <w:r>
        <w:rPr>
          <w:rFonts w:ascii="Times New Roman" w:eastAsia="Times New Roman" w:hAnsi="Times New Roman" w:cs="Times New Roman"/>
          <w:color w:val="000000"/>
          <w:spacing w:val="0"/>
          <w:w w:val="100"/>
          <w:position w:val="0"/>
        </w:rPr>
        <w:t>-</w:t>
      </w:r>
      <w:r>
        <w:rPr>
          <w:color w:val="000000"/>
          <w:spacing w:val="0"/>
          <w:w w:val="100"/>
          <w:position w:val="0"/>
        </w:rPr>
        <w:t>酒店业解决方案</w:t>
      </w:r>
      <w:r>
        <w:rPr>
          <w:rFonts w:ascii="Times New Roman" w:eastAsia="Times New Roman" w:hAnsi="Times New Roman" w:cs="Times New Roman"/>
          <w:color w:val="000000"/>
          <w:spacing w:val="0"/>
          <w:w w:val="100"/>
          <w:position w:val="0"/>
        </w:rPr>
        <w:t xml:space="preserve">［Shiji Enterprises Platform </w:t>
      </w:r>
      <w:r>
        <w:rPr>
          <w:color w:val="000000"/>
          <w:spacing w:val="0"/>
          <w:w w:val="100"/>
          <w:position w:val="0"/>
        </w:rPr>
        <w:t>（</w:t>
      </w:r>
      <w:r>
        <w:rPr>
          <w:rFonts w:ascii="Times New Roman" w:eastAsia="Times New Roman" w:hAnsi="Times New Roman" w:cs="Times New Roman"/>
          <w:color w:val="000000"/>
          <w:spacing w:val="0"/>
          <w:w w:val="100"/>
          <w:position w:val="0"/>
        </w:rPr>
        <w:t>SEP</w:t>
      </w:r>
      <w:r>
        <w:rPr>
          <w:color w:val="000000"/>
          <w:spacing w:val="0"/>
          <w:w w:val="100"/>
          <w:position w:val="0"/>
        </w:rPr>
        <w:t>）</w:t>
      </w:r>
      <w:r>
        <w:rPr>
          <w:rFonts w:ascii="Times New Roman" w:eastAsia="Times New Roman" w:hAnsi="Times New Roman" w:cs="Times New Roman"/>
          <w:color w:val="000000"/>
          <w:spacing w:val="0"/>
          <w:w w:val="100"/>
          <w:position w:val="0"/>
        </w:rPr>
        <w:t>-Hospitality Solutions］</w:t>
      </w:r>
      <w:r>
        <w:rPr>
          <w:color w:val="000000"/>
          <w:spacing w:val="0"/>
          <w:w w:val="100"/>
          <w:position w:val="0"/>
        </w:rPr>
        <w:t>在欧洲上 线超过</w:t>
      </w:r>
      <w:r>
        <w:rPr>
          <w:rFonts w:ascii="Times New Roman" w:eastAsia="Times New Roman" w:hAnsi="Times New Roman" w:cs="Times New Roman"/>
          <w:color w:val="000000"/>
          <w:spacing w:val="0"/>
          <w:w w:val="100"/>
          <w:position w:val="0"/>
        </w:rPr>
        <w:t>10</w:t>
      </w:r>
      <w:r>
        <w:rPr>
          <w:color w:val="000000"/>
          <w:spacing w:val="0"/>
          <w:w w:val="100"/>
          <w:position w:val="0"/>
        </w:rPr>
        <w:t>个酒店并获得客户较好反馈的基础上，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月，石基与国际知名奢华酒店集团半岛酒店集团 达成里程碑式合作，半岛集团将全面采用整套石基企业平台，目前集团应用的全部集成已经完成，石基企 业平台在半岛酒店未来的成功上线有望产生显著的标杆效应。石基企业平台获得半岛集团的成功选用，意 味着经过</w:t>
      </w:r>
      <w:r>
        <w:rPr>
          <w:rFonts w:ascii="Times New Roman" w:eastAsia="Times New Roman" w:hAnsi="Times New Roman" w:cs="Times New Roman"/>
          <w:color w:val="000000"/>
          <w:spacing w:val="0"/>
          <w:w w:val="100"/>
          <w:position w:val="0"/>
        </w:rPr>
        <w:t>2020</w:t>
      </w:r>
      <w:r>
        <w:rPr>
          <w:color w:val="000000"/>
          <w:spacing w:val="0"/>
          <w:w w:val="100"/>
          <w:position w:val="0"/>
        </w:rPr>
        <w:t>年的研发加速，平台不但在技术架构上处于行业领先地位，而且在产品功能上已经可以满足 奢华酒店对细节的苛刻要求。</w:t>
      </w:r>
    </w:p>
    <w:p>
      <w:pPr>
        <w:pStyle w:val="Style35"/>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331,731.99</w:t>
      </w:r>
      <w:r>
        <w:rPr>
          <w:color w:val="000000"/>
          <w:spacing w:val="0"/>
          <w:w w:val="100"/>
          <w:position w:val="0"/>
        </w:rPr>
        <w:t>万元，比去年同期增长</w:t>
      </w:r>
      <w:r>
        <w:rPr>
          <w:rFonts w:ascii="Times New Roman" w:eastAsia="Times New Roman" w:hAnsi="Times New Roman" w:cs="Times New Roman"/>
          <w:color w:val="000000"/>
          <w:spacing w:val="0"/>
          <w:w w:val="100"/>
          <w:position w:val="0"/>
        </w:rPr>
        <w:t>-9.43%</w:t>
      </w:r>
      <w:r>
        <w:rPr>
          <w:color w:val="000000"/>
          <w:spacing w:val="0"/>
          <w:w w:val="100"/>
          <w:position w:val="0"/>
        </w:rPr>
        <w:t>；实现利润总额</w:t>
      </w:r>
      <w:r>
        <w:rPr>
          <w:rFonts w:ascii="Times New Roman" w:eastAsia="Times New Roman" w:hAnsi="Times New Roman" w:cs="Times New Roman"/>
          <w:color w:val="000000"/>
          <w:spacing w:val="0"/>
          <w:w w:val="100"/>
          <w:position w:val="0"/>
        </w:rPr>
        <w:t>5,626.28</w:t>
      </w:r>
      <w:r>
        <w:rPr>
          <w:color w:val="000000"/>
          <w:spacing w:val="0"/>
          <w:w w:val="100"/>
          <w:position w:val="0"/>
        </w:rPr>
        <w:t>万元， 比去年同期下降</w:t>
      </w:r>
      <w:r>
        <w:rPr>
          <w:rFonts w:ascii="Times New Roman" w:eastAsia="Times New Roman" w:hAnsi="Times New Roman" w:cs="Times New Roman"/>
          <w:color w:val="000000"/>
          <w:spacing w:val="0"/>
          <w:w w:val="100"/>
          <w:position w:val="0"/>
        </w:rPr>
        <w:t xml:space="preserve">88.60% </w:t>
      </w:r>
      <w:r>
        <w:rPr>
          <w:color w:val="000000"/>
          <w:spacing w:val="0"/>
          <w:w w:val="100"/>
          <w:position w:val="0"/>
        </w:rPr>
        <w:t>；实现归属于上市公司股东净利润</w:t>
      </w:r>
      <w:r>
        <w:rPr>
          <w:rFonts w:ascii="Times New Roman" w:eastAsia="Times New Roman" w:hAnsi="Times New Roman" w:cs="Times New Roman"/>
          <w:color w:val="000000"/>
          <w:spacing w:val="0"/>
          <w:w w:val="100"/>
          <w:position w:val="0"/>
        </w:rPr>
        <w:t>-6,758.00</w:t>
      </w:r>
      <w:r>
        <w:rPr>
          <w:color w:val="000000"/>
          <w:spacing w:val="0"/>
          <w:w w:val="100"/>
          <w:position w:val="0"/>
        </w:rPr>
        <w:t>万元，比去年同期下降</w:t>
      </w:r>
      <w:r>
        <w:rPr>
          <w:rFonts w:ascii="Times New Roman" w:eastAsia="Times New Roman" w:hAnsi="Times New Roman" w:cs="Times New Roman"/>
          <w:color w:val="000000"/>
          <w:spacing w:val="0"/>
          <w:w w:val="100"/>
          <w:position w:val="0"/>
        </w:rPr>
        <w:t xml:space="preserve">118.36% </w:t>
      </w:r>
      <w:r>
        <w:rPr>
          <w:color w:val="000000"/>
          <w:spacing w:val="0"/>
          <w:w w:val="100"/>
          <w:position w:val="0"/>
        </w:rPr>
        <w:t>；实现 归属于上市公司股东的扣除非经常性损益的净利润</w:t>
      </w:r>
      <w:r>
        <w:rPr>
          <w:rFonts w:ascii="Times New Roman" w:eastAsia="Times New Roman" w:hAnsi="Times New Roman" w:cs="Times New Roman"/>
          <w:color w:val="000000"/>
          <w:spacing w:val="0"/>
          <w:w w:val="100"/>
          <w:position w:val="0"/>
        </w:rPr>
        <w:t>7,724.85</w:t>
      </w:r>
      <w:r>
        <w:rPr>
          <w:color w:val="000000"/>
          <w:spacing w:val="0"/>
          <w:w w:val="100"/>
          <w:position w:val="0"/>
        </w:rPr>
        <w:t>万元，比去年同期下降</w:t>
      </w:r>
      <w:r>
        <w:rPr>
          <w:rFonts w:ascii="Times New Roman" w:eastAsia="Times New Roman" w:hAnsi="Times New Roman" w:cs="Times New Roman"/>
          <w:color w:val="000000"/>
          <w:spacing w:val="0"/>
          <w:w w:val="100"/>
          <w:position w:val="0"/>
        </w:rPr>
        <w:t>76.89%</w:t>
      </w:r>
      <w:r>
        <w:rPr>
          <w:color w:val="000000"/>
          <w:spacing w:val="0"/>
          <w:w w:val="100"/>
          <w:position w:val="0"/>
        </w:rPr>
        <w:t>。</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报告期内，公司各项主要业务经营情况如下：</w:t>
      </w:r>
    </w:p>
    <w:p>
      <w:pPr>
        <w:pStyle w:val="Style32"/>
        <w:keepNext/>
        <w:keepLines/>
        <w:widowControl w:val="0"/>
        <w:shd w:val="clear" w:color="auto" w:fill="auto"/>
        <w:bidi w:val="0"/>
        <w:spacing w:before="0" w:after="40" w:line="312" w:lineRule="exact"/>
        <w:ind w:left="0" w:right="0" w:firstLine="36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1</w:t>
      </w:r>
      <w:bookmarkEnd w:id="143"/>
      <w:r>
        <w:rPr>
          <w:color w:val="000000"/>
          <w:spacing w:val="0"/>
          <w:w w:val="100"/>
          <w:position w:val="0"/>
        </w:rPr>
        <w:t>、酒店信息系统业务及咨询服务业务</w:t>
      </w:r>
      <w:bookmarkEnd w:id="141"/>
      <w:bookmarkEnd w:id="142"/>
      <w:bookmarkEnd w:id="144"/>
    </w:p>
    <w:p>
      <w:pPr>
        <w:pStyle w:val="Style35"/>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公司酒店信息系统及相关业务主要由以下子公司开展：母公司、全资子公司北京石基、上海石基、北 海石基、石基信息技术（香港）、石基新加坡、石基美国、石基欧洲等开展国际化高星级酒店的信息系统 业务；全资子公司杭州西软、广州万迅和航信华仪开展本地中高档星级酒店信息系统业务；控股子公司石 基昆仑则专注于酒店会员管理系统、客户关系管理系统与中央预订系统</w:t>
      </w:r>
      <w:r>
        <w:rPr>
          <w:color w:val="000000"/>
          <w:spacing w:val="0"/>
          <w:w w:val="100"/>
          <w:position w:val="0"/>
        </w:rPr>
        <w:t>（</w:t>
      </w:r>
      <w:r>
        <w:rPr>
          <w:rFonts w:ascii="Times New Roman" w:eastAsia="Times New Roman" w:hAnsi="Times New Roman" w:cs="Times New Roman"/>
          <w:color w:val="000000"/>
          <w:spacing w:val="0"/>
          <w:w w:val="100"/>
          <w:position w:val="0"/>
        </w:rPr>
        <w:t>CRS</w:t>
      </w:r>
      <w:r>
        <w:rPr>
          <w:color w:val="000000"/>
          <w:spacing w:val="0"/>
          <w:w w:val="100"/>
          <w:position w:val="0"/>
        </w:rPr>
        <w:t>）业务；石基西班牙为酒店 提供声誉评价及管理解决方案；浩华从事酒店管理顾问与咨询业务。</w:t>
      </w:r>
    </w:p>
    <w:p>
      <w:pPr>
        <w:pStyle w:val="Style35"/>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rPr>
        <w:t>1.1</w:t>
      </w:r>
      <w:r>
        <w:rPr>
          <w:color w:val="000000"/>
          <w:spacing w:val="0"/>
          <w:w w:val="100"/>
          <w:position w:val="0"/>
        </w:rPr>
        <w:t>传统高星级酒店信息系统业务</w:t>
      </w:r>
    </w:p>
    <w:p>
      <w:pPr>
        <w:pStyle w:val="Style35"/>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报告期内，公司完成新建传统国际高星级酒店信息系统项目</w:t>
      </w:r>
      <w:r>
        <w:rPr>
          <w:rFonts w:ascii="Times New Roman" w:eastAsia="Times New Roman" w:hAnsi="Times New Roman" w:cs="Times New Roman"/>
          <w:color w:val="000000"/>
          <w:spacing w:val="0"/>
          <w:w w:val="100"/>
          <w:position w:val="0"/>
        </w:rPr>
        <w:t>115</w:t>
      </w:r>
      <w:r>
        <w:rPr>
          <w:color w:val="000000"/>
          <w:spacing w:val="0"/>
          <w:w w:val="100"/>
          <w:position w:val="0"/>
        </w:rPr>
        <w:t>个，新签技术支持与服务用户</w:t>
      </w:r>
      <w:r>
        <w:rPr>
          <w:rFonts w:ascii="Times New Roman" w:eastAsia="Times New Roman" w:hAnsi="Times New Roman" w:cs="Times New Roman"/>
          <w:color w:val="000000"/>
          <w:spacing w:val="0"/>
          <w:w w:val="100"/>
          <w:position w:val="0"/>
        </w:rPr>
        <w:t>113</w:t>
      </w:r>
      <w:r>
        <w:rPr>
          <w:color w:val="000000"/>
          <w:spacing w:val="0"/>
          <w:w w:val="100"/>
          <w:position w:val="0"/>
        </w:rPr>
        <w:t>个， 签订技术支持与服务合同的用户</w:t>
      </w:r>
      <w:r>
        <w:rPr>
          <w:rFonts w:ascii="Times New Roman" w:eastAsia="Times New Roman" w:hAnsi="Times New Roman" w:cs="Times New Roman"/>
          <w:color w:val="000000"/>
          <w:spacing w:val="0"/>
          <w:w w:val="100"/>
          <w:position w:val="0"/>
        </w:rPr>
        <w:t>1533</w:t>
      </w:r>
      <w:r>
        <w:rPr>
          <w:color w:val="000000"/>
          <w:spacing w:val="0"/>
          <w:w w:val="100"/>
          <w:position w:val="0"/>
        </w:rPr>
        <w:t>家。</w:t>
      </w:r>
    </w:p>
    <w:p>
      <w:pPr>
        <w:pStyle w:val="Style3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杭州西软</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报告期内，杭州西软新增用户</w:t>
      </w:r>
      <w:r>
        <w:rPr>
          <w:rFonts w:ascii="Times New Roman" w:eastAsia="Times New Roman" w:hAnsi="Times New Roman" w:cs="Times New Roman"/>
          <w:color w:val="000000"/>
          <w:spacing w:val="0"/>
          <w:w w:val="100"/>
          <w:position w:val="0"/>
        </w:rPr>
        <w:t>509</w:t>
      </w:r>
      <w:r>
        <w:rPr>
          <w:color w:val="000000"/>
          <w:spacing w:val="0"/>
          <w:w w:val="100"/>
          <w:position w:val="0"/>
        </w:rPr>
        <w:t>家，报告期末杭州西软酒店总用户数为</w:t>
      </w:r>
      <w:r>
        <w:rPr>
          <w:rFonts w:ascii="Times New Roman" w:eastAsia="Times New Roman" w:hAnsi="Times New Roman" w:cs="Times New Roman"/>
          <w:color w:val="000000"/>
          <w:spacing w:val="0"/>
          <w:w w:val="100"/>
          <w:position w:val="0"/>
        </w:rPr>
        <w:t>8632</w:t>
      </w:r>
      <w:r>
        <w:rPr>
          <w:color w:val="000000"/>
          <w:spacing w:val="0"/>
          <w:w w:val="100"/>
          <w:position w:val="0"/>
        </w:rPr>
        <w:t>家。受疫情影响，</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年新增客户数比上年同期下降</w:t>
      </w:r>
      <w:r>
        <w:rPr>
          <w:rFonts w:ascii="Times New Roman" w:eastAsia="Times New Roman" w:hAnsi="Times New Roman" w:cs="Times New Roman"/>
          <w:color w:val="000000"/>
          <w:spacing w:val="0"/>
          <w:w w:val="100"/>
          <w:position w:val="0"/>
        </w:rPr>
        <w:t>20%</w:t>
      </w:r>
      <w:r>
        <w:rPr>
          <w:color w:val="000000"/>
          <w:spacing w:val="0"/>
          <w:w w:val="100"/>
          <w:position w:val="0"/>
        </w:rPr>
        <w:t>；维护额比上年同期下降</w:t>
      </w:r>
      <w:r>
        <w:rPr>
          <w:rFonts w:ascii="Times New Roman" w:eastAsia="Times New Roman" w:hAnsi="Times New Roman" w:cs="Times New Roman"/>
          <w:color w:val="000000"/>
          <w:spacing w:val="0"/>
          <w:w w:val="100"/>
          <w:position w:val="0"/>
        </w:rPr>
        <w:t>5%</w:t>
      </w:r>
      <w:r>
        <w:rPr>
          <w:color w:val="000000"/>
          <w:spacing w:val="0"/>
          <w:w w:val="100"/>
          <w:position w:val="0"/>
        </w:rPr>
        <w:t>，硬件销售额下降</w:t>
      </w:r>
      <w:r>
        <w:rPr>
          <w:rFonts w:ascii="Times New Roman" w:eastAsia="Times New Roman" w:hAnsi="Times New Roman" w:cs="Times New Roman"/>
          <w:color w:val="000000"/>
          <w:spacing w:val="0"/>
          <w:w w:val="100"/>
          <w:position w:val="0"/>
        </w:rPr>
        <w:t>62%</w:t>
      </w:r>
      <w:r>
        <w:rPr>
          <w:color w:val="000000"/>
          <w:spacing w:val="0"/>
          <w:w w:val="100"/>
          <w:position w:val="0"/>
        </w:rPr>
        <w:t>，移动产品销售额比 上年有</w:t>
      </w:r>
      <w:r>
        <w:rPr>
          <w:rFonts w:ascii="Times New Roman" w:eastAsia="Times New Roman" w:hAnsi="Times New Roman" w:cs="Times New Roman"/>
          <w:color w:val="000000"/>
          <w:spacing w:val="0"/>
          <w:w w:val="100"/>
          <w:position w:val="0"/>
        </w:rPr>
        <w:t>5%</w:t>
      </w:r>
      <w:r>
        <w:rPr>
          <w:color w:val="000000"/>
          <w:spacing w:val="0"/>
          <w:w w:val="100"/>
          <w:position w:val="0"/>
        </w:rPr>
        <w:t>的增长；其中云平台架构的</w:t>
      </w:r>
      <w:r>
        <w:rPr>
          <w:rFonts w:ascii="Times New Roman" w:eastAsia="Times New Roman" w:hAnsi="Times New Roman" w:cs="Times New Roman"/>
          <w:color w:val="000000"/>
          <w:spacing w:val="0"/>
          <w:w w:val="100"/>
          <w:position w:val="0"/>
        </w:rPr>
        <w:t>XMS</w:t>
      </w:r>
      <w:r>
        <w:rPr>
          <w:color w:val="000000"/>
          <w:spacing w:val="0"/>
          <w:w w:val="100"/>
          <w:position w:val="0"/>
        </w:rPr>
        <w:t>系列产品销售占比持续上升，在</w:t>
      </w:r>
      <w:r>
        <w:rPr>
          <w:rFonts w:ascii="Times New Roman" w:eastAsia="Times New Roman" w:hAnsi="Times New Roman" w:cs="Times New Roman"/>
          <w:color w:val="000000"/>
          <w:spacing w:val="0"/>
          <w:w w:val="100"/>
          <w:position w:val="0"/>
        </w:rPr>
        <w:t>2020</w:t>
      </w:r>
      <w:r>
        <w:rPr>
          <w:color w:val="000000"/>
          <w:spacing w:val="0"/>
          <w:w w:val="100"/>
          <w:position w:val="0"/>
        </w:rPr>
        <w:t>新增合同中占比达</w:t>
      </w:r>
      <w:r>
        <w:rPr>
          <w:rFonts w:ascii="Times New Roman" w:eastAsia="Times New Roman" w:hAnsi="Times New Roman" w:cs="Times New Roman"/>
          <w:color w:val="000000"/>
          <w:spacing w:val="0"/>
          <w:w w:val="100"/>
          <w:position w:val="0"/>
        </w:rPr>
        <w:t>81%</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1.3</w:t>
      </w:r>
      <w:r>
        <w:rPr>
          <w:color w:val="000000"/>
          <w:spacing w:val="0"/>
          <w:w w:val="100"/>
          <w:position w:val="0"/>
        </w:rPr>
        <w:t>广州万迅</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报告期内，受疫情影响广州万迅整体业绩较</w:t>
      </w:r>
      <w:r>
        <w:rPr>
          <w:rFonts w:ascii="Times New Roman" w:eastAsia="Times New Roman" w:hAnsi="Times New Roman" w:cs="Times New Roman"/>
          <w:color w:val="000000"/>
          <w:spacing w:val="0"/>
          <w:w w:val="100"/>
          <w:position w:val="0"/>
        </w:rPr>
        <w:t>2019</w:t>
      </w:r>
      <w:r>
        <w:rPr>
          <w:color w:val="000000"/>
          <w:spacing w:val="0"/>
          <w:w w:val="100"/>
          <w:position w:val="0"/>
        </w:rPr>
        <w:t>年有所下降（整体利润下降</w:t>
      </w:r>
      <w:r>
        <w:rPr>
          <w:rFonts w:ascii="Times New Roman" w:eastAsia="Times New Roman" w:hAnsi="Times New Roman" w:cs="Times New Roman"/>
          <w:color w:val="000000"/>
          <w:spacing w:val="0"/>
          <w:w w:val="100"/>
          <w:position w:val="0"/>
        </w:rPr>
        <w:t>15.6%</w:t>
      </w:r>
      <w:r>
        <w:rPr>
          <w:color w:val="000000"/>
          <w:spacing w:val="0"/>
          <w:w w:val="100"/>
          <w:position w:val="0"/>
        </w:rPr>
        <w:t>），新增客户</w:t>
      </w:r>
      <w:r>
        <w:rPr>
          <w:rFonts w:ascii="Times New Roman" w:eastAsia="Times New Roman" w:hAnsi="Times New Roman" w:cs="Times New Roman"/>
          <w:color w:val="000000"/>
          <w:spacing w:val="0"/>
          <w:w w:val="100"/>
          <w:position w:val="0"/>
        </w:rPr>
        <w:t>157</w:t>
      </w:r>
      <w:r>
        <w:rPr>
          <w:color w:val="000000"/>
          <w:spacing w:val="0"/>
          <w:w w:val="100"/>
          <w:position w:val="0"/>
        </w:rPr>
        <w:t>家, 较上年略微下降，报告期末酒店客户总数</w:t>
      </w:r>
      <w:r>
        <w:rPr>
          <w:rFonts w:ascii="Times New Roman" w:eastAsia="Times New Roman" w:hAnsi="Times New Roman" w:cs="Times New Roman"/>
          <w:color w:val="000000"/>
          <w:spacing w:val="0"/>
          <w:w w:val="100"/>
          <w:position w:val="0"/>
        </w:rPr>
        <w:t>4288</w:t>
      </w:r>
      <w:r>
        <w:rPr>
          <w:color w:val="000000"/>
          <w:spacing w:val="0"/>
          <w:w w:val="100"/>
          <w:position w:val="0"/>
        </w:rPr>
        <w:t>家，但</w:t>
      </w:r>
      <w:r>
        <w:rPr>
          <w:rFonts w:ascii="Times New Roman" w:eastAsia="Times New Roman" w:hAnsi="Times New Roman" w:cs="Times New Roman"/>
          <w:color w:val="000000"/>
          <w:spacing w:val="0"/>
          <w:w w:val="100"/>
          <w:position w:val="0"/>
        </w:rPr>
        <w:t>2020</w:t>
      </w:r>
      <w:r>
        <w:rPr>
          <w:color w:val="000000"/>
          <w:spacing w:val="0"/>
          <w:w w:val="100"/>
          <w:position w:val="0"/>
        </w:rPr>
        <w:t>年新增用户中云</w:t>
      </w:r>
      <w:r>
        <w:rPr>
          <w:rFonts w:ascii="Times New Roman" w:eastAsia="Times New Roman" w:hAnsi="Times New Roman" w:cs="Times New Roman"/>
          <w:color w:val="000000"/>
          <w:spacing w:val="0"/>
          <w:w w:val="100"/>
          <w:position w:val="0"/>
        </w:rPr>
        <w:t>PMS</w:t>
      </w:r>
      <w:r>
        <w:rPr>
          <w:color w:val="000000"/>
          <w:spacing w:val="0"/>
          <w:w w:val="100"/>
          <w:position w:val="0"/>
        </w:rPr>
        <w:t>系统用户数增长迅速，达</w:t>
      </w:r>
      <w:r>
        <w:rPr>
          <w:rFonts w:ascii="Times New Roman" w:eastAsia="Times New Roman" w:hAnsi="Times New Roman" w:cs="Times New Roman"/>
          <w:color w:val="000000"/>
          <w:spacing w:val="0"/>
          <w:w w:val="100"/>
          <w:position w:val="0"/>
        </w:rPr>
        <w:t xml:space="preserve">121 </w:t>
      </w:r>
      <w:r>
        <w:rPr>
          <w:color w:val="000000"/>
          <w:spacing w:val="0"/>
          <w:w w:val="100"/>
          <w:position w:val="0"/>
        </w:rPr>
        <w:t>个，占比达</w:t>
      </w:r>
      <w:r>
        <w:rPr>
          <w:rFonts w:ascii="Times New Roman" w:eastAsia="Times New Roman" w:hAnsi="Times New Roman" w:cs="Times New Roman"/>
          <w:color w:val="000000"/>
          <w:spacing w:val="0"/>
          <w:w w:val="100"/>
          <w:position w:val="0"/>
        </w:rPr>
        <w:t>77%</w:t>
      </w:r>
      <w:r>
        <w:rPr>
          <w:color w:val="000000"/>
          <w:spacing w:val="0"/>
          <w:w w:val="100"/>
          <w:position w:val="0"/>
        </w:rPr>
        <w:t>。在产品研发和推广方面，全线云产品迭代已接近尾声，在云化推进过程中，积极深化企 业应用场景的发展，不断加深与集团型客户以及大型综合性酒店的合作，进一步将千里马系统数字化、场 景应用生态化、互联互通的理念推向市场；云物资供应链系统在多个集团得到应用；北大湖滑雪度假区项 目全部采用千里马一体化信息解决方案，全面覆盖预订、用餐、营销、支付等环节，助力推动大型旅游目 的地这一业态的发展。</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1.4</w:t>
      </w:r>
      <w:r>
        <w:rPr>
          <w:color w:val="000000"/>
          <w:spacing w:val="0"/>
          <w:w w:val="100"/>
          <w:position w:val="0"/>
        </w:rPr>
        <w:t>航信华仪</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报告期内，航信华仪除继续对原有</w:t>
      </w:r>
      <w:r>
        <w:rPr>
          <w:rFonts w:ascii="Times New Roman" w:eastAsia="Times New Roman" w:hAnsi="Times New Roman" w:cs="Times New Roman"/>
          <w:color w:val="000000"/>
          <w:spacing w:val="0"/>
          <w:w w:val="100"/>
          <w:position w:val="0"/>
        </w:rPr>
        <w:t>PMS</w:t>
      </w:r>
      <w:r>
        <w:rPr>
          <w:color w:val="000000"/>
          <w:spacing w:val="0"/>
          <w:w w:val="100"/>
          <w:position w:val="0"/>
        </w:rPr>
        <w:t>酒店管理系统进行优化外，已与西软移动周边产品基本完成对 接，后期将以维护和升级为主。报告期末，航信华仪酒店用户总数</w:t>
      </w:r>
      <w:r>
        <w:rPr>
          <w:rFonts w:ascii="Times New Roman" w:eastAsia="Times New Roman" w:hAnsi="Times New Roman" w:cs="Times New Roman"/>
          <w:color w:val="000000"/>
          <w:spacing w:val="0"/>
          <w:w w:val="100"/>
          <w:position w:val="0"/>
        </w:rPr>
        <w:t>627</w:t>
      </w:r>
      <w:r>
        <w:rPr>
          <w:color w:val="000000"/>
          <w:spacing w:val="0"/>
          <w:w w:val="100"/>
          <w:position w:val="0"/>
        </w:rPr>
        <w:t>家。</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1.5</w:t>
      </w:r>
      <w:r>
        <w:rPr>
          <w:color w:val="000000"/>
          <w:spacing w:val="0"/>
          <w:w w:val="100"/>
          <w:position w:val="0"/>
        </w:rPr>
        <w:t>石基昆仑</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报告期内石基昆仑业绩稳步增长，新增酒店用户</w:t>
      </w:r>
      <w:r>
        <w:rPr>
          <w:rFonts w:ascii="Times New Roman" w:eastAsia="Times New Roman" w:hAnsi="Times New Roman" w:cs="Times New Roman"/>
          <w:color w:val="000000"/>
          <w:spacing w:val="0"/>
          <w:w w:val="100"/>
          <w:position w:val="0"/>
        </w:rPr>
        <w:t>64</w:t>
      </w:r>
      <w:r>
        <w:rPr>
          <w:color w:val="000000"/>
          <w:spacing w:val="0"/>
          <w:w w:val="100"/>
          <w:position w:val="0"/>
        </w:rPr>
        <w:t>家，报告期末在维酒店用户总数</w:t>
      </w:r>
      <w:r>
        <w:rPr>
          <w:rFonts w:ascii="Times New Roman" w:eastAsia="Times New Roman" w:hAnsi="Times New Roman" w:cs="Times New Roman"/>
          <w:color w:val="000000"/>
          <w:spacing w:val="0"/>
          <w:w w:val="100"/>
          <w:position w:val="0"/>
        </w:rPr>
        <w:t>1447</w:t>
      </w:r>
      <w:r>
        <w:rPr>
          <w:color w:val="000000"/>
          <w:spacing w:val="0"/>
          <w:w w:val="100"/>
          <w:position w:val="0"/>
        </w:rPr>
        <w:t>家，境外市场 酒店用户数量超过</w:t>
      </w:r>
      <w:r>
        <w:rPr>
          <w:rFonts w:ascii="Times New Roman" w:eastAsia="Times New Roman" w:hAnsi="Times New Roman" w:cs="Times New Roman"/>
          <w:color w:val="000000"/>
          <w:spacing w:val="0"/>
          <w:w w:val="100"/>
          <w:position w:val="0"/>
        </w:rPr>
        <w:t>70</w:t>
      </w:r>
      <w:r>
        <w:rPr>
          <w:color w:val="000000"/>
          <w:spacing w:val="0"/>
          <w:w w:val="100"/>
          <w:position w:val="0"/>
        </w:rPr>
        <w:t>家；石基昆仑中央预订系统</w:t>
      </w:r>
      <w:r>
        <w:rPr>
          <w:color w:val="000000"/>
          <w:spacing w:val="0"/>
          <w:w w:val="100"/>
          <w:position w:val="0"/>
        </w:rPr>
        <w:t>（</w:t>
      </w:r>
      <w:r>
        <w:rPr>
          <w:rFonts w:ascii="Times New Roman" w:eastAsia="Times New Roman" w:hAnsi="Times New Roman" w:cs="Times New Roman"/>
          <w:color w:val="000000"/>
          <w:spacing w:val="0"/>
          <w:w w:val="100"/>
          <w:position w:val="0"/>
        </w:rPr>
        <w:t>CRS</w:t>
      </w:r>
      <w:r>
        <w:rPr>
          <w:color w:val="000000"/>
          <w:spacing w:val="0"/>
          <w:w w:val="100"/>
          <w:position w:val="0"/>
        </w:rPr>
        <w:t>）</w:t>
      </w:r>
      <w:r>
        <w:rPr>
          <w:color w:val="000000"/>
          <w:spacing w:val="0"/>
          <w:w w:val="100"/>
          <w:position w:val="0"/>
        </w:rPr>
        <w:t>在国内高端酒店集团市场占有率保持在</w:t>
      </w:r>
      <w:r>
        <w:rPr>
          <w:rFonts w:ascii="Times New Roman" w:eastAsia="Times New Roman" w:hAnsi="Times New Roman" w:cs="Times New Roman"/>
          <w:color w:val="000000"/>
          <w:spacing w:val="0"/>
          <w:w w:val="100"/>
          <w:position w:val="0"/>
        </w:rPr>
        <w:t>80%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UMP </w:t>
      </w:r>
      <w:r>
        <w:rPr>
          <w:color w:val="000000"/>
          <w:spacing w:val="0"/>
          <w:w w:val="100"/>
          <w:position w:val="0"/>
        </w:rPr>
        <w:t>业务中台系统、</w:t>
      </w:r>
      <w:r>
        <w:rPr>
          <w:rFonts w:ascii="Times New Roman" w:eastAsia="Times New Roman" w:hAnsi="Times New Roman" w:cs="Times New Roman"/>
          <w:color w:val="000000"/>
          <w:spacing w:val="0"/>
          <w:w w:val="100"/>
          <w:position w:val="0"/>
        </w:rPr>
        <w:t>KDI</w:t>
      </w:r>
      <w:r>
        <w:rPr>
          <w:color w:val="000000"/>
          <w:spacing w:val="0"/>
          <w:w w:val="100"/>
          <w:position w:val="0"/>
        </w:rPr>
        <w:t>数据中台系统等进入成熟快速增长期。</w:t>
      </w:r>
      <w:r>
        <w:rPr>
          <w:rFonts w:ascii="Times New Roman" w:eastAsia="Times New Roman" w:hAnsi="Times New Roman" w:cs="Times New Roman"/>
          <w:color w:val="000000"/>
          <w:spacing w:val="0"/>
          <w:w w:val="100"/>
          <w:position w:val="0"/>
        </w:rPr>
        <w:t>2020</w:t>
      </w:r>
      <w:r>
        <w:rPr>
          <w:color w:val="000000"/>
          <w:spacing w:val="0"/>
          <w:w w:val="100"/>
          <w:position w:val="0"/>
        </w:rPr>
        <w:t>年度，石基昆仑全新打造了目的地分销业 务平台，适用于景区、酒店、游乐园、剧场等多种应用场景，助力酒旅行业数字化变革，支持目的地景区 全域化发展战略规划。</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1.6</w:t>
      </w:r>
      <w:r>
        <w:rPr>
          <w:color w:val="000000"/>
          <w:spacing w:val="0"/>
          <w:w w:val="100"/>
          <w:position w:val="0"/>
        </w:rPr>
        <w:t>国际化酒店及餐饮信息系统业务</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报告期内，公司主要通过子公司石基信息技术（香港）、石基新加坡、石基美国、石基欧洲、石基西 班牙及其下属超过</w:t>
      </w:r>
      <w:r>
        <w:rPr>
          <w:rFonts w:ascii="Times New Roman" w:eastAsia="Times New Roman" w:hAnsi="Times New Roman" w:cs="Times New Roman"/>
          <w:color w:val="000000"/>
          <w:spacing w:val="0"/>
          <w:w w:val="100"/>
          <w:position w:val="0"/>
        </w:rPr>
        <w:t>20</w:t>
      </w:r>
      <w:r>
        <w:rPr>
          <w:color w:val="000000"/>
          <w:spacing w:val="0"/>
          <w:w w:val="100"/>
          <w:position w:val="0"/>
        </w:rPr>
        <w:t>个子公司分别承担公司大陆地区以外全球各区域的国际化酒店及餐饮信息系统业务。 其中，石基欧洲已经合并了下属子公司</w:t>
      </w:r>
      <w:r>
        <w:rPr>
          <w:rFonts w:ascii="Times New Roman" w:eastAsia="Times New Roman" w:hAnsi="Times New Roman" w:cs="Times New Roman"/>
          <w:color w:val="000000"/>
          <w:spacing w:val="0"/>
          <w:w w:val="100"/>
          <w:position w:val="0"/>
        </w:rPr>
        <w:t>Snapshot</w:t>
      </w:r>
      <w:r>
        <w:rPr>
          <w:color w:val="000000"/>
          <w:spacing w:val="0"/>
          <w:w w:val="100"/>
          <w:position w:val="0"/>
        </w:rPr>
        <w:t>、</w:t>
      </w:r>
      <w:r>
        <w:rPr>
          <w:rFonts w:ascii="Times New Roman" w:eastAsia="Times New Roman" w:hAnsi="Times New Roman" w:cs="Times New Roman"/>
          <w:color w:val="000000"/>
          <w:spacing w:val="0"/>
          <w:w w:val="100"/>
          <w:position w:val="0"/>
        </w:rPr>
        <w:t>AC Project GmbH</w:t>
      </w:r>
      <w:r>
        <w:rPr>
          <w:color w:val="000000"/>
          <w:spacing w:val="0"/>
          <w:w w:val="100"/>
          <w:position w:val="0"/>
        </w:rPr>
        <w:t>及石基德国的业务，致力于全新一代酒 店云平台产品的研发和推广。</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报告期内，公司国际化酒店及餐饮信息系统业务收入以</w:t>
      </w:r>
      <w:r>
        <w:rPr>
          <w:rFonts w:ascii="Times New Roman" w:eastAsia="Times New Roman" w:hAnsi="Times New Roman" w:cs="Times New Roman"/>
          <w:color w:val="000000"/>
          <w:spacing w:val="0"/>
          <w:w w:val="100"/>
          <w:position w:val="0"/>
        </w:rPr>
        <w:t>SAAS</w:t>
      </w:r>
      <w:r>
        <w:rPr>
          <w:color w:val="000000"/>
          <w:spacing w:val="0"/>
          <w:w w:val="100"/>
          <w:position w:val="0"/>
        </w:rPr>
        <w:t>业务收入为主。由于海外受疫情的持续 影响，不计私有云和</w:t>
      </w:r>
      <w:r>
        <w:rPr>
          <w:rFonts w:ascii="Times New Roman" w:eastAsia="Times New Roman" w:hAnsi="Times New Roman" w:cs="Times New Roman"/>
          <w:color w:val="000000"/>
          <w:spacing w:val="0"/>
          <w:w w:val="100"/>
          <w:position w:val="0"/>
        </w:rPr>
        <w:t xml:space="preserve">HOST </w:t>
      </w:r>
      <w:r>
        <w:rPr>
          <w:color w:val="000000"/>
          <w:spacing w:val="0"/>
          <w:w w:val="100"/>
          <w:position w:val="0"/>
        </w:rPr>
        <w:t>（托管）方式软件收入，公司</w:t>
      </w:r>
      <w:r>
        <w:rPr>
          <w:rFonts w:ascii="Times New Roman" w:eastAsia="Times New Roman" w:hAnsi="Times New Roman" w:cs="Times New Roman"/>
          <w:color w:val="000000"/>
          <w:spacing w:val="0"/>
          <w:w w:val="100"/>
          <w:position w:val="0"/>
        </w:rPr>
        <w:t>SAAS</w:t>
      </w:r>
      <w:r>
        <w:rPr>
          <w:color w:val="000000"/>
          <w:spacing w:val="0"/>
          <w:w w:val="100"/>
          <w:position w:val="0"/>
        </w:rPr>
        <w:t>业务实现</w:t>
      </w:r>
      <w:r>
        <w:rPr>
          <w:rFonts w:ascii="Times New Roman" w:eastAsia="Times New Roman" w:hAnsi="Times New Roman" w:cs="Times New Roman"/>
          <w:color w:val="000000"/>
          <w:spacing w:val="0"/>
          <w:w w:val="100"/>
          <w:position w:val="0"/>
        </w:rPr>
        <w:t>2020</w:t>
      </w:r>
      <w:r>
        <w:rPr>
          <w:color w:val="000000"/>
          <w:spacing w:val="0"/>
          <w:w w:val="100"/>
          <w:position w:val="0"/>
        </w:rPr>
        <w:t>年度可重复订阅费（</w:t>
      </w:r>
      <w:r>
        <w:rPr>
          <w:rFonts w:ascii="Times New Roman" w:eastAsia="Times New Roman" w:hAnsi="Times New Roman" w:cs="Times New Roman"/>
          <w:color w:val="000000"/>
          <w:spacing w:val="0"/>
          <w:w w:val="100"/>
          <w:position w:val="0"/>
        </w:rPr>
        <w:t>ARR</w:t>
      </w:r>
      <w:r>
        <w:rPr>
          <w:color w:val="000000"/>
          <w:spacing w:val="0"/>
          <w:w w:val="100"/>
          <w:position w:val="0"/>
        </w:rPr>
        <w:t xml:space="preserve">） </w:t>
      </w:r>
      <w:r>
        <w:rPr>
          <w:rFonts w:ascii="Times New Roman" w:eastAsia="Times New Roman" w:hAnsi="Times New Roman" w:cs="Times New Roman"/>
          <w:color w:val="000000"/>
          <w:spacing w:val="0"/>
          <w:w w:val="100"/>
          <w:position w:val="0"/>
        </w:rPr>
        <w:t>20,472.51</w:t>
      </w:r>
      <w:r>
        <w:rPr>
          <w:color w:val="000000"/>
          <w:spacing w:val="0"/>
          <w:w w:val="100"/>
          <w:position w:val="0"/>
        </w:rPr>
        <w:t>万元，剔除已经出售的</w:t>
      </w:r>
      <w:r>
        <w:rPr>
          <w:rFonts w:ascii="Times New Roman" w:eastAsia="Times New Roman" w:hAnsi="Times New Roman" w:cs="Times New Roman"/>
          <w:color w:val="000000"/>
          <w:spacing w:val="0"/>
          <w:w w:val="100"/>
          <w:position w:val="0"/>
        </w:rPr>
        <w:t>StayNtouch</w:t>
      </w:r>
      <w:r>
        <w:rPr>
          <w:color w:val="000000"/>
          <w:spacing w:val="0"/>
          <w:w w:val="100"/>
          <w:position w:val="0"/>
        </w:rPr>
        <w:t>公司</w:t>
      </w:r>
      <w:r>
        <w:rPr>
          <w:rFonts w:ascii="Times New Roman" w:eastAsia="Times New Roman" w:hAnsi="Times New Roman" w:cs="Times New Roman"/>
          <w:color w:val="000000"/>
          <w:spacing w:val="0"/>
          <w:w w:val="100"/>
          <w:position w:val="0"/>
        </w:rPr>
        <w:t>ARR</w:t>
      </w:r>
      <w:r>
        <w:rPr>
          <w:color w:val="000000"/>
          <w:spacing w:val="0"/>
          <w:w w:val="100"/>
          <w:position w:val="0"/>
        </w:rPr>
        <w:t>的影响后，</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ARR</w:t>
      </w:r>
      <w:r>
        <w:rPr>
          <w:color w:val="000000"/>
          <w:spacing w:val="0"/>
          <w:w w:val="100"/>
          <w:position w:val="0"/>
        </w:rPr>
        <w:t>相比上年同期下降约</w:t>
      </w:r>
      <w:r>
        <w:rPr>
          <w:rFonts w:ascii="Times New Roman" w:eastAsia="Times New Roman" w:hAnsi="Times New Roman" w:cs="Times New Roman"/>
          <w:color w:val="000000"/>
          <w:spacing w:val="0"/>
          <w:w w:val="100"/>
          <w:position w:val="0"/>
        </w:rPr>
        <w:t>3.8%</w:t>
      </w:r>
      <w:r>
        <w:rPr>
          <w:color w:val="000000"/>
          <w:spacing w:val="0"/>
          <w:w w:val="100"/>
          <w:position w:val="0"/>
        </w:rPr>
        <w:t>； 报告期末企业客户（最终用户）门店总数约</w:t>
      </w:r>
      <w:r>
        <w:rPr>
          <w:rFonts w:ascii="Times New Roman" w:eastAsia="Times New Roman" w:hAnsi="Times New Roman" w:cs="Times New Roman"/>
          <w:color w:val="000000"/>
          <w:spacing w:val="0"/>
          <w:w w:val="100"/>
          <w:position w:val="0"/>
        </w:rPr>
        <w:t>7.8</w:t>
      </w:r>
      <w:r>
        <w:rPr>
          <w:color w:val="000000"/>
          <w:spacing w:val="0"/>
          <w:w w:val="100"/>
          <w:position w:val="0"/>
        </w:rPr>
        <w:t>万家，平均续费率超过</w:t>
      </w:r>
      <w:r>
        <w:rPr>
          <w:rFonts w:ascii="Times New Roman" w:eastAsia="Times New Roman" w:hAnsi="Times New Roman" w:cs="Times New Roman"/>
          <w:color w:val="000000"/>
          <w:spacing w:val="0"/>
          <w:w w:val="100"/>
          <w:position w:val="0"/>
        </w:rPr>
        <w:t>90%</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报告期内，公司新一代云餐饮管理系统（云</w:t>
      </w:r>
      <w:r>
        <w:rPr>
          <w:rFonts w:ascii="Times New Roman" w:eastAsia="Times New Roman" w:hAnsi="Times New Roman" w:cs="Times New Roman"/>
          <w:color w:val="000000"/>
          <w:spacing w:val="0"/>
          <w:w w:val="100"/>
          <w:position w:val="0"/>
        </w:rPr>
        <w:t>POS</w:t>
      </w:r>
      <w:r>
        <w:rPr>
          <w:color w:val="000000"/>
          <w:spacing w:val="0"/>
          <w:w w:val="100"/>
          <w:position w:val="0"/>
        </w:rPr>
        <w:t>）</w:t>
      </w:r>
      <w:r>
        <w:rPr>
          <w:rFonts w:ascii="Times New Roman" w:eastAsia="Times New Roman" w:hAnsi="Times New Roman" w:cs="Times New Roman"/>
          <w:color w:val="000000"/>
          <w:spacing w:val="0"/>
          <w:w w:val="100"/>
          <w:position w:val="0"/>
        </w:rPr>
        <w:t>Infrasys Cloud</w:t>
      </w:r>
      <w:r>
        <w:rPr>
          <w:color w:val="000000"/>
          <w:spacing w:val="0"/>
          <w:w w:val="100"/>
          <w:position w:val="0"/>
        </w:rPr>
        <w:t>发展迅速，成功通过了全球最大的万 豪酒店集团的认证，此外已成功成为洲际、凯悦、半岛、九龙仓、温德姆、千禧、泛太平洋、万达、长隆、 红树林、澳门五大赌场酒店集团、香港文华东方、朗豪等知名酒店集团的标准，全球最具影响力</w:t>
      </w:r>
      <w:r>
        <w:rPr>
          <w:rFonts w:ascii="Times New Roman" w:eastAsia="Times New Roman" w:hAnsi="Times New Roman" w:cs="Times New Roman"/>
          <w:color w:val="000000"/>
          <w:spacing w:val="0"/>
          <w:w w:val="100"/>
          <w:position w:val="0"/>
        </w:rPr>
        <w:t>TOP5</w:t>
      </w:r>
      <w:r>
        <w:rPr>
          <w:color w:val="000000"/>
          <w:spacing w:val="0"/>
          <w:w w:val="100"/>
          <w:position w:val="0"/>
        </w:rPr>
        <w:t>的酒 店集团中已有三家选择了石基餐饮云作为其全球标准，另外两家也正在开始谈判和测试之中，该产品成功 通过了全球几十个国家的法律</w:t>
      </w:r>
      <w:r>
        <w:rPr>
          <w:rFonts w:ascii="Times New Roman" w:eastAsia="Times New Roman" w:hAnsi="Times New Roman" w:cs="Times New Roman"/>
          <w:color w:val="000000"/>
          <w:spacing w:val="0"/>
          <w:w w:val="100"/>
          <w:position w:val="0"/>
        </w:rPr>
        <w:t>/</w:t>
      </w:r>
      <w:r>
        <w:rPr>
          <w:color w:val="000000"/>
          <w:spacing w:val="0"/>
          <w:w w:val="100"/>
          <w:position w:val="0"/>
        </w:rPr>
        <w:t>财务认证，并在这些国家不断拓展上线，公司成为全球主要酒店餐饮信息系 统提供商之一。截至报告期末，公司云</w:t>
      </w:r>
      <w:r>
        <w:rPr>
          <w:rFonts w:ascii="Times New Roman" w:eastAsia="Times New Roman" w:hAnsi="Times New Roman" w:cs="Times New Roman"/>
          <w:color w:val="000000"/>
          <w:spacing w:val="0"/>
          <w:w w:val="100"/>
          <w:position w:val="0"/>
        </w:rPr>
        <w:t>POS</w:t>
      </w:r>
      <w:r>
        <w:rPr>
          <w:color w:val="000000"/>
          <w:spacing w:val="0"/>
          <w:w w:val="100"/>
          <w:position w:val="0"/>
        </w:rPr>
        <w:t>产品累计上线总客户数达</w:t>
      </w:r>
      <w:r>
        <w:rPr>
          <w:rFonts w:ascii="Times New Roman" w:eastAsia="Times New Roman" w:hAnsi="Times New Roman" w:cs="Times New Roman"/>
          <w:color w:val="000000"/>
          <w:spacing w:val="0"/>
          <w:w w:val="100"/>
          <w:position w:val="0"/>
        </w:rPr>
        <w:t>1865</w:t>
      </w:r>
      <w:r>
        <w:rPr>
          <w:color w:val="000000"/>
          <w:spacing w:val="0"/>
          <w:w w:val="100"/>
          <w:position w:val="0"/>
        </w:rPr>
        <w:t>家酒店及餐厅。</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报告期内，公司加大了对新一代云架构的企业级酒店信息系统产品石基企业平台</w:t>
      </w:r>
      <w:r>
        <w:rPr>
          <w:color w:val="000000"/>
          <w:spacing w:val="0"/>
          <w:w w:val="100"/>
          <w:position w:val="0"/>
        </w:rPr>
        <w:t>（</w:t>
      </w:r>
      <w:r>
        <w:rPr>
          <w:rFonts w:ascii="Times New Roman" w:eastAsia="Times New Roman" w:hAnsi="Times New Roman" w:cs="Times New Roman"/>
          <w:color w:val="000000"/>
          <w:spacing w:val="0"/>
          <w:w w:val="100"/>
          <w:position w:val="0"/>
        </w:rPr>
        <w:t>SEP</w:t>
      </w:r>
      <w:r>
        <w:rPr>
          <w:color w:val="000000"/>
          <w:spacing w:val="0"/>
          <w:w w:val="100"/>
          <w:position w:val="0"/>
        </w:rPr>
        <w:t>）</w:t>
      </w:r>
      <w:r>
        <w:rPr>
          <w:color w:val="000000"/>
          <w:spacing w:val="0"/>
          <w:w w:val="100"/>
          <w:position w:val="0"/>
        </w:rPr>
        <w:t>的研发投入, 以加速产品在国际酒店集团的落地，在</w:t>
      </w:r>
      <w:r>
        <w:rPr>
          <w:rFonts w:ascii="Times New Roman" w:eastAsia="Times New Roman" w:hAnsi="Times New Roman" w:cs="Times New Roman"/>
          <w:color w:val="000000"/>
          <w:spacing w:val="0"/>
          <w:w w:val="100"/>
          <w:position w:val="0"/>
        </w:rPr>
        <w:t>SEP</w:t>
      </w:r>
      <w:r>
        <w:rPr>
          <w:color w:val="000000"/>
          <w:spacing w:val="0"/>
          <w:w w:val="100"/>
          <w:position w:val="0"/>
        </w:rPr>
        <w:t>于一些欧洲酒店集团上线并获得客户较好反馈的基础上，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月，石基与国际知名奢华酒店集团半岛酒店集团达成里程碑式合作，半岛集团将全面采用整套石基企 业平台，目前半岛集团应用的全部集成已经完成，石基企业平台在半岛酒店未来的成功上线有望产生显著 的标杆效应。截至报告期末，</w:t>
      </w:r>
      <w:r>
        <w:rPr>
          <w:rFonts w:ascii="Times New Roman" w:eastAsia="Times New Roman" w:hAnsi="Times New Roman" w:cs="Times New Roman"/>
          <w:color w:val="000000"/>
          <w:spacing w:val="0"/>
          <w:w w:val="100"/>
          <w:position w:val="0"/>
        </w:rPr>
        <w:t>SEP</w:t>
      </w:r>
      <w:r>
        <w:rPr>
          <w:color w:val="000000"/>
          <w:spacing w:val="0"/>
          <w:w w:val="100"/>
          <w:position w:val="0"/>
        </w:rPr>
        <w:t>在</w:t>
      </w:r>
      <w:r>
        <w:rPr>
          <w:rFonts w:ascii="Times New Roman" w:eastAsia="Times New Roman" w:hAnsi="Times New Roman" w:cs="Times New Roman"/>
          <w:color w:val="000000"/>
          <w:spacing w:val="0"/>
          <w:w w:val="100"/>
          <w:position w:val="0"/>
        </w:rPr>
        <w:t>Ruby</w:t>
      </w:r>
      <w:r>
        <w:rPr>
          <w:color w:val="000000"/>
          <w:spacing w:val="0"/>
          <w:w w:val="100"/>
          <w:position w:val="0"/>
        </w:rPr>
        <w:t>、</w:t>
      </w:r>
      <w:r>
        <w:rPr>
          <w:rFonts w:ascii="Times New Roman" w:eastAsia="Times New Roman" w:hAnsi="Times New Roman" w:cs="Times New Roman"/>
          <w:color w:val="000000"/>
          <w:spacing w:val="0"/>
          <w:w w:val="100"/>
          <w:position w:val="0"/>
        </w:rPr>
        <w:t>QBic Hotels</w:t>
      </w:r>
      <w:r>
        <w:rPr>
          <w:color w:val="000000"/>
          <w:spacing w:val="0"/>
          <w:w w:val="100"/>
          <w:position w:val="0"/>
        </w:rPr>
        <w:t>、</w:t>
      </w:r>
      <w:r>
        <w:rPr>
          <w:rFonts w:ascii="Times New Roman" w:eastAsia="Times New Roman" w:hAnsi="Times New Roman" w:cs="Times New Roman"/>
          <w:color w:val="000000"/>
          <w:spacing w:val="0"/>
          <w:w w:val="100"/>
          <w:position w:val="0"/>
        </w:rPr>
        <w:t>Sircle</w:t>
      </w:r>
      <w:r>
        <w:rPr>
          <w:color w:val="000000"/>
          <w:spacing w:val="0"/>
          <w:w w:val="100"/>
          <w:position w:val="0"/>
        </w:rPr>
        <w:t>等酒店集团上线</w:t>
      </w:r>
      <w:r>
        <w:rPr>
          <w:rFonts w:ascii="Times New Roman" w:eastAsia="Times New Roman" w:hAnsi="Times New Roman" w:cs="Times New Roman"/>
          <w:color w:val="000000"/>
          <w:spacing w:val="0"/>
          <w:w w:val="100"/>
          <w:position w:val="0"/>
        </w:rPr>
        <w:t>10</w:t>
      </w:r>
      <w:r>
        <w:rPr>
          <w:color w:val="000000"/>
          <w:spacing w:val="0"/>
          <w:w w:val="100"/>
          <w:position w:val="0"/>
        </w:rPr>
        <w:t>个酒店。</w:t>
      </w:r>
    </w:p>
    <w:p>
      <w:pPr>
        <w:pStyle w:val="Style38"/>
        <w:keepNext w:val="0"/>
        <w:keepLines w:val="0"/>
        <w:widowControl w:val="0"/>
        <w:shd w:val="clear" w:color="auto" w:fill="auto"/>
        <w:bidi w:val="0"/>
        <w:spacing w:before="0" w:after="0"/>
        <w:ind w:left="0" w:right="0"/>
        <w:jc w:val="both"/>
      </w:pPr>
      <w:r>
        <w:rPr>
          <w:color w:val="000000"/>
          <w:spacing w:val="0"/>
          <w:w w:val="100"/>
          <w:position w:val="0"/>
        </w:rPr>
        <w:t>1.7</w:t>
      </w:r>
      <w:r>
        <w:rPr>
          <w:rFonts w:ascii="SimSun" w:eastAsia="SimSun" w:hAnsi="SimSun" w:cs="SimSun"/>
          <w:color w:val="000000"/>
          <w:spacing w:val="0"/>
          <w:w w:val="100"/>
          <w:position w:val="0"/>
        </w:rPr>
        <w:t>浩华</w:t>
      </w:r>
    </w:p>
    <w:p>
      <w:pPr>
        <w:pStyle w:val="Style3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报告期内，控股子公司浩华作为能够为酒店及休闲旅游业提供整体咨询解决方案的专业咨询顾问服务 提供商，仍然保持其市场领导地位，但受疫情影响</w:t>
      </w:r>
      <w:r>
        <w:rPr>
          <w:rFonts w:ascii="Times New Roman" w:eastAsia="Times New Roman" w:hAnsi="Times New Roman" w:cs="Times New Roman"/>
          <w:color w:val="000000"/>
          <w:spacing w:val="0"/>
          <w:w w:val="100"/>
          <w:position w:val="0"/>
        </w:rPr>
        <w:t>2020</w:t>
      </w:r>
      <w:r>
        <w:rPr>
          <w:color w:val="000000"/>
          <w:spacing w:val="0"/>
          <w:w w:val="100"/>
          <w:position w:val="0"/>
        </w:rPr>
        <w:t>年全年收入同比下降</w:t>
      </w:r>
      <w:r>
        <w:rPr>
          <w:rFonts w:ascii="Times New Roman" w:eastAsia="Times New Roman" w:hAnsi="Times New Roman" w:cs="Times New Roman"/>
          <w:color w:val="000000"/>
          <w:spacing w:val="0"/>
          <w:w w:val="100"/>
          <w:position w:val="0"/>
        </w:rPr>
        <w:t>17%</w:t>
      </w:r>
      <w:r>
        <w:rPr>
          <w:color w:val="000000"/>
          <w:spacing w:val="0"/>
          <w:w w:val="100"/>
          <w:position w:val="0"/>
        </w:rPr>
        <w:t xml:space="preserve">。截至报告期末，共实施 </w:t>
      </w:r>
      <w:r>
        <w:rPr>
          <w:rFonts w:ascii="Times New Roman" w:eastAsia="Times New Roman" w:hAnsi="Times New Roman" w:cs="Times New Roman"/>
          <w:color w:val="000000"/>
          <w:spacing w:val="0"/>
          <w:w w:val="100"/>
          <w:position w:val="0"/>
        </w:rPr>
        <w:t>132</w:t>
      </w:r>
      <w:r>
        <w:rPr>
          <w:color w:val="000000"/>
          <w:spacing w:val="0"/>
          <w:w w:val="100"/>
          <w:position w:val="0"/>
        </w:rPr>
        <w:t>个项目，其中约三分之二来自新客户，约</w:t>
      </w:r>
      <w:r>
        <w:rPr>
          <w:rFonts w:ascii="Times New Roman" w:eastAsia="Times New Roman" w:hAnsi="Times New Roman" w:cs="Times New Roman"/>
          <w:color w:val="000000"/>
          <w:spacing w:val="0"/>
          <w:w w:val="100"/>
          <w:position w:val="0"/>
        </w:rPr>
        <w:t>60%</w:t>
      </w:r>
      <w:r>
        <w:rPr>
          <w:color w:val="000000"/>
          <w:spacing w:val="0"/>
          <w:w w:val="100"/>
          <w:position w:val="0"/>
        </w:rPr>
        <w:t>为中国企业客户。</w:t>
      </w:r>
    </w:p>
    <w:p>
      <w:pPr>
        <w:pStyle w:val="Style32"/>
        <w:keepNext/>
        <w:keepLines/>
        <w:widowControl w:val="0"/>
        <w:shd w:val="clear" w:color="auto" w:fill="auto"/>
        <w:bidi w:val="0"/>
        <w:spacing w:before="0" w:after="0" w:line="312" w:lineRule="exact"/>
        <w:ind w:left="0" w:right="0" w:firstLine="36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2</w:t>
      </w:r>
      <w:bookmarkEnd w:id="147"/>
      <w:r>
        <w:rPr>
          <w:color w:val="000000"/>
          <w:spacing w:val="0"/>
          <w:w w:val="100"/>
          <w:position w:val="0"/>
        </w:rPr>
        <w:t>、餐饮信息系统业务</w:t>
      </w:r>
      <w:bookmarkEnd w:id="145"/>
      <w:bookmarkEnd w:id="146"/>
      <w:bookmarkEnd w:id="148"/>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 xml:space="preserve">报告期内，石基信息技术（香港）有限公司同时从事酒店及高端社会餐饮信息系统业务，控股子公司 </w:t>
      </w:r>
      <w:r>
        <w:rPr>
          <w:color w:val="000000"/>
          <w:spacing w:val="0"/>
          <w:w w:val="100"/>
          <w:position w:val="0"/>
        </w:rPr>
        <w:t>上海正品贵德开展中高端、连锁餐饮行业的信息系统业务，控股子公司思迅软件开展标准化餐饮信息系统 业务。</w:t>
      </w:r>
    </w:p>
    <w:p>
      <w:pPr>
        <w:pStyle w:val="Style35"/>
        <w:keepNext w:val="0"/>
        <w:keepLines w:val="0"/>
        <w:widowControl w:val="0"/>
        <w:shd w:val="clear" w:color="auto" w:fill="auto"/>
        <w:bidi w:val="0"/>
        <w:spacing w:before="0" w:after="0" w:line="331" w:lineRule="auto"/>
        <w:ind w:left="0" w:right="0" w:firstLine="380"/>
        <w:jc w:val="both"/>
      </w:pPr>
      <w:r>
        <w:rPr>
          <w:rFonts w:ascii="Times New Roman" w:eastAsia="Times New Roman" w:hAnsi="Times New Roman" w:cs="Times New Roman"/>
          <w:color w:val="000000"/>
          <w:spacing w:val="0"/>
          <w:w w:val="100"/>
          <w:position w:val="0"/>
        </w:rPr>
        <w:t>2.1</w:t>
      </w:r>
      <w:r>
        <w:rPr>
          <w:color w:val="000000"/>
          <w:spacing w:val="0"/>
          <w:w w:val="100"/>
          <w:position w:val="0"/>
        </w:rPr>
        <w:t>石基信息技术（香港）有限公司</w:t>
      </w:r>
    </w:p>
    <w:p>
      <w:pPr>
        <w:pStyle w:val="Style35"/>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公司全资子公司石基信息技术（香港）专注于打造</w:t>
      </w:r>
      <w:r>
        <w:rPr>
          <w:rFonts w:ascii="Times New Roman" w:eastAsia="Times New Roman" w:hAnsi="Times New Roman" w:cs="Times New Roman"/>
          <w:color w:val="000000"/>
          <w:spacing w:val="0"/>
          <w:w w:val="100"/>
          <w:position w:val="0"/>
        </w:rPr>
        <w:t>SaaS</w:t>
      </w:r>
      <w:r>
        <w:rPr>
          <w:color w:val="000000"/>
          <w:spacing w:val="0"/>
          <w:w w:val="100"/>
          <w:position w:val="0"/>
        </w:rPr>
        <w:t>结构的互联网餐饮生态环境，基于</w:t>
      </w:r>
      <w:r>
        <w:rPr>
          <w:rFonts w:ascii="Times New Roman" w:eastAsia="Times New Roman" w:hAnsi="Times New Roman" w:cs="Times New Roman"/>
          <w:color w:val="000000"/>
          <w:spacing w:val="0"/>
          <w:w w:val="100"/>
          <w:position w:val="0"/>
        </w:rPr>
        <w:t>Shiji Cloud POS</w:t>
      </w:r>
      <w:r>
        <w:rPr>
          <w:color w:val="000000"/>
          <w:spacing w:val="0"/>
          <w:w w:val="100"/>
          <w:position w:val="0"/>
        </w:rPr>
        <w:t>、</w:t>
      </w:r>
      <w:r>
        <w:rPr>
          <w:rFonts w:ascii="Times New Roman" w:eastAsia="Times New Roman" w:hAnsi="Times New Roman" w:cs="Times New Roman"/>
          <w:color w:val="000000"/>
          <w:spacing w:val="0"/>
          <w:w w:val="100"/>
          <w:position w:val="0"/>
        </w:rPr>
        <w:t>OGS</w:t>
      </w:r>
      <w:r>
        <w:rPr>
          <w:color w:val="000000"/>
          <w:spacing w:val="0"/>
          <w:w w:val="100"/>
          <w:position w:val="0"/>
        </w:rPr>
        <w:t>、</w:t>
      </w:r>
      <w:r>
        <w:rPr>
          <w:rFonts w:ascii="Times New Roman" w:eastAsia="Times New Roman" w:hAnsi="Times New Roman" w:cs="Times New Roman"/>
          <w:color w:val="000000"/>
          <w:spacing w:val="0"/>
          <w:w w:val="100"/>
          <w:position w:val="0"/>
        </w:rPr>
        <w:t>Shiji Payment Gateway</w:t>
      </w:r>
      <w:r>
        <w:rPr>
          <w:color w:val="000000"/>
          <w:spacing w:val="0"/>
          <w:w w:val="100"/>
          <w:position w:val="0"/>
        </w:rPr>
        <w:t>三大平台，不断优化线上线下系统业务流程，其</w:t>
      </w:r>
      <w:r>
        <w:rPr>
          <w:rFonts w:ascii="Times New Roman" w:eastAsia="Times New Roman" w:hAnsi="Times New Roman" w:cs="Times New Roman"/>
          <w:color w:val="000000"/>
          <w:spacing w:val="0"/>
          <w:w w:val="100"/>
          <w:position w:val="0"/>
        </w:rPr>
        <w:t>Infrasys Cloud</w:t>
      </w:r>
      <w:r>
        <w:rPr>
          <w:color w:val="000000"/>
          <w:spacing w:val="0"/>
          <w:w w:val="100"/>
          <w:position w:val="0"/>
        </w:rPr>
        <w:t>云</w:t>
      </w:r>
      <w:r>
        <w:rPr>
          <w:rFonts w:ascii="Times New Roman" w:eastAsia="Times New Roman" w:hAnsi="Times New Roman" w:cs="Times New Roman"/>
          <w:color w:val="000000"/>
          <w:spacing w:val="0"/>
          <w:w w:val="100"/>
          <w:position w:val="0"/>
        </w:rPr>
        <w:t>POS</w:t>
      </w:r>
      <w:r>
        <w:rPr>
          <w:color w:val="000000"/>
          <w:spacing w:val="0"/>
          <w:w w:val="100"/>
          <w:position w:val="0"/>
        </w:rPr>
        <w:t>产 品不仅面向酒店客户也同时适用于高端社会餐饮用户。报告期内，石基信息技术（香港）为帮助餐饮企业 客户在疫情最严重期间度过难关，免费推出了</w:t>
      </w:r>
      <w:r>
        <w:rPr>
          <w:rFonts w:ascii="Times New Roman" w:eastAsia="Times New Roman" w:hAnsi="Times New Roman" w:cs="Times New Roman"/>
          <w:color w:val="000000"/>
          <w:spacing w:val="0"/>
          <w:w w:val="100"/>
          <w:position w:val="0"/>
        </w:rPr>
        <w:t>“</w:t>
      </w:r>
      <w:r>
        <w:rPr>
          <w:color w:val="000000"/>
          <w:spacing w:val="0"/>
          <w:w w:val="100"/>
          <w:position w:val="0"/>
        </w:rPr>
        <w:t>微信外卖小程序</w:t>
      </w:r>
      <w:r>
        <w:rPr>
          <w:rFonts w:ascii="Times New Roman" w:eastAsia="Times New Roman" w:hAnsi="Times New Roman" w:cs="Times New Roman"/>
          <w:color w:val="000000"/>
          <w:spacing w:val="0"/>
          <w:w w:val="100"/>
          <w:position w:val="0"/>
        </w:rPr>
        <w:t>''</w:t>
      </w:r>
      <w:r>
        <w:rPr>
          <w:color w:val="000000"/>
          <w:spacing w:val="0"/>
          <w:w w:val="100"/>
          <w:position w:val="0"/>
        </w:rPr>
        <w:t>供广大的社会餐厅和酒店使用，在疫情恢 复期针对广大酒店用户又免费推出了</w:t>
      </w:r>
      <w:r>
        <w:rPr>
          <w:rFonts w:ascii="Times New Roman" w:eastAsia="Times New Roman" w:hAnsi="Times New Roman" w:cs="Times New Roman"/>
          <w:color w:val="000000"/>
          <w:spacing w:val="0"/>
          <w:w w:val="100"/>
          <w:position w:val="0"/>
        </w:rPr>
        <w:t>“</w:t>
      </w:r>
      <w:r>
        <w:rPr>
          <w:color w:val="000000"/>
          <w:spacing w:val="0"/>
          <w:w w:val="100"/>
          <w:position w:val="0"/>
        </w:rPr>
        <w:t>客房微信扫码点菜</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帮助广大用户在疫情期间维持经营起到了积极 的作用；在疫情影响下，社会餐饮及酒店餐厅都在大力推广无接触点菜的概念，客人自助扫码点菜、支付、 开具发票、机器人传菜等技术得到了极大的推广，甚至于在海外地区的酒店也已开始流行；在研发方面， 持续加大对云平台的研发力度，为抢占全球</w:t>
      </w:r>
      <w:r>
        <w:rPr>
          <w:rFonts w:ascii="Times New Roman" w:eastAsia="Times New Roman" w:hAnsi="Times New Roman" w:cs="Times New Roman"/>
          <w:color w:val="000000"/>
          <w:spacing w:val="0"/>
          <w:w w:val="100"/>
          <w:position w:val="0"/>
        </w:rPr>
        <w:t>POS</w:t>
      </w:r>
      <w:r>
        <w:rPr>
          <w:color w:val="000000"/>
          <w:spacing w:val="0"/>
          <w:w w:val="100"/>
          <w:position w:val="0"/>
        </w:rPr>
        <w:t>系统的领导地位打下了坚实的基础。</w:t>
      </w:r>
    </w:p>
    <w:p>
      <w:pPr>
        <w:pStyle w:val="Style35"/>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color w:val="000000"/>
          <w:spacing w:val="0"/>
          <w:w w:val="100"/>
          <w:position w:val="0"/>
        </w:rPr>
        <w:t xml:space="preserve">2.2 </w:t>
      </w:r>
      <w:r>
        <w:rPr>
          <w:color w:val="000000"/>
          <w:spacing w:val="0"/>
          <w:w w:val="100"/>
          <w:position w:val="0"/>
        </w:rPr>
        <w:t>正品贵德</w:t>
      </w:r>
    </w:p>
    <w:p>
      <w:pPr>
        <w:pStyle w:val="Style35"/>
        <w:keepNext w:val="0"/>
        <w:keepLines w:val="0"/>
        <w:widowControl w:val="0"/>
        <w:shd w:val="clear" w:color="auto" w:fill="auto"/>
        <w:bidi w:val="0"/>
        <w:spacing w:before="0" w:after="12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年正品贵德新增客户</w:t>
      </w:r>
      <w:r>
        <w:rPr>
          <w:rFonts w:ascii="Times New Roman" w:eastAsia="Times New Roman" w:hAnsi="Times New Roman" w:cs="Times New Roman"/>
          <w:color w:val="000000"/>
          <w:spacing w:val="0"/>
          <w:w w:val="100"/>
          <w:position w:val="0"/>
        </w:rPr>
        <w:t>439</w:t>
      </w:r>
      <w:r>
        <w:rPr>
          <w:color w:val="000000"/>
          <w:spacing w:val="0"/>
          <w:w w:val="100"/>
          <w:position w:val="0"/>
        </w:rPr>
        <w:t>家，客户总数超过</w:t>
      </w:r>
      <w:r>
        <w:rPr>
          <w:rFonts w:ascii="Times New Roman" w:eastAsia="Times New Roman" w:hAnsi="Times New Roman" w:cs="Times New Roman"/>
          <w:color w:val="000000"/>
          <w:spacing w:val="0"/>
          <w:w w:val="100"/>
          <w:position w:val="0"/>
        </w:rPr>
        <w:t>11000</w:t>
      </w:r>
      <w:r>
        <w:rPr>
          <w:color w:val="000000"/>
          <w:spacing w:val="0"/>
          <w:w w:val="100"/>
          <w:position w:val="0"/>
        </w:rPr>
        <w:t>家，受疫情影响新开店客户数量下降</w:t>
      </w:r>
      <w:r>
        <w:rPr>
          <w:rFonts w:ascii="Times New Roman" w:eastAsia="Times New Roman" w:hAnsi="Times New Roman" w:cs="Times New Roman"/>
          <w:color w:val="000000"/>
          <w:spacing w:val="0"/>
          <w:w w:val="100"/>
          <w:position w:val="0"/>
        </w:rPr>
        <w:t>27%</w:t>
      </w:r>
      <w:r>
        <w:rPr>
          <w:color w:val="000000"/>
          <w:spacing w:val="0"/>
          <w:w w:val="100"/>
          <w:position w:val="0"/>
        </w:rPr>
        <w:t>，社会 餐饮信息化项目受到较大影响，但仍在连锁餐饮及供应链应用领域保持行业优势地位。报告期内，疫情凸 显了正品贵德众多中高端连锁餐饮的行业抗风险能力和连锁客户的重要性，尽管面对前所未有的疫情影 响，正品贵德大部分连锁客户还是基本保持稳定和延续；正品贵德针对大型旅游景区的一体化餐饮智能解 决方案日渐成熟，新签约中国马镇、襄樊欢乐谷、郑州银基旅游、杭州机场、南京机场等众多旅游娱乐中 心集群化餐饮管理项目；新研发的</w:t>
      </w:r>
      <w:r>
        <w:rPr>
          <w:rFonts w:ascii="Times New Roman" w:eastAsia="Times New Roman" w:hAnsi="Times New Roman" w:cs="Times New Roman"/>
          <w:color w:val="000000"/>
          <w:spacing w:val="0"/>
          <w:w w:val="100"/>
          <w:position w:val="0"/>
        </w:rPr>
        <w:t>Saas</w:t>
      </w:r>
      <w:r>
        <w:rPr>
          <w:color w:val="000000"/>
          <w:spacing w:val="0"/>
          <w:w w:val="100"/>
          <w:position w:val="0"/>
        </w:rPr>
        <w:t>版</w:t>
      </w:r>
      <w:r>
        <w:rPr>
          <w:rFonts w:ascii="Times New Roman" w:eastAsia="Times New Roman" w:hAnsi="Times New Roman" w:cs="Times New Roman"/>
          <w:color w:val="000000"/>
          <w:spacing w:val="0"/>
          <w:w w:val="100"/>
          <w:position w:val="0"/>
        </w:rPr>
        <w:t>G10</w:t>
      </w:r>
      <w:r>
        <w:rPr>
          <w:color w:val="000000"/>
          <w:spacing w:val="0"/>
          <w:w w:val="100"/>
          <w:position w:val="0"/>
        </w:rPr>
        <w:t>供应链产品、</w:t>
      </w:r>
      <w:r>
        <w:rPr>
          <w:rFonts w:ascii="Times New Roman" w:eastAsia="Times New Roman" w:hAnsi="Times New Roman" w:cs="Times New Roman"/>
          <w:color w:val="000000"/>
          <w:spacing w:val="0"/>
          <w:w w:val="100"/>
          <w:position w:val="0"/>
        </w:rPr>
        <w:t>Saas</w:t>
      </w:r>
      <w:r>
        <w:rPr>
          <w:color w:val="000000"/>
          <w:spacing w:val="0"/>
          <w:w w:val="100"/>
          <w:position w:val="0"/>
        </w:rPr>
        <w:t>版正品</w:t>
      </w:r>
      <w:r>
        <w:rPr>
          <w:rFonts w:ascii="Times New Roman" w:eastAsia="Times New Roman" w:hAnsi="Times New Roman" w:cs="Times New Roman"/>
          <w:color w:val="000000"/>
          <w:spacing w:val="0"/>
          <w:w w:val="100"/>
          <w:position w:val="0"/>
        </w:rPr>
        <w:t>CRM</w:t>
      </w:r>
      <w:r>
        <w:rPr>
          <w:color w:val="000000"/>
          <w:spacing w:val="0"/>
          <w:w w:val="100"/>
          <w:position w:val="0"/>
        </w:rPr>
        <w:t>会员管理系统、大型餐饮包厢 /厨房出品等管理软件系统继续完善成熟。</w:t>
      </w:r>
    </w:p>
    <w:p>
      <w:pPr>
        <w:pStyle w:val="Style32"/>
        <w:keepNext/>
        <w:keepLines/>
        <w:widowControl w:val="0"/>
        <w:shd w:val="clear" w:color="auto" w:fill="auto"/>
        <w:bidi w:val="0"/>
        <w:spacing w:before="0" w:after="0" w:line="326" w:lineRule="auto"/>
        <w:ind w:left="0" w:right="0" w:firstLine="38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、零售信息系统业务</w:t>
      </w:r>
      <w:bookmarkEnd w:id="149"/>
      <w:bookmarkEnd w:id="150"/>
      <w:bookmarkEnd w:id="152"/>
    </w:p>
    <w:p>
      <w:pPr>
        <w:pStyle w:val="Style35"/>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在零售信息系统领域，公司由控股子公司石基零售通过旗下全资子公司石基大商、富基信息、长益科 技、上海时运、广州合光从事规模化零售信息系统业务，目前阿里</w:t>
      </w:r>
      <w:r>
        <w:rPr>
          <w:rFonts w:ascii="Times New Roman" w:eastAsia="Times New Roman" w:hAnsi="Times New Roman" w:cs="Times New Roman"/>
          <w:color w:val="000000"/>
          <w:spacing w:val="0"/>
          <w:w w:val="100"/>
          <w:position w:val="0"/>
        </w:rPr>
        <w:t>SJ</w:t>
      </w:r>
      <w:r>
        <w:rPr>
          <w:color w:val="000000"/>
          <w:spacing w:val="0"/>
          <w:w w:val="100"/>
          <w:position w:val="0"/>
        </w:rPr>
        <w:t>投资公司持有石基零售</w:t>
      </w:r>
      <w:r>
        <w:rPr>
          <w:rFonts w:ascii="Times New Roman" w:eastAsia="Times New Roman" w:hAnsi="Times New Roman" w:cs="Times New Roman"/>
          <w:color w:val="000000"/>
          <w:spacing w:val="0"/>
          <w:w w:val="100"/>
          <w:position w:val="0"/>
        </w:rPr>
        <w:t>38%</w:t>
      </w:r>
      <w:r>
        <w:rPr>
          <w:color w:val="000000"/>
          <w:spacing w:val="0"/>
          <w:w w:val="100"/>
          <w:position w:val="0"/>
        </w:rPr>
        <w:t>股权，为 石基零售第二大股东；公司控股子公司思迅软件主要从事标准化零售信息系统业务。</w:t>
      </w:r>
    </w:p>
    <w:p>
      <w:pPr>
        <w:pStyle w:val="Style35"/>
        <w:keepNext w:val="0"/>
        <w:keepLines w:val="0"/>
        <w:widowControl w:val="0"/>
        <w:shd w:val="clear" w:color="auto" w:fill="auto"/>
        <w:bidi w:val="0"/>
        <w:spacing w:before="0" w:after="0" w:line="329" w:lineRule="auto"/>
        <w:ind w:left="0" w:right="0" w:firstLine="380"/>
        <w:jc w:val="both"/>
      </w:pPr>
      <w:r>
        <w:rPr>
          <w:rFonts w:ascii="Times New Roman" w:eastAsia="Times New Roman" w:hAnsi="Times New Roman" w:cs="Times New Roman"/>
          <w:b/>
          <w:bCs/>
          <w:color w:val="000000"/>
          <w:spacing w:val="0"/>
          <w:w w:val="100"/>
          <w:position w:val="0"/>
        </w:rPr>
        <w:t>3.1</w:t>
      </w:r>
      <w:r>
        <w:rPr>
          <w:b/>
          <w:bCs/>
          <w:color w:val="000000"/>
          <w:spacing w:val="0"/>
          <w:w w:val="100"/>
          <w:position w:val="0"/>
        </w:rPr>
        <w:t>富基信息</w:t>
      </w:r>
    </w:p>
    <w:p>
      <w:pPr>
        <w:pStyle w:val="Style35"/>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石基大商下属子公司富基信息仍为中国快速增长的消费品及零售行业软件和解决方案提供商、移动互 联网业务的推动者，其在中国零售和消费品解决方案市场的占有率始终维持领先地位。报告期内，富基信 息新增集团客户</w:t>
      </w:r>
      <w:r>
        <w:rPr>
          <w:rFonts w:ascii="Times New Roman" w:eastAsia="Times New Roman" w:hAnsi="Times New Roman" w:cs="Times New Roman"/>
          <w:color w:val="000000"/>
          <w:spacing w:val="0"/>
          <w:w w:val="100"/>
          <w:position w:val="0"/>
        </w:rPr>
        <w:t>11</w:t>
      </w:r>
      <w:r>
        <w:rPr>
          <w:color w:val="000000"/>
          <w:spacing w:val="0"/>
          <w:w w:val="100"/>
          <w:position w:val="0"/>
        </w:rPr>
        <w:t>家，新增客户门店数量</w:t>
      </w:r>
      <w:r>
        <w:rPr>
          <w:rFonts w:ascii="Times New Roman" w:eastAsia="Times New Roman" w:hAnsi="Times New Roman" w:cs="Times New Roman"/>
          <w:color w:val="000000"/>
          <w:spacing w:val="0"/>
          <w:w w:val="100"/>
          <w:position w:val="0"/>
        </w:rPr>
        <w:t>369</w:t>
      </w:r>
      <w:r>
        <w:rPr>
          <w:color w:val="000000"/>
          <w:spacing w:val="0"/>
          <w:w w:val="100"/>
          <w:position w:val="0"/>
        </w:rPr>
        <w:t>家，报告期末集团客户总数</w:t>
      </w:r>
      <w:r>
        <w:rPr>
          <w:rFonts w:ascii="Times New Roman" w:eastAsia="Times New Roman" w:hAnsi="Times New Roman" w:cs="Times New Roman"/>
          <w:color w:val="000000"/>
          <w:spacing w:val="0"/>
          <w:w w:val="100"/>
          <w:position w:val="0"/>
        </w:rPr>
        <w:t>757</w:t>
      </w:r>
      <w:r>
        <w:rPr>
          <w:color w:val="000000"/>
          <w:spacing w:val="0"/>
          <w:w w:val="100"/>
          <w:position w:val="0"/>
        </w:rPr>
        <w:t>家，有效客户门店总数</w:t>
      </w:r>
      <w:r>
        <w:rPr>
          <w:rFonts w:ascii="Times New Roman" w:eastAsia="Times New Roman" w:hAnsi="Times New Roman" w:cs="Times New Roman"/>
          <w:color w:val="000000"/>
          <w:spacing w:val="0"/>
          <w:w w:val="100"/>
          <w:position w:val="0"/>
        </w:rPr>
        <w:t xml:space="preserve">29567 </w:t>
      </w:r>
      <w:r>
        <w:rPr>
          <w:color w:val="000000"/>
          <w:spacing w:val="0"/>
          <w:w w:val="100"/>
          <w:position w:val="0"/>
        </w:rPr>
        <w:t>家；在产品研发方面，对基于大连锁微服务架构的</w:t>
      </w:r>
      <w:r>
        <w:rPr>
          <w:rFonts w:ascii="Times New Roman" w:eastAsia="Times New Roman" w:hAnsi="Times New Roman" w:cs="Times New Roman"/>
          <w:color w:val="000000"/>
          <w:spacing w:val="0"/>
          <w:w w:val="100"/>
          <w:position w:val="0"/>
        </w:rPr>
        <w:t>ROC</w:t>
      </w:r>
      <w:r>
        <w:rPr>
          <w:color w:val="000000"/>
          <w:spacing w:val="0"/>
          <w:w w:val="100"/>
          <w:position w:val="0"/>
        </w:rPr>
        <w:t>产品、支持中小连锁超市业态的</w:t>
      </w:r>
      <w:r>
        <w:rPr>
          <w:rFonts w:ascii="Times New Roman" w:eastAsia="Times New Roman" w:hAnsi="Times New Roman" w:cs="Times New Roman"/>
          <w:color w:val="000000"/>
          <w:spacing w:val="0"/>
          <w:w w:val="100"/>
          <w:position w:val="0"/>
        </w:rPr>
        <w:t>Myshop</w:t>
      </w:r>
      <w:r>
        <w:rPr>
          <w:color w:val="000000"/>
          <w:spacing w:val="0"/>
          <w:w w:val="100"/>
          <w:position w:val="0"/>
        </w:rPr>
        <w:t>产品和专营 专卖的</w:t>
      </w:r>
      <w:r>
        <w:rPr>
          <w:rFonts w:ascii="Times New Roman" w:eastAsia="Times New Roman" w:hAnsi="Times New Roman" w:cs="Times New Roman"/>
          <w:color w:val="000000"/>
          <w:spacing w:val="0"/>
          <w:w w:val="100"/>
          <w:position w:val="0"/>
        </w:rPr>
        <w:t>JStore</w:t>
      </w:r>
      <w:r>
        <w:rPr>
          <w:color w:val="000000"/>
          <w:spacing w:val="0"/>
          <w:w w:val="100"/>
          <w:position w:val="0"/>
        </w:rPr>
        <w:t>产品功能进行优化和增强；免税业务产品已应用于海发控、海旅投、深圳国免三家离岛免税 企业，同时支持恒大、王府井等</w:t>
      </w:r>
      <w:r>
        <w:rPr>
          <w:rFonts w:ascii="Times New Roman" w:eastAsia="Times New Roman" w:hAnsi="Times New Roman" w:cs="Times New Roman"/>
          <w:color w:val="000000"/>
          <w:spacing w:val="0"/>
          <w:w w:val="100"/>
          <w:position w:val="0"/>
        </w:rPr>
        <w:t>11</w:t>
      </w:r>
      <w:r>
        <w:rPr>
          <w:color w:val="000000"/>
          <w:spacing w:val="0"/>
          <w:w w:val="100"/>
          <w:position w:val="0"/>
        </w:rPr>
        <w:t>家岛民免税企业；百购相关产品方面，</w:t>
      </w:r>
      <w:r>
        <w:rPr>
          <w:rFonts w:ascii="Times New Roman" w:eastAsia="Times New Roman" w:hAnsi="Times New Roman" w:cs="Times New Roman"/>
          <w:color w:val="000000"/>
          <w:spacing w:val="0"/>
          <w:w w:val="100"/>
          <w:position w:val="0"/>
        </w:rPr>
        <w:t>MSS</w:t>
      </w:r>
      <w:r>
        <w:rPr>
          <w:color w:val="000000"/>
          <w:spacing w:val="0"/>
          <w:w w:val="100"/>
          <w:position w:val="0"/>
        </w:rPr>
        <w:t>产品在支持自营的基础上完 成产品标准化，全渠道会员营销产品优化功能，会员营销的高阶应用客群运营平台主体开发完成，惠</w:t>
      </w:r>
      <w:r>
        <w:rPr>
          <w:rFonts w:ascii="Times New Roman" w:eastAsia="Times New Roman" w:hAnsi="Times New Roman" w:cs="Times New Roman"/>
          <w:color w:val="000000"/>
          <w:spacing w:val="0"/>
          <w:w w:val="100"/>
          <w:position w:val="0"/>
        </w:rPr>
        <w:t xml:space="preserve">GO </w:t>
      </w:r>
      <w:r>
        <w:rPr>
          <w:color w:val="000000"/>
          <w:spacing w:val="0"/>
          <w:w w:val="100"/>
          <w:position w:val="0"/>
        </w:rPr>
        <w:t>平台和</w:t>
      </w:r>
      <w:r>
        <w:rPr>
          <w:rFonts w:ascii="Times New Roman" w:eastAsia="Times New Roman" w:hAnsi="Times New Roman" w:cs="Times New Roman"/>
          <w:color w:val="000000"/>
          <w:spacing w:val="0"/>
          <w:w w:val="100"/>
          <w:position w:val="0"/>
        </w:rPr>
        <w:t>MSS</w:t>
      </w:r>
      <w:r>
        <w:rPr>
          <w:color w:val="000000"/>
          <w:spacing w:val="0"/>
          <w:w w:val="100"/>
          <w:position w:val="0"/>
        </w:rPr>
        <w:t>移动作业平台</w:t>
      </w:r>
      <w:r>
        <w:rPr>
          <w:rFonts w:ascii="Times New Roman" w:eastAsia="Times New Roman" w:hAnsi="Times New Roman" w:cs="Times New Roman"/>
          <w:color w:val="000000"/>
          <w:spacing w:val="0"/>
          <w:w w:val="100"/>
          <w:position w:val="0"/>
        </w:rPr>
        <w:t>TSS</w:t>
      </w:r>
      <w:r>
        <w:rPr>
          <w:color w:val="000000"/>
          <w:spacing w:val="0"/>
          <w:w w:val="100"/>
          <w:position w:val="0"/>
        </w:rPr>
        <w:t>优化功能；智能</w:t>
      </w:r>
      <w:r>
        <w:rPr>
          <w:rFonts w:ascii="Times New Roman" w:eastAsia="Times New Roman" w:hAnsi="Times New Roman" w:cs="Times New Roman"/>
          <w:color w:val="000000"/>
          <w:spacing w:val="0"/>
          <w:w w:val="100"/>
          <w:position w:val="0"/>
        </w:rPr>
        <w:t>POS</w:t>
      </w:r>
      <w:r>
        <w:rPr>
          <w:color w:val="000000"/>
          <w:spacing w:val="0"/>
          <w:w w:val="100"/>
          <w:position w:val="0"/>
        </w:rPr>
        <w:t>项目支持方面，智能云</w:t>
      </w:r>
      <w:r>
        <w:rPr>
          <w:rFonts w:ascii="Times New Roman" w:eastAsia="Times New Roman" w:hAnsi="Times New Roman" w:cs="Times New Roman"/>
          <w:color w:val="000000"/>
          <w:spacing w:val="0"/>
          <w:w w:val="100"/>
          <w:position w:val="0"/>
        </w:rPr>
        <w:t>POS</w:t>
      </w:r>
      <w:r>
        <w:rPr>
          <w:color w:val="000000"/>
          <w:spacing w:val="0"/>
          <w:w w:val="100"/>
          <w:position w:val="0"/>
        </w:rPr>
        <w:t>在国光、东明、绿篮子、中免、 华润、武商、中百等项目上线和试点支持，同时支持淘鲜达、京东自助等的对接，配合完成全域营销。</w:t>
      </w:r>
    </w:p>
    <w:p>
      <w:pPr>
        <w:pStyle w:val="Style35"/>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b/>
          <w:bCs/>
          <w:color w:val="000000"/>
          <w:spacing w:val="0"/>
          <w:w w:val="100"/>
          <w:position w:val="0"/>
        </w:rPr>
        <w:t>3.2</w:t>
      </w:r>
      <w:r>
        <w:rPr>
          <w:b/>
          <w:bCs/>
          <w:color w:val="000000"/>
          <w:spacing w:val="0"/>
          <w:w w:val="100"/>
          <w:position w:val="0"/>
        </w:rPr>
        <w:t>长益科技</w:t>
      </w: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长益科技仍专注于流通行业信息化全面解决方案，其业务涉及零售、分销、物流、电子商务等流通业 各个领域，可提供从供应端到销售端的全方位一体化解决方案。报告期内，公司新增集团客户</w:t>
      </w:r>
      <w:r>
        <w:rPr>
          <w:rFonts w:ascii="Times New Roman" w:eastAsia="Times New Roman" w:hAnsi="Times New Roman" w:cs="Times New Roman"/>
          <w:color w:val="000000"/>
          <w:spacing w:val="0"/>
          <w:w w:val="100"/>
          <w:position w:val="0"/>
        </w:rPr>
        <w:t>31</w:t>
      </w:r>
      <w:r>
        <w:rPr>
          <w:color w:val="000000"/>
          <w:spacing w:val="0"/>
          <w:w w:val="100"/>
          <w:position w:val="0"/>
        </w:rPr>
        <w:t>家，新增 客户门店数</w:t>
      </w:r>
      <w:r>
        <w:rPr>
          <w:rFonts w:ascii="Times New Roman" w:eastAsia="Times New Roman" w:hAnsi="Times New Roman" w:cs="Times New Roman"/>
          <w:color w:val="000000"/>
          <w:spacing w:val="0"/>
          <w:w w:val="100"/>
          <w:position w:val="0"/>
        </w:rPr>
        <w:t>47</w:t>
      </w:r>
      <w:r>
        <w:rPr>
          <w:color w:val="000000"/>
          <w:spacing w:val="0"/>
          <w:w w:val="100"/>
          <w:position w:val="0"/>
        </w:rPr>
        <w:t>家，集团客户总数</w:t>
      </w:r>
      <w:r>
        <w:rPr>
          <w:rFonts w:ascii="Times New Roman" w:eastAsia="Times New Roman" w:hAnsi="Times New Roman" w:cs="Times New Roman"/>
          <w:color w:val="000000"/>
          <w:spacing w:val="0"/>
          <w:w w:val="100"/>
          <w:position w:val="0"/>
        </w:rPr>
        <w:t>722</w:t>
      </w:r>
      <w:r>
        <w:rPr>
          <w:color w:val="000000"/>
          <w:spacing w:val="0"/>
          <w:w w:val="100"/>
          <w:position w:val="0"/>
        </w:rPr>
        <w:t>家，有效客户门店总数</w:t>
      </w:r>
      <w:r>
        <w:rPr>
          <w:rFonts w:ascii="Times New Roman" w:eastAsia="Times New Roman" w:hAnsi="Times New Roman" w:cs="Times New Roman"/>
          <w:color w:val="000000"/>
          <w:spacing w:val="0"/>
          <w:w w:val="100"/>
          <w:position w:val="0"/>
        </w:rPr>
        <w:t>5936</w:t>
      </w:r>
      <w:r>
        <w:rPr>
          <w:color w:val="000000"/>
          <w:spacing w:val="0"/>
          <w:w w:val="100"/>
          <w:position w:val="0"/>
        </w:rPr>
        <w:t>家；公司积极推动与石基生态联合解决方 案的推广落地；基于阿里生态开展云服务推广，海南离岛免税项目并圆满上线，提高了石基零售在国内免 税行业的市场占有率及品牌影响力；技术研发方面，</w:t>
      </w:r>
      <w:r>
        <w:rPr>
          <w:rFonts w:ascii="Times New Roman" w:eastAsia="Times New Roman" w:hAnsi="Times New Roman" w:cs="Times New Roman"/>
          <w:color w:val="000000"/>
          <w:spacing w:val="0"/>
          <w:w w:val="100"/>
          <w:position w:val="0"/>
        </w:rPr>
        <w:t>2020</w:t>
      </w:r>
      <w:r>
        <w:rPr>
          <w:color w:val="000000"/>
          <w:spacing w:val="0"/>
          <w:w w:val="100"/>
          <w:position w:val="0"/>
        </w:rPr>
        <w:t>年上半年为满足疫情期间客户需求，以线上渠道 产品拓展为重点，下半年疫情趋于稳定，公司继续基于商友</w:t>
      </w:r>
      <w:r>
        <w:rPr>
          <w:rFonts w:ascii="Times New Roman" w:eastAsia="Times New Roman" w:hAnsi="Times New Roman" w:cs="Times New Roman"/>
          <w:color w:val="000000"/>
          <w:spacing w:val="0"/>
          <w:w w:val="100"/>
          <w:position w:val="0"/>
        </w:rPr>
        <w:t>V10.</w:t>
      </w:r>
      <w:r>
        <w:rPr>
          <w:rFonts w:ascii="Times New Roman" w:eastAsia="Times New Roman" w:hAnsi="Times New Roman" w:cs="Times New Roman"/>
          <w:color w:val="000000"/>
          <w:spacing w:val="0"/>
          <w:w w:val="100"/>
          <w:position w:val="0"/>
        </w:rPr>
        <w:t>0</w:t>
      </w:r>
      <w:r>
        <w:rPr>
          <w:color w:val="000000"/>
          <w:spacing w:val="0"/>
          <w:w w:val="100"/>
          <w:position w:val="0"/>
        </w:rPr>
        <w:t>平台产品线全面升级迭代，更好的适应 全渠道、全业态、多终端、智能化、数字化的行业发展趋势。</w:t>
      </w:r>
    </w:p>
    <w:p>
      <w:pPr>
        <w:pStyle w:val="Style35"/>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b/>
          <w:bCs/>
          <w:color w:val="000000"/>
          <w:spacing w:val="0"/>
          <w:w w:val="100"/>
          <w:position w:val="0"/>
        </w:rPr>
        <w:t>3.3</w:t>
      </w:r>
      <w:r>
        <w:rPr>
          <w:b/>
          <w:bCs/>
          <w:color w:val="000000"/>
          <w:spacing w:val="0"/>
          <w:w w:val="100"/>
          <w:position w:val="0"/>
        </w:rPr>
        <w:t>上海时运</w:t>
      </w:r>
    </w:p>
    <w:p>
      <w:pPr>
        <w:pStyle w:val="Style35"/>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上海时运主要业务包括商业零售管理系统的自主研发以及国外</w:t>
      </w:r>
      <w:r>
        <w:rPr>
          <w:rFonts w:ascii="Times New Roman" w:eastAsia="Times New Roman" w:hAnsi="Times New Roman" w:cs="Times New Roman"/>
          <w:color w:val="000000"/>
          <w:spacing w:val="0"/>
          <w:w w:val="100"/>
          <w:position w:val="0"/>
        </w:rPr>
        <w:t>POS</w:t>
      </w:r>
      <w:r>
        <w:rPr>
          <w:color w:val="000000"/>
          <w:spacing w:val="0"/>
          <w:w w:val="100"/>
          <w:position w:val="0"/>
        </w:rPr>
        <w:t xml:space="preserve">产品的开发及实施。该子公司接手 </w:t>
      </w:r>
      <w:r>
        <w:rPr>
          <w:color w:val="000000"/>
          <w:spacing w:val="0"/>
          <w:w w:val="100"/>
          <w:position w:val="0"/>
        </w:rPr>
        <w:t>石基零售集团电子发票中台系统，负责该中台系统的功能研发和项目实施。报告期内，上海时运参与了国 外其他知名的</w:t>
      </w:r>
      <w:r>
        <w:rPr>
          <w:rFonts w:ascii="Times New Roman" w:eastAsia="Times New Roman" w:hAnsi="Times New Roman" w:cs="Times New Roman"/>
          <w:color w:val="000000"/>
          <w:spacing w:val="0"/>
          <w:w w:val="100"/>
          <w:position w:val="0"/>
        </w:rPr>
        <w:t>POS</w:t>
      </w:r>
      <w:r>
        <w:rPr>
          <w:color w:val="000000"/>
          <w:spacing w:val="0"/>
          <w:w w:val="100"/>
          <w:position w:val="0"/>
        </w:rPr>
        <w:t>系统供应商的专业培训并通过资质认证，比如：</w:t>
      </w:r>
      <w:r>
        <w:rPr>
          <w:rFonts w:ascii="Times New Roman" w:eastAsia="Times New Roman" w:hAnsi="Times New Roman" w:cs="Times New Roman"/>
          <w:color w:val="000000"/>
          <w:spacing w:val="0"/>
          <w:w w:val="100"/>
          <w:position w:val="0"/>
        </w:rPr>
        <w:t>Cegid</w:t>
      </w:r>
      <w:r>
        <w:rPr>
          <w:color w:val="000000"/>
          <w:spacing w:val="0"/>
          <w:w w:val="100"/>
          <w:position w:val="0"/>
        </w:rPr>
        <w:t>、</w:t>
      </w:r>
      <w:r>
        <w:rPr>
          <w:rFonts w:ascii="Times New Roman" w:eastAsia="Times New Roman" w:hAnsi="Times New Roman" w:cs="Times New Roman"/>
          <w:color w:val="000000"/>
          <w:spacing w:val="0"/>
          <w:w w:val="100"/>
          <w:position w:val="0"/>
        </w:rPr>
        <w:t>Retail Pro</w:t>
      </w:r>
      <w:r>
        <w:rPr>
          <w:color w:val="000000"/>
          <w:spacing w:val="0"/>
          <w:w w:val="100"/>
          <w:position w:val="0"/>
        </w:rPr>
        <w:t xml:space="preserve">, </w:t>
      </w:r>
      <w:r>
        <w:rPr>
          <w:rFonts w:ascii="Times New Roman" w:eastAsia="Times New Roman" w:hAnsi="Times New Roman" w:cs="Times New Roman"/>
          <w:color w:val="000000"/>
          <w:spacing w:val="0"/>
          <w:w w:val="100"/>
          <w:position w:val="0"/>
        </w:rPr>
        <w:t>JDA</w:t>
      </w:r>
      <w:r>
        <w:rPr>
          <w:color w:val="000000"/>
          <w:spacing w:val="0"/>
          <w:w w:val="100"/>
          <w:position w:val="0"/>
        </w:rPr>
        <w:t>等，以储备更多 的海外</w:t>
      </w:r>
      <w:r>
        <w:rPr>
          <w:rFonts w:ascii="Times New Roman" w:eastAsia="Times New Roman" w:hAnsi="Times New Roman" w:cs="Times New Roman"/>
          <w:color w:val="000000"/>
          <w:spacing w:val="0"/>
          <w:w w:val="100"/>
          <w:position w:val="0"/>
        </w:rPr>
        <w:t>POS</w:t>
      </w:r>
      <w:r>
        <w:rPr>
          <w:color w:val="000000"/>
          <w:spacing w:val="0"/>
          <w:w w:val="100"/>
          <w:position w:val="0"/>
        </w:rPr>
        <w:t>产品的交付能力。报告期内，上海时运新增客户</w:t>
      </w:r>
      <w:r>
        <w:rPr>
          <w:rFonts w:ascii="Times New Roman" w:eastAsia="Times New Roman" w:hAnsi="Times New Roman" w:cs="Times New Roman"/>
          <w:color w:val="000000"/>
          <w:spacing w:val="0"/>
          <w:w w:val="100"/>
          <w:position w:val="0"/>
        </w:rPr>
        <w:t>1</w:t>
      </w:r>
      <w:r>
        <w:rPr>
          <w:color w:val="000000"/>
          <w:spacing w:val="0"/>
          <w:w w:val="100"/>
          <w:position w:val="0"/>
        </w:rPr>
        <w:t>个，累计客户数</w:t>
      </w:r>
      <w:r>
        <w:rPr>
          <w:rFonts w:ascii="Times New Roman" w:eastAsia="Times New Roman" w:hAnsi="Times New Roman" w:cs="Times New Roman"/>
          <w:color w:val="000000"/>
          <w:spacing w:val="0"/>
          <w:w w:val="100"/>
          <w:position w:val="0"/>
        </w:rPr>
        <w:t>26</w:t>
      </w:r>
      <w:r>
        <w:rPr>
          <w:color w:val="000000"/>
          <w:spacing w:val="0"/>
          <w:w w:val="100"/>
          <w:position w:val="0"/>
        </w:rPr>
        <w:t>个，新增客户门店数</w:t>
      </w:r>
      <w:r>
        <w:rPr>
          <w:rFonts w:ascii="Times New Roman" w:eastAsia="Times New Roman" w:hAnsi="Times New Roman" w:cs="Times New Roman"/>
          <w:color w:val="000000"/>
          <w:spacing w:val="0"/>
          <w:w w:val="100"/>
          <w:position w:val="0"/>
        </w:rPr>
        <w:t>160</w:t>
      </w:r>
      <w:r>
        <w:rPr>
          <w:color w:val="000000"/>
          <w:spacing w:val="0"/>
          <w:w w:val="100"/>
          <w:position w:val="0"/>
        </w:rPr>
        <w:t>个, 新增</w:t>
      </w:r>
      <w:r>
        <w:rPr>
          <w:rFonts w:ascii="Times New Roman" w:eastAsia="Times New Roman" w:hAnsi="Times New Roman" w:cs="Times New Roman"/>
          <w:color w:val="000000"/>
          <w:spacing w:val="0"/>
          <w:w w:val="100"/>
          <w:position w:val="0"/>
        </w:rPr>
        <w:t>POS</w:t>
      </w:r>
      <w:r>
        <w:rPr>
          <w:color w:val="000000"/>
          <w:spacing w:val="0"/>
          <w:w w:val="100"/>
          <w:position w:val="0"/>
        </w:rPr>
        <w:t>终端</w:t>
      </w:r>
      <w:r>
        <w:rPr>
          <w:rFonts w:ascii="Times New Roman" w:eastAsia="Times New Roman" w:hAnsi="Times New Roman" w:cs="Times New Roman"/>
          <w:color w:val="000000"/>
          <w:spacing w:val="0"/>
          <w:w w:val="100"/>
          <w:position w:val="0"/>
        </w:rPr>
        <w:t>180</w:t>
      </w:r>
      <w:r>
        <w:rPr>
          <w:color w:val="000000"/>
          <w:spacing w:val="0"/>
          <w:w w:val="100"/>
          <w:position w:val="0"/>
        </w:rPr>
        <w:t>个。</w:t>
      </w:r>
    </w:p>
    <w:p>
      <w:pPr>
        <w:pStyle w:val="Style3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b/>
          <w:bCs/>
          <w:color w:val="000000"/>
          <w:spacing w:val="0"/>
          <w:w w:val="100"/>
          <w:position w:val="0"/>
        </w:rPr>
        <w:t>3.4</w:t>
      </w:r>
      <w:r>
        <w:rPr>
          <w:b/>
          <w:bCs/>
          <w:color w:val="000000"/>
          <w:spacing w:val="0"/>
          <w:w w:val="100"/>
          <w:position w:val="0"/>
        </w:rPr>
        <w:t>广州合光</w:t>
      </w: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广州合光为一家为零售商提供信息软件和服务的</w:t>
      </w:r>
      <w:r>
        <w:rPr>
          <w:rFonts w:ascii="Times New Roman" w:eastAsia="Times New Roman" w:hAnsi="Times New Roman" w:cs="Times New Roman"/>
          <w:color w:val="000000"/>
          <w:spacing w:val="0"/>
          <w:w w:val="100"/>
          <w:position w:val="0"/>
        </w:rPr>
        <w:t>SaaS</w:t>
      </w:r>
      <w:r>
        <w:rPr>
          <w:color w:val="000000"/>
          <w:spacing w:val="0"/>
          <w:w w:val="100"/>
          <w:position w:val="0"/>
        </w:rPr>
        <w:t>服务公司。广州合光的软件产品是基于云架构、 微服务而设计的可应用于新零售模式的软件产品，可支撑零售商们线上线下、异业联盟以及新技术应用等 经营发展。其软件产品云</w:t>
      </w:r>
      <w:r>
        <w:rPr>
          <w:rFonts w:ascii="Times New Roman" w:eastAsia="Times New Roman" w:hAnsi="Times New Roman" w:cs="Times New Roman"/>
          <w:color w:val="000000"/>
          <w:spacing w:val="0"/>
          <w:w w:val="100"/>
          <w:position w:val="0"/>
        </w:rPr>
        <w:t>POS</w:t>
      </w:r>
      <w:r>
        <w:rPr>
          <w:color w:val="000000"/>
          <w:spacing w:val="0"/>
          <w:w w:val="100"/>
          <w:position w:val="0"/>
        </w:rPr>
        <w:t>正在市场上做验证完善，</w:t>
      </w:r>
      <w:r>
        <w:rPr>
          <w:rFonts w:ascii="Times New Roman" w:eastAsia="Times New Roman" w:hAnsi="Times New Roman" w:cs="Times New Roman"/>
          <w:color w:val="000000"/>
          <w:spacing w:val="0"/>
          <w:w w:val="100"/>
          <w:position w:val="0"/>
        </w:rPr>
        <w:t>2020</w:t>
      </w:r>
      <w:r>
        <w:rPr>
          <w:color w:val="000000"/>
          <w:spacing w:val="0"/>
          <w:w w:val="100"/>
          <w:position w:val="0"/>
        </w:rPr>
        <w:t>年的智慧门店</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 xml:space="preserve">POS </w:t>
      </w:r>
      <w:r>
        <w:rPr>
          <w:color w:val="000000"/>
          <w:spacing w:val="0"/>
          <w:w w:val="100"/>
          <w:position w:val="0"/>
        </w:rPr>
        <w:t>（商超），石基零售 基础系统框架</w:t>
      </w:r>
      <w:r>
        <w:rPr>
          <w:rFonts w:ascii="Times New Roman" w:eastAsia="Times New Roman" w:hAnsi="Times New Roman" w:cs="Times New Roman"/>
          <w:color w:val="000000"/>
          <w:spacing w:val="0"/>
          <w:w w:val="100"/>
          <w:position w:val="0"/>
        </w:rPr>
        <w:t>V3.0</w:t>
      </w:r>
      <w:r>
        <w:rPr>
          <w:color w:val="000000"/>
          <w:spacing w:val="0"/>
          <w:w w:val="100"/>
          <w:position w:val="0"/>
        </w:rPr>
        <w:t>,</w:t>
      </w:r>
      <w:r>
        <w:rPr>
          <w:color w:val="000000"/>
          <w:spacing w:val="0"/>
          <w:w w:val="100"/>
          <w:position w:val="0"/>
        </w:rPr>
        <w:t>都是对项目的升级完善，之后会在石基零售体系下的客户中推广应用。</w:t>
      </w:r>
    </w:p>
    <w:p>
      <w:pPr>
        <w:pStyle w:val="Style3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b/>
          <w:bCs/>
          <w:color w:val="000000"/>
          <w:spacing w:val="0"/>
          <w:w w:val="100"/>
          <w:position w:val="0"/>
        </w:rPr>
        <w:t>3.5</w:t>
      </w:r>
      <w:r>
        <w:rPr>
          <w:b/>
          <w:bCs/>
          <w:color w:val="000000"/>
          <w:spacing w:val="0"/>
          <w:w w:val="100"/>
          <w:position w:val="0"/>
        </w:rPr>
        <w:t>思迅软件</w:t>
      </w:r>
    </w:p>
    <w:p>
      <w:pPr>
        <w:pStyle w:val="Style35"/>
        <w:keepNext w:val="0"/>
        <w:keepLines w:val="0"/>
        <w:widowControl w:val="0"/>
        <w:shd w:val="clear" w:color="auto" w:fill="auto"/>
        <w:bidi w:val="0"/>
        <w:spacing w:before="0" w:after="120" w:line="309" w:lineRule="exact"/>
        <w:ind w:left="0" w:right="0" w:firstLine="440"/>
        <w:jc w:val="both"/>
      </w:pPr>
      <w:r>
        <w:rPr>
          <w:color w:val="000000"/>
          <w:spacing w:val="0"/>
          <w:w w:val="100"/>
          <w:position w:val="0"/>
        </w:rPr>
        <w:t>思迅软件专注于为零售、餐饮、娱乐行业提供标准化解决方案，报告期内，思迅软件营业收入比上年 增长</w:t>
      </w:r>
      <w:r>
        <w:rPr>
          <w:rFonts w:ascii="Times New Roman" w:eastAsia="Times New Roman" w:hAnsi="Times New Roman" w:cs="Times New Roman"/>
          <w:color w:val="000000"/>
          <w:spacing w:val="0"/>
          <w:w w:val="100"/>
          <w:position w:val="0"/>
        </w:rPr>
        <w:t>16%</w:t>
      </w:r>
      <w:r>
        <w:rPr>
          <w:color w:val="000000"/>
          <w:spacing w:val="0"/>
          <w:w w:val="100"/>
          <w:position w:val="0"/>
        </w:rPr>
        <w:t>，净利润增长</w:t>
      </w:r>
      <w:r>
        <w:rPr>
          <w:rFonts w:ascii="Times New Roman" w:eastAsia="Times New Roman" w:hAnsi="Times New Roman" w:cs="Times New Roman"/>
          <w:color w:val="000000"/>
          <w:spacing w:val="0"/>
          <w:w w:val="100"/>
          <w:position w:val="0"/>
        </w:rPr>
        <w:t>15%</w:t>
      </w:r>
      <w:r>
        <w:rPr>
          <w:color w:val="000000"/>
          <w:spacing w:val="0"/>
          <w:w w:val="100"/>
          <w:position w:val="0"/>
        </w:rPr>
        <w:t xml:space="preserve">，其中软件产品销售收入受国内疫情和经济形势影响略有下降，但支付业务、 </w:t>
      </w:r>
      <w:r>
        <w:rPr>
          <w:rFonts w:ascii="Times New Roman" w:eastAsia="Times New Roman" w:hAnsi="Times New Roman" w:cs="Times New Roman"/>
          <w:color w:val="000000"/>
          <w:spacing w:val="0"/>
          <w:w w:val="100"/>
          <w:position w:val="0"/>
        </w:rPr>
        <w:t>020</w:t>
      </w:r>
      <w:r>
        <w:rPr>
          <w:color w:val="000000"/>
          <w:spacing w:val="0"/>
          <w:w w:val="100"/>
          <w:position w:val="0"/>
        </w:rPr>
        <w:t>线上业务、</w:t>
      </w:r>
      <w:r>
        <w:rPr>
          <w:rFonts w:ascii="Times New Roman" w:eastAsia="Times New Roman" w:hAnsi="Times New Roman" w:cs="Times New Roman"/>
          <w:color w:val="000000"/>
          <w:spacing w:val="0"/>
          <w:w w:val="100"/>
          <w:position w:val="0"/>
        </w:rPr>
        <w:t>SAAS</w:t>
      </w:r>
      <w:r>
        <w:rPr>
          <w:color w:val="000000"/>
          <w:spacing w:val="0"/>
          <w:w w:val="100"/>
          <w:position w:val="0"/>
        </w:rPr>
        <w:t>平台业务等销售增长迅速，传统软件业务全年新增用户门店</w:t>
      </w:r>
      <w:r>
        <w:rPr>
          <w:rFonts w:ascii="Times New Roman" w:eastAsia="Times New Roman" w:hAnsi="Times New Roman" w:cs="Times New Roman"/>
          <w:color w:val="000000"/>
          <w:spacing w:val="0"/>
          <w:w w:val="100"/>
          <w:position w:val="0"/>
        </w:rPr>
        <w:t>6</w:t>
      </w:r>
      <w:r>
        <w:rPr>
          <w:color w:val="000000"/>
          <w:spacing w:val="0"/>
          <w:w w:val="100"/>
          <w:position w:val="0"/>
        </w:rPr>
        <w:t>万多家，</w:t>
      </w:r>
      <w:r>
        <w:rPr>
          <w:rFonts w:ascii="Times New Roman" w:eastAsia="Times New Roman" w:hAnsi="Times New Roman" w:cs="Times New Roman"/>
          <w:color w:val="000000"/>
          <w:spacing w:val="0"/>
          <w:w w:val="100"/>
          <w:position w:val="0"/>
          <w:sz w:val="22"/>
          <w:szCs w:val="22"/>
        </w:rPr>
        <w:t>SaaS</w:t>
      </w:r>
      <w:r>
        <w:rPr>
          <w:color w:val="000000"/>
          <w:spacing w:val="0"/>
          <w:w w:val="100"/>
          <w:position w:val="0"/>
          <w:sz w:val="22"/>
          <w:szCs w:val="22"/>
        </w:rPr>
        <w:t>平台</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2"/>
          <w:szCs w:val="22"/>
        </w:rPr>
        <w:t>年实现新增注册商户</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万多家，新增付费商户数</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万多家</w:t>
      </w:r>
      <w:r>
        <w:rPr>
          <w:color w:val="000000"/>
          <w:spacing w:val="0"/>
          <w:w w:val="100"/>
          <w:position w:val="0"/>
        </w:rPr>
        <w:t>。</w:t>
      </w:r>
    </w:p>
    <w:p>
      <w:pPr>
        <w:pStyle w:val="Style32"/>
        <w:keepNext/>
        <w:keepLines/>
        <w:widowControl w:val="0"/>
        <w:shd w:val="clear" w:color="auto" w:fill="auto"/>
        <w:bidi w:val="0"/>
        <w:spacing w:before="0" w:after="0" w:line="326" w:lineRule="auto"/>
        <w:ind w:left="0" w:right="0" w:firstLine="36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、分销与数据业务</w:t>
      </w:r>
      <w:bookmarkEnd w:id="153"/>
      <w:bookmarkEnd w:id="154"/>
      <w:bookmarkEnd w:id="156"/>
    </w:p>
    <w:p>
      <w:pPr>
        <w:pStyle w:val="Style3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4.1</w:t>
      </w:r>
      <w:r>
        <w:rPr>
          <w:color w:val="000000"/>
          <w:spacing w:val="0"/>
          <w:w w:val="100"/>
          <w:position w:val="0"/>
        </w:rPr>
        <w:t>畅联业务</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报告期内，畅联顺应石基集团全球化战略，继续推进直连技术解决方案在全球酒店分销、直销行业中 的推广和应用；完成</w:t>
      </w:r>
      <w:r>
        <w:rPr>
          <w:rFonts w:ascii="Times New Roman" w:eastAsia="Times New Roman" w:hAnsi="Times New Roman" w:cs="Times New Roman"/>
          <w:color w:val="000000"/>
          <w:spacing w:val="0"/>
          <w:w w:val="100"/>
          <w:position w:val="0"/>
        </w:rPr>
        <w:t>161</w:t>
      </w:r>
      <w:r>
        <w:rPr>
          <w:color w:val="000000"/>
          <w:spacing w:val="0"/>
          <w:w w:val="100"/>
          <w:position w:val="0"/>
        </w:rPr>
        <w:t>个直连项目，其中涉及国际业务的项目</w:t>
      </w:r>
      <w:r>
        <w:rPr>
          <w:rFonts w:ascii="Times New Roman" w:eastAsia="Times New Roman" w:hAnsi="Times New Roman" w:cs="Times New Roman"/>
          <w:color w:val="000000"/>
          <w:spacing w:val="0"/>
          <w:w w:val="100"/>
          <w:position w:val="0"/>
        </w:rPr>
        <w:t>24</w:t>
      </w:r>
      <w:r>
        <w:rPr>
          <w:color w:val="000000"/>
          <w:spacing w:val="0"/>
          <w:w w:val="100"/>
          <w:position w:val="0"/>
        </w:rPr>
        <w:t>个；畅联</w:t>
      </w:r>
      <w:r>
        <w:rPr>
          <w:rFonts w:ascii="Times New Roman" w:eastAsia="Times New Roman" w:hAnsi="Times New Roman" w:cs="Times New Roman"/>
          <w:color w:val="000000"/>
          <w:spacing w:val="0"/>
          <w:w w:val="100"/>
          <w:position w:val="0"/>
        </w:rPr>
        <w:t>2020</w:t>
      </w:r>
      <w:r>
        <w:rPr>
          <w:color w:val="000000"/>
          <w:spacing w:val="0"/>
          <w:w w:val="100"/>
          <w:position w:val="0"/>
        </w:rPr>
        <w:t>年直连产量超过</w:t>
      </w:r>
      <w:r>
        <w:rPr>
          <w:rFonts w:ascii="Times New Roman" w:eastAsia="Times New Roman" w:hAnsi="Times New Roman" w:cs="Times New Roman"/>
          <w:color w:val="000000"/>
          <w:spacing w:val="0"/>
          <w:w w:val="100"/>
          <w:position w:val="0"/>
        </w:rPr>
        <w:t>757</w:t>
      </w:r>
      <w:r>
        <w:rPr>
          <w:color w:val="000000"/>
          <w:spacing w:val="0"/>
          <w:w w:val="100"/>
          <w:position w:val="0"/>
        </w:rPr>
        <w:t>万间夜, 较</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978</w:t>
      </w:r>
      <w:r>
        <w:rPr>
          <w:color w:val="000000"/>
          <w:spacing w:val="0"/>
          <w:w w:val="100"/>
          <w:position w:val="0"/>
        </w:rPr>
        <w:t>万间夜下降约</w:t>
      </w:r>
      <w:r>
        <w:rPr>
          <w:rFonts w:ascii="Times New Roman" w:eastAsia="Times New Roman" w:hAnsi="Times New Roman" w:cs="Times New Roman"/>
          <w:color w:val="000000"/>
          <w:spacing w:val="0"/>
          <w:w w:val="100"/>
          <w:position w:val="0"/>
        </w:rPr>
        <w:t>22.59%</w:t>
      </w:r>
      <w:r>
        <w:rPr>
          <w:color w:val="000000"/>
          <w:spacing w:val="0"/>
          <w:w w:val="100"/>
          <w:position w:val="0"/>
        </w:rPr>
        <w:t>。虽然</w:t>
      </w:r>
      <w:r>
        <w:rPr>
          <w:rFonts w:ascii="Times New Roman" w:eastAsia="Times New Roman" w:hAnsi="Times New Roman" w:cs="Times New Roman"/>
          <w:color w:val="000000"/>
          <w:spacing w:val="0"/>
          <w:w w:val="100"/>
          <w:position w:val="0"/>
        </w:rPr>
        <w:t>2020</w:t>
      </w:r>
      <w:r>
        <w:rPr>
          <w:color w:val="000000"/>
          <w:spacing w:val="0"/>
          <w:w w:val="100"/>
          <w:position w:val="0"/>
        </w:rPr>
        <w:t>年畅联的业务受到疫情影响，但随着中国国内疫情得到控 制，国内差旅和本地旅游的复苏，畅联下半年产量为</w:t>
      </w:r>
      <w:r>
        <w:rPr>
          <w:rFonts w:ascii="Times New Roman" w:eastAsia="Times New Roman" w:hAnsi="Times New Roman" w:cs="Times New Roman"/>
          <w:color w:val="000000"/>
          <w:spacing w:val="0"/>
          <w:w w:val="100"/>
          <w:position w:val="0"/>
        </w:rPr>
        <w:t>521</w:t>
      </w:r>
      <w:r>
        <w:rPr>
          <w:color w:val="000000"/>
          <w:spacing w:val="0"/>
          <w:w w:val="100"/>
          <w:position w:val="0"/>
        </w:rPr>
        <w:t>万间夜，恢复到</w:t>
      </w:r>
      <w:r>
        <w:rPr>
          <w:rFonts w:ascii="Times New Roman" w:eastAsia="Times New Roman" w:hAnsi="Times New Roman" w:cs="Times New Roman"/>
          <w:color w:val="000000"/>
          <w:spacing w:val="0"/>
          <w:w w:val="100"/>
          <w:position w:val="0"/>
        </w:rPr>
        <w:t>2019</w:t>
      </w:r>
      <w:r>
        <w:rPr>
          <w:color w:val="000000"/>
          <w:spacing w:val="0"/>
          <w:w w:val="100"/>
          <w:position w:val="0"/>
        </w:rPr>
        <w:t>年同期的</w:t>
      </w:r>
      <w:r>
        <w:rPr>
          <w:rFonts w:ascii="Times New Roman" w:eastAsia="Times New Roman" w:hAnsi="Times New Roman" w:cs="Times New Roman"/>
          <w:color w:val="000000"/>
          <w:spacing w:val="0"/>
          <w:w w:val="100"/>
          <w:position w:val="0"/>
        </w:rPr>
        <w:t>95.24%</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firstLine="440"/>
        <w:jc w:val="both"/>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rPr>
        <w:t>1</w:t>
      </w:r>
      <w:r>
        <w:rPr>
          <w:color w:val="000000"/>
          <w:spacing w:val="0"/>
          <w:w w:val="100"/>
          <w:position w:val="0"/>
        </w:rPr>
        <w:t>）国际业务方面，畅联在韩国市场实现了零的突破，完成与韩国第一个渠道领先旅行社</w:t>
      </w:r>
      <w:r>
        <w:rPr>
          <w:rFonts w:ascii="Times New Roman" w:eastAsia="Times New Roman" w:hAnsi="Times New Roman" w:cs="Times New Roman"/>
          <w:color w:val="000000"/>
          <w:spacing w:val="0"/>
          <w:w w:val="100"/>
          <w:position w:val="0"/>
        </w:rPr>
        <w:t xml:space="preserve">HotelPass </w:t>
      </w:r>
      <w:r>
        <w:rPr>
          <w:color w:val="000000"/>
          <w:spacing w:val="0"/>
          <w:w w:val="100"/>
          <w:position w:val="0"/>
        </w:rPr>
        <w:t>的直连，并为</w:t>
      </w:r>
      <w:r>
        <w:rPr>
          <w:rFonts w:ascii="Times New Roman" w:eastAsia="Times New Roman" w:hAnsi="Times New Roman" w:cs="Times New Roman"/>
          <w:color w:val="000000"/>
          <w:spacing w:val="0"/>
          <w:w w:val="100"/>
          <w:position w:val="0"/>
        </w:rPr>
        <w:t>HotelPass</w:t>
      </w:r>
      <w:r>
        <w:rPr>
          <w:color w:val="000000"/>
          <w:spacing w:val="0"/>
          <w:w w:val="100"/>
          <w:position w:val="0"/>
        </w:rPr>
        <w:t>对接国内与海外的酒店集团。同时，畅联实现了与全球分销系统</w:t>
      </w:r>
      <w:r>
        <w:rPr>
          <w:color w:val="000000"/>
          <w:spacing w:val="0"/>
          <w:w w:val="100"/>
          <w:position w:val="0"/>
        </w:rPr>
        <w:t>（</w:t>
      </w:r>
      <w:r>
        <w:rPr>
          <w:rFonts w:ascii="Times New Roman" w:eastAsia="Times New Roman" w:hAnsi="Times New Roman" w:cs="Times New Roman"/>
          <w:color w:val="000000"/>
          <w:spacing w:val="0"/>
          <w:w w:val="100"/>
          <w:position w:val="0"/>
        </w:rPr>
        <w:t>GDS</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Amadeus </w:t>
      </w:r>
      <w:r>
        <w:rPr>
          <w:color w:val="000000"/>
          <w:spacing w:val="0"/>
          <w:w w:val="100"/>
          <w:position w:val="0"/>
        </w:rPr>
        <w:t>的系统对接，并完成保利酒店集团的</w:t>
      </w:r>
      <w:r>
        <w:rPr>
          <w:rFonts w:ascii="Times New Roman" w:eastAsia="Times New Roman" w:hAnsi="Times New Roman" w:cs="Times New Roman"/>
          <w:color w:val="000000"/>
          <w:spacing w:val="0"/>
          <w:w w:val="100"/>
          <w:position w:val="0"/>
        </w:rPr>
        <w:t>GDS</w:t>
      </w:r>
      <w:r>
        <w:rPr>
          <w:color w:val="000000"/>
          <w:spacing w:val="0"/>
          <w:w w:val="100"/>
          <w:position w:val="0"/>
        </w:rPr>
        <w:t>直连项目。畅联也与凯宾斯基集团达成合作，为其提供微信预 订解决方案。未来畅联将更全面地为酒店和集团提供</w:t>
      </w:r>
      <w:r>
        <w:rPr>
          <w:rFonts w:ascii="Times New Roman" w:eastAsia="Times New Roman" w:hAnsi="Times New Roman" w:cs="Times New Roman"/>
          <w:color w:val="000000"/>
          <w:spacing w:val="0"/>
          <w:w w:val="100"/>
          <w:position w:val="0"/>
        </w:rPr>
        <w:t>GDS</w:t>
      </w:r>
      <w:r>
        <w:rPr>
          <w:color w:val="000000"/>
          <w:spacing w:val="0"/>
          <w:w w:val="100"/>
          <w:position w:val="0"/>
        </w:rPr>
        <w:t>直连服务。（</w:t>
      </w:r>
      <w:r>
        <w:rPr>
          <w:rFonts w:ascii="Times New Roman" w:eastAsia="Times New Roman" w:hAnsi="Times New Roman" w:cs="Times New Roman"/>
          <w:color w:val="000000"/>
          <w:spacing w:val="0"/>
          <w:w w:val="100"/>
          <w:position w:val="0"/>
        </w:rPr>
        <w:t>2</w:t>
      </w:r>
      <w:r>
        <w:rPr>
          <w:color w:val="000000"/>
          <w:spacing w:val="0"/>
          <w:w w:val="100"/>
          <w:position w:val="0"/>
        </w:rPr>
        <w:t>）国内业务方面，继续稳定发展 传统</w:t>
      </w:r>
      <w:r>
        <w:rPr>
          <w:rFonts w:ascii="Times New Roman" w:eastAsia="Times New Roman" w:hAnsi="Times New Roman" w:cs="Times New Roman"/>
          <w:color w:val="000000"/>
          <w:spacing w:val="0"/>
          <w:w w:val="100"/>
          <w:position w:val="0"/>
        </w:rPr>
        <w:t>OTA</w:t>
      </w:r>
      <w:r>
        <w:rPr>
          <w:color w:val="000000"/>
          <w:spacing w:val="0"/>
          <w:w w:val="100"/>
          <w:position w:val="0"/>
        </w:rPr>
        <w:t>与旅行社的直连以外，畅联着重发展商旅市场的酒店预订直连业务，目前已与国内多家差旅管理 公司完成系统直连。畅联与银联的合作将有效助力酒店行业对公业务的预订和支付实现自动化。</w:t>
      </w:r>
    </w:p>
    <w:p>
      <w:pPr>
        <w:pStyle w:val="Style35"/>
        <w:keepNext w:val="0"/>
        <w:keepLines w:val="0"/>
        <w:widowControl w:val="0"/>
        <w:shd w:val="clear" w:color="auto" w:fill="auto"/>
        <w:tabs>
          <w:tab w:pos="961" w:val="left"/>
        </w:tabs>
        <w:bidi w:val="0"/>
        <w:spacing w:before="0" w:after="0" w:line="326" w:lineRule="exact"/>
        <w:ind w:left="0" w:right="0" w:firstLine="440"/>
        <w:jc w:val="both"/>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rPr>
        <w:t>3</w:t>
      </w:r>
      <w:r>
        <w:rPr>
          <w:color w:val="000000"/>
          <w:spacing w:val="0"/>
          <w:w w:val="100"/>
          <w:position w:val="0"/>
        </w:rPr>
        <w:t>）</w:t>
        <w:tab/>
        <w:t>产品与技术方面，畅联完成微信与官网预订引擎的升级。新的系统能灵活支持集团与单体酒店 业务，并通过与多家支付公司的合作，满足酒店集团国内、海外酒店收款和分账的需求。</w:t>
      </w:r>
    </w:p>
    <w:p>
      <w:pPr>
        <w:pStyle w:val="Style35"/>
        <w:keepNext w:val="0"/>
        <w:keepLines w:val="0"/>
        <w:widowControl w:val="0"/>
        <w:shd w:val="clear" w:color="auto" w:fill="auto"/>
        <w:tabs>
          <w:tab w:pos="961" w:val="left"/>
        </w:tabs>
        <w:bidi w:val="0"/>
        <w:spacing w:before="0" w:after="120" w:line="312" w:lineRule="exact"/>
        <w:ind w:left="0" w:right="0" w:firstLine="440"/>
        <w:jc w:val="both"/>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rPr>
        <w:t>4</w:t>
      </w:r>
      <w:r>
        <w:rPr>
          <w:color w:val="000000"/>
          <w:spacing w:val="0"/>
          <w:w w:val="100"/>
          <w:position w:val="0"/>
        </w:rPr>
        <w:t>）</w:t>
        <w:tab/>
        <w:t>战略合作方面，畅联与战略合作伙伴飞猪在国际业务上紧密合作，报告期内完成多个重点项目， 包括温德姆国际集团、</w:t>
      </w:r>
      <w:r>
        <w:rPr>
          <w:rFonts w:ascii="Times New Roman" w:eastAsia="Times New Roman" w:hAnsi="Times New Roman" w:cs="Times New Roman"/>
          <w:color w:val="000000"/>
          <w:spacing w:val="0"/>
          <w:w w:val="100"/>
          <w:position w:val="0"/>
        </w:rPr>
        <w:t>Outrigger</w:t>
      </w:r>
      <w:r>
        <w:rPr>
          <w:color w:val="000000"/>
          <w:spacing w:val="0"/>
          <w:w w:val="100"/>
          <w:position w:val="0"/>
        </w:rPr>
        <w:t>集团与</w:t>
      </w:r>
      <w:r>
        <w:rPr>
          <w:rFonts w:ascii="Times New Roman" w:eastAsia="Times New Roman" w:hAnsi="Times New Roman" w:cs="Times New Roman"/>
          <w:color w:val="000000"/>
          <w:spacing w:val="0"/>
          <w:w w:val="100"/>
          <w:position w:val="0"/>
        </w:rPr>
        <w:t>Trump</w:t>
      </w:r>
      <w:r>
        <w:rPr>
          <w:color w:val="000000"/>
          <w:spacing w:val="0"/>
          <w:w w:val="100"/>
          <w:position w:val="0"/>
        </w:rPr>
        <w:t>集团等。</w:t>
      </w:r>
    </w:p>
    <w:p>
      <w:pPr>
        <w:pStyle w:val="Style3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4.2</w:t>
      </w:r>
      <w:r>
        <w:rPr>
          <w:color w:val="000000"/>
          <w:spacing w:val="0"/>
          <w:w w:val="100"/>
          <w:position w:val="0"/>
        </w:rPr>
        <w:t>商用星联</w:t>
      </w:r>
    </w:p>
    <w:p>
      <w:pPr>
        <w:pStyle w:val="Style3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商用星联致力于零售行业内零售商和供货商之间的协同工作的解决方案。主要产品是以</w:t>
      </w:r>
      <w:r>
        <w:rPr>
          <w:rFonts w:ascii="Times New Roman" w:eastAsia="Times New Roman" w:hAnsi="Times New Roman" w:cs="Times New Roman"/>
          <w:color w:val="000000"/>
          <w:spacing w:val="0"/>
          <w:w w:val="100"/>
          <w:position w:val="0"/>
        </w:rPr>
        <w:t>SAAS</w:t>
      </w:r>
      <w:r>
        <w:rPr>
          <w:color w:val="000000"/>
          <w:spacing w:val="0"/>
          <w:w w:val="100"/>
          <w:position w:val="0"/>
        </w:rPr>
        <w:t>模式运 行的供应链协同平台</w:t>
      </w:r>
      <w:r>
        <w:rPr>
          <w:rFonts w:ascii="Times New Roman" w:eastAsia="Times New Roman" w:hAnsi="Times New Roman" w:cs="Times New Roman"/>
          <w:color w:val="000000"/>
          <w:spacing w:val="0"/>
          <w:w w:val="100"/>
          <w:position w:val="0"/>
        </w:rPr>
        <w:t>GSRM</w:t>
      </w:r>
      <w:r>
        <w:rPr>
          <w:color w:val="000000"/>
          <w:spacing w:val="0"/>
          <w:w w:val="100"/>
          <w:position w:val="0"/>
        </w:rPr>
        <w:t>）</w:t>
      </w:r>
      <w:r>
        <w:rPr>
          <w:color w:val="000000"/>
          <w:spacing w:val="0"/>
          <w:w w:val="100"/>
          <w:position w:val="0"/>
        </w:rPr>
        <w:t>。服务的零售企业包括百货和超市等多种业态。供应链协同平台给零售商和 供应商提供多场景的在线协同作业服务，包含供应商生命周期管理、商品生命周期管理、结算协同等。目 前老版本的零供宝的</w:t>
      </w:r>
      <w:r>
        <w:rPr>
          <w:rFonts w:ascii="Times New Roman" w:eastAsia="Times New Roman" w:hAnsi="Times New Roman" w:cs="Times New Roman"/>
          <w:color w:val="000000"/>
          <w:spacing w:val="0"/>
          <w:w w:val="100"/>
          <w:position w:val="0"/>
        </w:rPr>
        <w:t>SAAS</w:t>
      </w:r>
      <w:r>
        <w:rPr>
          <w:color w:val="000000"/>
          <w:spacing w:val="0"/>
          <w:w w:val="100"/>
          <w:position w:val="0"/>
        </w:rPr>
        <w:t>平台上有</w:t>
      </w:r>
      <w:r>
        <w:rPr>
          <w:rFonts w:ascii="Times New Roman" w:eastAsia="Times New Roman" w:hAnsi="Times New Roman" w:cs="Times New Roman"/>
          <w:color w:val="000000"/>
          <w:spacing w:val="0"/>
          <w:w w:val="100"/>
          <w:position w:val="0"/>
        </w:rPr>
        <w:t>40</w:t>
      </w:r>
      <w:r>
        <w:rPr>
          <w:color w:val="000000"/>
          <w:spacing w:val="0"/>
          <w:w w:val="100"/>
          <w:position w:val="0"/>
        </w:rPr>
        <w:t>多家零售集团，约</w:t>
      </w:r>
      <w:r>
        <w:rPr>
          <w:rFonts w:ascii="Times New Roman" w:eastAsia="Times New Roman" w:hAnsi="Times New Roman" w:cs="Times New Roman"/>
          <w:color w:val="000000"/>
          <w:spacing w:val="0"/>
          <w:w w:val="100"/>
          <w:position w:val="0"/>
        </w:rPr>
        <w:t>700</w:t>
      </w:r>
      <w:r>
        <w:rPr>
          <w:color w:val="000000"/>
          <w:spacing w:val="0"/>
          <w:w w:val="100"/>
          <w:position w:val="0"/>
        </w:rPr>
        <w:t>家单店，约</w:t>
      </w:r>
      <w:r>
        <w:rPr>
          <w:rFonts w:ascii="Times New Roman" w:eastAsia="Times New Roman" w:hAnsi="Times New Roman" w:cs="Times New Roman"/>
          <w:color w:val="000000"/>
          <w:spacing w:val="0"/>
          <w:w w:val="100"/>
          <w:position w:val="0"/>
        </w:rPr>
        <w:t>2</w:t>
      </w:r>
      <w:r>
        <w:rPr>
          <w:color w:val="000000"/>
          <w:spacing w:val="0"/>
          <w:w w:val="100"/>
          <w:position w:val="0"/>
        </w:rPr>
        <w:t>万供货商，目前是全国最大的零 供协作平台。新版本的</w:t>
      </w:r>
      <w:r>
        <w:rPr>
          <w:rFonts w:ascii="Times New Roman" w:eastAsia="Times New Roman" w:hAnsi="Times New Roman" w:cs="Times New Roman"/>
          <w:color w:val="000000"/>
          <w:spacing w:val="0"/>
          <w:w w:val="100"/>
          <w:position w:val="0"/>
        </w:rPr>
        <w:t>iSRM</w:t>
      </w:r>
      <w:r>
        <w:rPr>
          <w:color w:val="000000"/>
          <w:spacing w:val="0"/>
          <w:w w:val="100"/>
          <w:position w:val="0"/>
        </w:rPr>
        <w:t>正在研发过程中。</w:t>
      </w:r>
    </w:p>
    <w:p>
      <w:pPr>
        <w:pStyle w:val="Style3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4.3</w:t>
      </w:r>
      <w:r>
        <w:rPr>
          <w:color w:val="000000"/>
          <w:spacing w:val="0"/>
          <w:w w:val="100"/>
          <w:position w:val="0"/>
        </w:rPr>
        <w:t>宝库在线</w:t>
      </w:r>
    </w:p>
    <w:p>
      <w:pPr>
        <w:pStyle w:val="Style35"/>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宝库在线为基于云端的企业差旅费控及差旅供应链管理平台，向企业采购方和差旅供应商提供交易管 理</w:t>
      </w:r>
      <w:r>
        <w:rPr>
          <w:rFonts w:ascii="Times New Roman" w:eastAsia="Times New Roman" w:hAnsi="Times New Roman" w:cs="Times New Roman"/>
          <w:color w:val="000000"/>
          <w:spacing w:val="0"/>
          <w:w w:val="100"/>
          <w:position w:val="0"/>
        </w:rPr>
        <w:t>SaaS</w:t>
      </w:r>
      <w:r>
        <w:rPr>
          <w:color w:val="000000"/>
          <w:spacing w:val="0"/>
          <w:w w:val="100"/>
          <w:position w:val="0"/>
        </w:rPr>
        <w:t>服务，同时向航空公司提供大客户直销系统及技术服务、向</w:t>
      </w:r>
      <w:r>
        <w:rPr>
          <w:rFonts w:ascii="Times New Roman" w:eastAsia="Times New Roman" w:hAnsi="Times New Roman" w:cs="Times New Roman"/>
          <w:color w:val="000000"/>
          <w:spacing w:val="0"/>
          <w:w w:val="100"/>
          <w:position w:val="0"/>
        </w:rPr>
        <w:t>TMC</w:t>
      </w:r>
      <w:r>
        <w:rPr>
          <w:color w:val="000000"/>
          <w:spacing w:val="0"/>
          <w:w w:val="100"/>
          <w:position w:val="0"/>
        </w:rPr>
        <w:t>提供企业客户销售管理系统。报告 期内，宝库在线积极拓展国央企和大型民企客户，成功签约中国石化、富德集团、海康威视、国双集团、 中国再保险集团等企业差旅集采平台的建设项目；成功将酒店直采直销数据接入国家电网、程多多、力行 商旅平台，推动服务商运营酒店平台，并实现企业通过酒店数据通路完成与酒店集团的直采。报告期末宝 库在线客户总数</w:t>
      </w:r>
      <w:r>
        <w:rPr>
          <w:rFonts w:ascii="Times New Roman" w:eastAsia="Times New Roman" w:hAnsi="Times New Roman" w:cs="Times New Roman"/>
          <w:color w:val="000000"/>
          <w:spacing w:val="0"/>
          <w:w w:val="100"/>
          <w:position w:val="0"/>
        </w:rPr>
        <w:t>349</w:t>
      </w:r>
      <w:r>
        <w:rPr>
          <w:color w:val="000000"/>
          <w:spacing w:val="0"/>
          <w:w w:val="100"/>
          <w:position w:val="0"/>
        </w:rPr>
        <w:t>家，客户签约数量依旧稳步增长，全年处理订单</w:t>
      </w:r>
      <w:r>
        <w:rPr>
          <w:rFonts w:ascii="Times New Roman" w:eastAsia="Times New Roman" w:hAnsi="Times New Roman" w:cs="Times New Roman"/>
          <w:color w:val="000000"/>
          <w:spacing w:val="0"/>
          <w:w w:val="100"/>
          <w:position w:val="0"/>
        </w:rPr>
        <w:t>55.8</w:t>
      </w:r>
      <w:r>
        <w:rPr>
          <w:color w:val="000000"/>
          <w:spacing w:val="0"/>
          <w:w w:val="100"/>
          <w:position w:val="0"/>
        </w:rPr>
        <w:t>万张，受疫情影响较上年同期下降</w:t>
      </w:r>
    </w:p>
    <w:p>
      <w:pPr>
        <w:pStyle w:val="Style38"/>
        <w:keepNext w:val="0"/>
        <w:keepLines w:val="0"/>
        <w:widowControl w:val="0"/>
        <w:shd w:val="clear" w:color="auto" w:fill="auto"/>
        <w:bidi w:val="0"/>
        <w:spacing w:before="0" w:after="0" w:line="311" w:lineRule="exact"/>
        <w:ind w:left="0" w:right="0" w:firstLine="0"/>
        <w:jc w:val="left"/>
      </w:pPr>
      <w:r>
        <w:rPr>
          <w:color w:val="000000"/>
          <w:spacing w:val="0"/>
          <w:w w:val="100"/>
          <w:position w:val="0"/>
        </w:rPr>
        <w:t>50%</w:t>
      </w:r>
      <w:r>
        <w:rPr>
          <w:rFonts w:ascii="SimSun" w:eastAsia="SimSun" w:hAnsi="SimSun" w:cs="SimSun"/>
          <w:color w:val="000000"/>
          <w:spacing w:val="0"/>
          <w:w w:val="100"/>
          <w:position w:val="0"/>
        </w:rPr>
        <w:t>。</w:t>
      </w:r>
    </w:p>
    <w:p>
      <w:pPr>
        <w:pStyle w:val="Style32"/>
        <w:keepNext/>
        <w:keepLines/>
        <w:widowControl w:val="0"/>
        <w:shd w:val="clear" w:color="auto" w:fill="auto"/>
        <w:tabs>
          <w:tab w:pos="758" w:val="left"/>
        </w:tabs>
        <w:bidi w:val="0"/>
        <w:spacing w:before="0" w:after="0" w:line="311" w:lineRule="exact"/>
        <w:ind w:left="0" w:right="0" w:firstLine="38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w:t>
        <w:tab/>
        <w:t>支付业务</w:t>
      </w:r>
      <w:bookmarkEnd w:id="160"/>
      <w:bookmarkEnd w:id="161"/>
      <w:bookmarkEnd w:id="163"/>
    </w:p>
    <w:p>
      <w:pPr>
        <w:pStyle w:val="Style35"/>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5.1</w:t>
      </w:r>
      <w:r>
        <w:rPr>
          <w:color w:val="000000"/>
          <w:spacing w:val="0"/>
          <w:w w:val="100"/>
          <w:position w:val="0"/>
        </w:rPr>
        <w:t>南京银石</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南京银石专门从事支付领域的软件产品开发和技术服务工作，目前支付产品和解决方案适用范围涵盖 了酒店、餐饮、百货零售、旅游景区等行业。银石产品还包括预付费卡后台主机系统以及支付转接平台和 增值业务系统，目前都得到广泛的应用。南京银石也开发了石基支付平台，为商户提供集银行卡、预付卡、 支付宝、微信等支付方式于一体的全方位、一体化的支付解决方案，满足商户更安全、更方便，更准确的 支付受理需求。</w:t>
      </w:r>
    </w:p>
    <w:p>
      <w:pPr>
        <w:pStyle w:val="Style3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报告期内，南京银石新增立项</w:t>
      </w:r>
      <w:r>
        <w:rPr>
          <w:rFonts w:ascii="Times New Roman" w:eastAsia="Times New Roman" w:hAnsi="Times New Roman" w:cs="Times New Roman"/>
          <w:color w:val="000000"/>
          <w:spacing w:val="0"/>
          <w:w w:val="100"/>
          <w:position w:val="0"/>
        </w:rPr>
        <w:t>424</w:t>
      </w:r>
      <w:r>
        <w:rPr>
          <w:color w:val="000000"/>
          <w:spacing w:val="0"/>
          <w:w w:val="100"/>
          <w:position w:val="0"/>
        </w:rPr>
        <w:t>个，其中软件产品类项目</w:t>
      </w:r>
      <w:r>
        <w:rPr>
          <w:rFonts w:ascii="Times New Roman" w:eastAsia="Times New Roman" w:hAnsi="Times New Roman" w:cs="Times New Roman"/>
          <w:color w:val="000000"/>
          <w:spacing w:val="0"/>
          <w:w w:val="100"/>
          <w:position w:val="0"/>
        </w:rPr>
        <w:t>162</w:t>
      </w:r>
      <w:r>
        <w:rPr>
          <w:color w:val="000000"/>
          <w:spacing w:val="0"/>
          <w:w w:val="100"/>
          <w:position w:val="0"/>
        </w:rPr>
        <w:t>个，技术服务类项目</w:t>
      </w:r>
      <w:r>
        <w:rPr>
          <w:rFonts w:ascii="Times New Roman" w:eastAsia="Times New Roman" w:hAnsi="Times New Roman" w:cs="Times New Roman"/>
          <w:color w:val="000000"/>
          <w:spacing w:val="0"/>
          <w:w w:val="100"/>
          <w:position w:val="0"/>
        </w:rPr>
        <w:t>232</w:t>
      </w:r>
      <w:r>
        <w:rPr>
          <w:color w:val="000000"/>
          <w:spacing w:val="0"/>
          <w:w w:val="100"/>
          <w:position w:val="0"/>
        </w:rPr>
        <w:t>个，支付平台 及</w:t>
      </w:r>
      <w:r>
        <w:rPr>
          <w:rFonts w:ascii="Times New Roman" w:eastAsia="Times New Roman" w:hAnsi="Times New Roman" w:cs="Times New Roman"/>
          <w:color w:val="000000"/>
          <w:spacing w:val="0"/>
          <w:w w:val="100"/>
          <w:position w:val="0"/>
        </w:rPr>
        <w:t>SaaS</w:t>
      </w:r>
      <w:r>
        <w:rPr>
          <w:color w:val="000000"/>
          <w:spacing w:val="0"/>
          <w:w w:val="100"/>
          <w:position w:val="0"/>
        </w:rPr>
        <w:t>类项目</w:t>
      </w:r>
      <w:r>
        <w:rPr>
          <w:rFonts w:ascii="Times New Roman" w:eastAsia="Times New Roman" w:hAnsi="Times New Roman" w:cs="Times New Roman"/>
          <w:color w:val="000000"/>
          <w:spacing w:val="0"/>
          <w:w w:val="100"/>
          <w:position w:val="0"/>
        </w:rPr>
        <w:t>19</w:t>
      </w:r>
      <w:r>
        <w:rPr>
          <w:color w:val="000000"/>
          <w:spacing w:val="0"/>
          <w:w w:val="100"/>
          <w:position w:val="0"/>
        </w:rPr>
        <w:t>个，纯硬件销售项目</w:t>
      </w:r>
      <w:r>
        <w:rPr>
          <w:rFonts w:ascii="Times New Roman" w:eastAsia="Times New Roman" w:hAnsi="Times New Roman" w:cs="Times New Roman"/>
          <w:color w:val="000000"/>
          <w:spacing w:val="0"/>
          <w:w w:val="100"/>
          <w:position w:val="0"/>
        </w:rPr>
        <w:t>11</w:t>
      </w:r>
      <w:r>
        <w:rPr>
          <w:color w:val="000000"/>
          <w:spacing w:val="0"/>
          <w:w w:val="100"/>
          <w:position w:val="0"/>
        </w:rPr>
        <w:t>个。</w:t>
      </w:r>
    </w:p>
    <w:p>
      <w:pPr>
        <w:pStyle w:val="Style3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报告期内，南京银石新增软件服务类客户数量</w:t>
      </w:r>
      <w:r>
        <w:rPr>
          <w:rFonts w:ascii="Times New Roman" w:eastAsia="Times New Roman" w:hAnsi="Times New Roman" w:cs="Times New Roman"/>
          <w:color w:val="000000"/>
          <w:spacing w:val="0"/>
          <w:w w:val="100"/>
          <w:position w:val="0"/>
        </w:rPr>
        <w:t>297</w:t>
      </w:r>
      <w:r>
        <w:rPr>
          <w:color w:val="000000"/>
          <w:spacing w:val="0"/>
          <w:w w:val="100"/>
          <w:position w:val="0"/>
        </w:rPr>
        <w:t>个，截止报告期末软件服务类客户总数为</w:t>
      </w:r>
      <w:r>
        <w:rPr>
          <w:rFonts w:ascii="Times New Roman" w:eastAsia="Times New Roman" w:hAnsi="Times New Roman" w:cs="Times New Roman"/>
          <w:color w:val="000000"/>
          <w:spacing w:val="0"/>
          <w:w w:val="100"/>
          <w:position w:val="0"/>
        </w:rPr>
        <w:t>2982</w:t>
      </w:r>
      <w:r>
        <w:rPr>
          <w:color w:val="000000"/>
          <w:spacing w:val="0"/>
          <w:w w:val="100"/>
          <w:position w:val="0"/>
        </w:rPr>
        <w:t>个； 支付平台及</w:t>
      </w:r>
      <w:r>
        <w:rPr>
          <w:rFonts w:ascii="Times New Roman" w:eastAsia="Times New Roman" w:hAnsi="Times New Roman" w:cs="Times New Roman"/>
          <w:color w:val="000000"/>
          <w:spacing w:val="0"/>
          <w:w w:val="100"/>
          <w:position w:val="0"/>
        </w:rPr>
        <w:t>SaaS</w:t>
      </w:r>
      <w:r>
        <w:rPr>
          <w:color w:val="000000"/>
          <w:spacing w:val="0"/>
          <w:w w:val="100"/>
          <w:position w:val="0"/>
        </w:rPr>
        <w:t>业务新增客户数量</w:t>
      </w:r>
      <w:r>
        <w:rPr>
          <w:rFonts w:ascii="Times New Roman" w:eastAsia="Times New Roman" w:hAnsi="Times New Roman" w:cs="Times New Roman"/>
          <w:color w:val="000000"/>
          <w:spacing w:val="0"/>
          <w:w w:val="100"/>
          <w:position w:val="0"/>
        </w:rPr>
        <w:t>329</w:t>
      </w:r>
      <w:r>
        <w:rPr>
          <w:color w:val="000000"/>
          <w:spacing w:val="0"/>
          <w:w w:val="100"/>
          <w:position w:val="0"/>
        </w:rPr>
        <w:t>个，截止报告期末平台服务客户</w:t>
      </w:r>
      <w:r>
        <w:rPr>
          <w:rFonts w:ascii="Times New Roman" w:eastAsia="Times New Roman" w:hAnsi="Times New Roman" w:cs="Times New Roman"/>
          <w:color w:val="000000"/>
          <w:spacing w:val="0"/>
          <w:w w:val="100"/>
          <w:position w:val="0"/>
        </w:rPr>
        <w:t>3353</w:t>
      </w:r>
      <w:r>
        <w:rPr>
          <w:color w:val="000000"/>
          <w:spacing w:val="0"/>
          <w:w w:val="100"/>
          <w:position w:val="0"/>
        </w:rPr>
        <w:t>个，门店总数</w:t>
      </w:r>
      <w:r>
        <w:rPr>
          <w:rFonts w:ascii="Times New Roman" w:eastAsia="Times New Roman" w:hAnsi="Times New Roman" w:cs="Times New Roman"/>
          <w:color w:val="000000"/>
          <w:spacing w:val="0"/>
          <w:w w:val="100"/>
          <w:position w:val="0"/>
        </w:rPr>
        <w:t>47988</w:t>
      </w:r>
      <w:r>
        <w:rPr>
          <w:color w:val="000000"/>
          <w:spacing w:val="0"/>
          <w:w w:val="100"/>
          <w:position w:val="0"/>
        </w:rPr>
        <w:t>个，受疫情 影响同比</w:t>
      </w:r>
      <w:r>
        <w:rPr>
          <w:rFonts w:ascii="Times New Roman" w:eastAsia="Times New Roman" w:hAnsi="Times New Roman" w:cs="Times New Roman"/>
          <w:color w:val="000000"/>
          <w:spacing w:val="0"/>
          <w:w w:val="100"/>
          <w:position w:val="0"/>
        </w:rPr>
        <w:t>2019</w:t>
      </w:r>
      <w:r>
        <w:rPr>
          <w:color w:val="000000"/>
          <w:spacing w:val="0"/>
          <w:w w:val="100"/>
          <w:position w:val="0"/>
        </w:rPr>
        <w:t>年减少</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3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报告期内，南京银石酒店银行卡收单一体化</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w:t>
      </w:r>
      <w:r>
        <w:rPr>
          <w:color w:val="000000"/>
          <w:spacing w:val="0"/>
          <w:w w:val="100"/>
          <w:position w:val="0"/>
        </w:rPr>
        <w:t>业务新开通酒店</w:t>
      </w:r>
      <w:r>
        <w:rPr>
          <w:rFonts w:ascii="Times New Roman" w:eastAsia="Times New Roman" w:hAnsi="Times New Roman" w:cs="Times New Roman"/>
          <w:color w:val="000000"/>
          <w:spacing w:val="0"/>
          <w:w w:val="100"/>
          <w:position w:val="0"/>
        </w:rPr>
        <w:t>59</w:t>
      </w:r>
      <w:r>
        <w:rPr>
          <w:color w:val="000000"/>
          <w:spacing w:val="0"/>
          <w:w w:val="100"/>
          <w:position w:val="0"/>
        </w:rPr>
        <w:t>家，报告期末酒店用户合计</w:t>
      </w:r>
      <w:r>
        <w:rPr>
          <w:rFonts w:ascii="Times New Roman" w:eastAsia="Times New Roman" w:hAnsi="Times New Roman" w:cs="Times New Roman"/>
          <w:color w:val="000000"/>
          <w:spacing w:val="0"/>
          <w:w w:val="100"/>
          <w:position w:val="0"/>
        </w:rPr>
        <w:t xml:space="preserve">1488 </w:t>
      </w:r>
      <w:r>
        <w:rPr>
          <w:color w:val="000000"/>
          <w:spacing w:val="0"/>
          <w:w w:val="100"/>
          <w:position w:val="0"/>
        </w:rPr>
        <w:t>家，其中开通</w:t>
      </w:r>
      <w:r>
        <w:rPr>
          <w:rFonts w:ascii="Times New Roman" w:eastAsia="Times New Roman" w:hAnsi="Times New Roman" w:cs="Times New Roman"/>
          <w:color w:val="000000"/>
          <w:spacing w:val="0"/>
          <w:w w:val="100"/>
          <w:position w:val="0"/>
        </w:rPr>
        <w:t>DCC</w:t>
      </w:r>
      <w:r>
        <w:rPr>
          <w:color w:val="000000"/>
          <w:spacing w:val="0"/>
          <w:w w:val="100"/>
          <w:position w:val="0"/>
        </w:rPr>
        <w:t>交易的酒店用户</w:t>
      </w:r>
      <w:r>
        <w:rPr>
          <w:rFonts w:ascii="Times New Roman" w:eastAsia="Times New Roman" w:hAnsi="Times New Roman" w:cs="Times New Roman"/>
          <w:color w:val="000000"/>
          <w:spacing w:val="0"/>
          <w:w w:val="100"/>
          <w:position w:val="0"/>
        </w:rPr>
        <w:t>777</w:t>
      </w:r>
      <w:r>
        <w:rPr>
          <w:color w:val="000000"/>
          <w:spacing w:val="0"/>
          <w:w w:val="100"/>
          <w:position w:val="0"/>
        </w:rPr>
        <w:t>家；石基下一代支付平台</w:t>
      </w:r>
      <w:r>
        <w:rPr>
          <w:color w:val="000000"/>
          <w:spacing w:val="0"/>
          <w:w w:val="100"/>
          <w:position w:val="0"/>
        </w:rPr>
        <w:t>（</w:t>
      </w:r>
      <w:r>
        <w:rPr>
          <w:rFonts w:ascii="Times New Roman" w:eastAsia="Times New Roman" w:hAnsi="Times New Roman" w:cs="Times New Roman"/>
          <w:color w:val="000000"/>
          <w:spacing w:val="0"/>
          <w:w w:val="100"/>
          <w:position w:val="0"/>
        </w:rPr>
        <w:t>PNG</w:t>
      </w:r>
      <w:r>
        <w:rPr>
          <w:color w:val="000000"/>
          <w:spacing w:val="0"/>
          <w:w w:val="100"/>
          <w:position w:val="0"/>
        </w:rPr>
        <w:t>）</w:t>
      </w:r>
      <w:r>
        <w:rPr>
          <w:color w:val="000000"/>
          <w:spacing w:val="0"/>
          <w:w w:val="100"/>
          <w:position w:val="0"/>
        </w:rPr>
        <w:t>酒店用户合计</w:t>
      </w:r>
      <w:r>
        <w:rPr>
          <w:rFonts w:ascii="Times New Roman" w:eastAsia="Times New Roman" w:hAnsi="Times New Roman" w:cs="Times New Roman"/>
          <w:color w:val="000000"/>
          <w:spacing w:val="0"/>
          <w:w w:val="100"/>
          <w:position w:val="0"/>
        </w:rPr>
        <w:t>156</w:t>
      </w:r>
      <w:r>
        <w:rPr>
          <w:color w:val="000000"/>
          <w:spacing w:val="0"/>
          <w:w w:val="100"/>
          <w:position w:val="0"/>
        </w:rPr>
        <w:t>家。</w:t>
      </w:r>
    </w:p>
    <w:p>
      <w:pPr>
        <w:pStyle w:val="Style32"/>
        <w:keepNext/>
        <w:keepLines/>
        <w:widowControl w:val="0"/>
        <w:shd w:val="clear" w:color="auto" w:fill="auto"/>
        <w:tabs>
          <w:tab w:pos="758" w:val="left"/>
        </w:tabs>
        <w:bidi w:val="0"/>
        <w:spacing w:before="0" w:after="0" w:line="311" w:lineRule="exact"/>
        <w:ind w:left="0" w:right="0" w:firstLine="38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6</w:t>
      </w:r>
      <w:bookmarkEnd w:id="166"/>
      <w:r>
        <w:rPr>
          <w:color w:val="000000"/>
          <w:spacing w:val="0"/>
          <w:w w:val="100"/>
          <w:position w:val="0"/>
        </w:rPr>
        <w:t>、</w:t>
        <w:tab/>
        <w:t>旅游休闲信息系统业务</w:t>
      </w:r>
      <w:bookmarkEnd w:id="164"/>
      <w:bookmarkEnd w:id="165"/>
      <w:bookmarkEnd w:id="167"/>
    </w:p>
    <w:p>
      <w:pPr>
        <w:pStyle w:val="Style35"/>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6.1</w:t>
      </w:r>
      <w:r>
        <w:rPr>
          <w:color w:val="000000"/>
          <w:spacing w:val="0"/>
          <w:w w:val="100"/>
          <w:position w:val="0"/>
        </w:rPr>
        <w:t>石基环企</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石基环企一直致力于为大型主题公园、景区旅游小镇等复合型业态文化旅游目的地提供整体信息化管 理解决方案。报告期内，石基环企新增客户</w:t>
      </w:r>
      <w:r>
        <w:rPr>
          <w:rFonts w:ascii="Times New Roman" w:eastAsia="Times New Roman" w:hAnsi="Times New Roman" w:cs="Times New Roman"/>
          <w:color w:val="000000"/>
          <w:spacing w:val="0"/>
          <w:w w:val="100"/>
          <w:position w:val="0"/>
        </w:rPr>
        <w:t>22</w:t>
      </w:r>
      <w:r>
        <w:rPr>
          <w:color w:val="000000"/>
          <w:spacing w:val="0"/>
          <w:w w:val="100"/>
          <w:position w:val="0"/>
        </w:rPr>
        <w:t>个，累计客户数量逾</w:t>
      </w:r>
      <w:r>
        <w:rPr>
          <w:rFonts w:ascii="Times New Roman" w:eastAsia="Times New Roman" w:hAnsi="Times New Roman" w:cs="Times New Roman"/>
          <w:color w:val="000000"/>
          <w:spacing w:val="0"/>
          <w:w w:val="100"/>
          <w:position w:val="0"/>
        </w:rPr>
        <w:t>415</w:t>
      </w:r>
      <w:r>
        <w:rPr>
          <w:color w:val="000000"/>
          <w:spacing w:val="0"/>
          <w:w w:val="100"/>
          <w:position w:val="0"/>
        </w:rPr>
        <w:t>个。项目大部分是由集团化商业地 产公司投资兴建的文旅类项目。技术开发方面，石基环企研发并上线了一整套疫情防控解决方案，为景区 提供了实名制入园，分时预约、非接触式测温人脸检票系统、医码通等多个产品；此外，还在以微信小程 序为核心的电商平台、全新的</w:t>
      </w:r>
      <w:r>
        <w:rPr>
          <w:rFonts w:ascii="Times New Roman" w:eastAsia="Times New Roman" w:hAnsi="Times New Roman" w:cs="Times New Roman"/>
          <w:color w:val="000000"/>
          <w:spacing w:val="0"/>
          <w:w w:val="100"/>
          <w:position w:val="0"/>
        </w:rPr>
        <w:t>BS</w:t>
      </w:r>
      <w:r>
        <w:rPr>
          <w:color w:val="000000"/>
          <w:spacing w:val="0"/>
          <w:w w:val="100"/>
          <w:position w:val="0"/>
        </w:rPr>
        <w:t>架构的餐饮系统以及冰雪系统、票务系统、剧院系统等方面进行了研发。</w:t>
      </w:r>
    </w:p>
    <w:p>
      <w:pPr>
        <w:pStyle w:val="Style32"/>
        <w:keepNext/>
        <w:keepLines/>
        <w:widowControl w:val="0"/>
        <w:shd w:val="clear" w:color="auto" w:fill="auto"/>
        <w:tabs>
          <w:tab w:pos="753" w:val="left"/>
        </w:tabs>
        <w:bidi w:val="0"/>
        <w:spacing w:before="0" w:after="0" w:line="311" w:lineRule="exact"/>
        <w:ind w:left="0" w:right="0" w:firstLine="38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7</w:t>
      </w:r>
      <w:bookmarkEnd w:id="170"/>
      <w:r>
        <w:rPr>
          <w:color w:val="000000"/>
          <w:spacing w:val="0"/>
          <w:w w:val="100"/>
          <w:position w:val="0"/>
        </w:rPr>
        <w:t>、</w:t>
        <w:tab/>
        <w:t>第三方硬件配套业务</w:t>
      </w:r>
      <w:bookmarkEnd w:id="168"/>
      <w:bookmarkEnd w:id="169"/>
      <w:bookmarkEnd w:id="171"/>
    </w:p>
    <w:p>
      <w:pPr>
        <w:pStyle w:val="Style35"/>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7.1</w:t>
      </w:r>
      <w:r>
        <w:rPr>
          <w:color w:val="000000"/>
          <w:spacing w:val="0"/>
          <w:w w:val="100"/>
          <w:position w:val="0"/>
        </w:rPr>
        <w:t>中电器件</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公司全资子公司中电器件的主营业务为石基信息软件业务所配套的第三方硬件业务。报告期内，中电 器件新增客户</w:t>
      </w:r>
      <w:r>
        <w:rPr>
          <w:rFonts w:ascii="Times New Roman" w:eastAsia="Times New Roman" w:hAnsi="Times New Roman" w:cs="Times New Roman"/>
          <w:color w:val="000000"/>
          <w:spacing w:val="0"/>
          <w:w w:val="100"/>
          <w:position w:val="0"/>
        </w:rPr>
        <w:t>1203</w:t>
      </w:r>
      <w:r>
        <w:rPr>
          <w:color w:val="000000"/>
          <w:spacing w:val="0"/>
          <w:w w:val="100"/>
          <w:position w:val="0"/>
        </w:rPr>
        <w:t>家，交易客户</w:t>
      </w:r>
      <w:r>
        <w:rPr>
          <w:rFonts w:ascii="Times New Roman" w:eastAsia="Times New Roman" w:hAnsi="Times New Roman" w:cs="Times New Roman"/>
          <w:color w:val="000000"/>
          <w:spacing w:val="0"/>
          <w:w w:val="100"/>
          <w:position w:val="0"/>
        </w:rPr>
        <w:t>3151</w:t>
      </w:r>
      <w:r>
        <w:rPr>
          <w:color w:val="000000"/>
          <w:spacing w:val="0"/>
          <w:w w:val="100"/>
          <w:position w:val="0"/>
        </w:rPr>
        <w:t>家。</w:t>
      </w:r>
    </w:p>
    <w:p>
      <w:pPr>
        <w:pStyle w:val="Style32"/>
        <w:keepNext/>
        <w:keepLines/>
        <w:widowControl w:val="0"/>
        <w:shd w:val="clear" w:color="auto" w:fill="auto"/>
        <w:tabs>
          <w:tab w:pos="758" w:val="left"/>
        </w:tabs>
        <w:bidi w:val="0"/>
        <w:spacing w:before="0" w:after="0" w:line="311" w:lineRule="exact"/>
        <w:ind w:left="0" w:right="0" w:firstLine="38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8</w:t>
      </w:r>
      <w:bookmarkEnd w:id="174"/>
      <w:r>
        <w:rPr>
          <w:color w:val="000000"/>
          <w:spacing w:val="0"/>
          <w:w w:val="100"/>
          <w:position w:val="0"/>
        </w:rPr>
        <w:t>、</w:t>
        <w:tab/>
        <w:t>自主智能商用设备业务</w:t>
      </w:r>
      <w:bookmarkEnd w:id="172"/>
      <w:bookmarkEnd w:id="173"/>
      <w:bookmarkEnd w:id="175"/>
    </w:p>
    <w:p>
      <w:pPr>
        <w:pStyle w:val="Style35"/>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8.1</w:t>
      </w:r>
      <w:r>
        <w:rPr>
          <w:color w:val="000000"/>
          <w:spacing w:val="0"/>
          <w:w w:val="100"/>
          <w:position w:val="0"/>
        </w:rPr>
        <w:t>海信智能商用</w:t>
      </w:r>
    </w:p>
    <w:p>
      <w:pPr>
        <w:pStyle w:val="Style35"/>
        <w:keepNext w:val="0"/>
        <w:keepLines w:val="0"/>
        <w:widowControl w:val="0"/>
        <w:shd w:val="clear" w:color="auto" w:fill="auto"/>
        <w:bidi w:val="0"/>
        <w:spacing w:before="0" w:after="700" w:line="311" w:lineRule="exact"/>
        <w:ind w:left="0" w:right="0" w:firstLine="0"/>
        <w:jc w:val="left"/>
      </w:pPr>
      <w:r>
        <w:rPr>
          <w:color w:val="000000"/>
          <w:spacing w:val="0"/>
          <w:w w:val="100"/>
          <w:position w:val="0"/>
        </w:rPr>
        <w:t>海信智能商用专业从事商业信息化系统整体解决方案建设，为企业用户提供软件、硬件、咨询、运维及各 类终端产品等综合信息化解决方案。智能商用商业信息系统解决方案覆盖了商业软件、商用收款机、金融 支付、体育彩票终端等产业。其</w:t>
      </w:r>
      <w:r>
        <w:rPr>
          <w:rFonts w:ascii="Times New Roman" w:eastAsia="Times New Roman" w:hAnsi="Times New Roman" w:cs="Times New Roman"/>
          <w:color w:val="000000"/>
          <w:spacing w:val="0"/>
          <w:w w:val="100"/>
          <w:position w:val="0"/>
        </w:rPr>
        <w:t>POS</w:t>
      </w:r>
      <w:r>
        <w:rPr>
          <w:color w:val="000000"/>
          <w:spacing w:val="0"/>
          <w:w w:val="100"/>
          <w:position w:val="0"/>
        </w:rPr>
        <w:t>机连续</w:t>
      </w:r>
      <w:r>
        <w:rPr>
          <w:rFonts w:ascii="Times New Roman" w:eastAsia="Times New Roman" w:hAnsi="Times New Roman" w:cs="Times New Roman"/>
          <w:color w:val="000000"/>
          <w:spacing w:val="0"/>
          <w:w w:val="100"/>
          <w:position w:val="0"/>
        </w:rPr>
        <w:t>14</w:t>
      </w:r>
      <w:r>
        <w:rPr>
          <w:color w:val="000000"/>
          <w:spacing w:val="0"/>
          <w:w w:val="100"/>
          <w:position w:val="0"/>
        </w:rPr>
        <w:t>年国内</w:t>
      </w:r>
      <w:r>
        <w:rPr>
          <w:rFonts w:ascii="Times New Roman" w:eastAsia="Times New Roman" w:hAnsi="Times New Roman" w:cs="Times New Roman"/>
          <w:color w:val="000000"/>
          <w:spacing w:val="0"/>
          <w:w w:val="100"/>
          <w:position w:val="0"/>
        </w:rPr>
        <w:t>POS</w:t>
      </w:r>
      <w:r>
        <w:rPr>
          <w:color w:val="000000"/>
          <w:spacing w:val="0"/>
          <w:w w:val="100"/>
          <w:position w:val="0"/>
        </w:rPr>
        <w:t>机品牌市场占有率第一。报告期内商业硬件客户 新增门店</w:t>
      </w:r>
      <w:r>
        <w:rPr>
          <w:rFonts w:ascii="Times New Roman" w:eastAsia="Times New Roman" w:hAnsi="Times New Roman" w:cs="Times New Roman"/>
          <w:color w:val="000000"/>
          <w:spacing w:val="0"/>
          <w:w w:val="100"/>
          <w:position w:val="0"/>
        </w:rPr>
        <w:t>8000</w:t>
      </w:r>
      <w:r>
        <w:rPr>
          <w:color w:val="000000"/>
          <w:spacing w:val="0"/>
          <w:w w:val="100"/>
          <w:position w:val="0"/>
        </w:rPr>
        <w:t>家，报告期末商业硬件客户门店总数约</w:t>
      </w:r>
      <w:r>
        <w:rPr>
          <w:rFonts w:ascii="Times New Roman" w:eastAsia="Times New Roman" w:hAnsi="Times New Roman" w:cs="Times New Roman"/>
          <w:color w:val="000000"/>
          <w:spacing w:val="0"/>
          <w:w w:val="100"/>
          <w:position w:val="0"/>
        </w:rPr>
        <w:t>36.5</w:t>
      </w:r>
      <w:r>
        <w:rPr>
          <w:color w:val="000000"/>
          <w:spacing w:val="0"/>
          <w:w w:val="100"/>
          <w:position w:val="0"/>
        </w:rPr>
        <w:t>万家；报告期内商业软件类客户新增门店</w:t>
      </w:r>
      <w:r>
        <w:rPr>
          <w:rFonts w:ascii="Times New Roman" w:eastAsia="Times New Roman" w:hAnsi="Times New Roman" w:cs="Times New Roman"/>
          <w:color w:val="000000"/>
          <w:spacing w:val="0"/>
          <w:w w:val="100"/>
          <w:position w:val="0"/>
        </w:rPr>
        <w:t>6000</w:t>
      </w:r>
      <w:r>
        <w:rPr>
          <w:color w:val="000000"/>
          <w:spacing w:val="0"/>
          <w:w w:val="100"/>
          <w:position w:val="0"/>
        </w:rPr>
        <w:t>家, 报告期末软件客户门店总数约</w:t>
      </w:r>
      <w:r>
        <w:rPr>
          <w:rFonts w:ascii="Times New Roman" w:eastAsia="Times New Roman" w:hAnsi="Times New Roman" w:cs="Times New Roman"/>
          <w:color w:val="000000"/>
          <w:spacing w:val="0"/>
          <w:w w:val="100"/>
          <w:position w:val="0"/>
        </w:rPr>
        <w:t>20.8</w:t>
      </w:r>
      <w:r>
        <w:rPr>
          <w:color w:val="000000"/>
          <w:spacing w:val="0"/>
          <w:w w:val="100"/>
          <w:position w:val="0"/>
        </w:rPr>
        <w:t>万家。</w:t>
      </w:r>
    </w:p>
    <w:p>
      <w:pPr>
        <w:pStyle w:val="Style24"/>
        <w:keepNext/>
        <w:keepLines/>
        <w:widowControl w:val="0"/>
        <w:shd w:val="clear" w:color="auto" w:fill="auto"/>
        <w:bidi w:val="0"/>
        <w:spacing w:before="0" w:after="38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二</w:t>
      </w:r>
      <w:bookmarkEnd w:id="178"/>
      <w:r>
        <w:rPr>
          <w:color w:val="000000"/>
          <w:spacing w:val="0"/>
          <w:w w:val="100"/>
          <w:position w:val="0"/>
        </w:rPr>
        <w:t>、主营业务分析</w:t>
      </w:r>
      <w:bookmarkEnd w:id="176"/>
      <w:bookmarkEnd w:id="177"/>
      <w:bookmarkEnd w:id="179"/>
    </w:p>
    <w:p>
      <w:pPr>
        <w:pStyle w:val="Style32"/>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、概述</w:t>
      </w:r>
      <w:bookmarkEnd w:id="180"/>
      <w:bookmarkEnd w:id="181"/>
      <w:bookmarkEnd w:id="18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32"/>
        <w:keepNext/>
        <w:keepLines/>
        <w:widowControl w:val="0"/>
        <w:shd w:val="clear" w:color="auto" w:fill="auto"/>
        <w:bidi w:val="0"/>
        <w:spacing w:before="0" w:after="38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、收入与成本</w:t>
      </w:r>
      <w:bookmarkEnd w:id="184"/>
      <w:bookmarkEnd w:id="185"/>
      <w:bookmarkEnd w:id="187"/>
    </w:p>
    <w:p>
      <w:pPr>
        <w:pStyle w:val="Style32"/>
        <w:keepNext/>
        <w:keepLines/>
        <w:widowControl w:val="0"/>
        <w:shd w:val="clear" w:color="auto" w:fill="auto"/>
        <w:bidi w:val="0"/>
        <w:spacing w:before="0" w:after="380" w:line="240" w:lineRule="auto"/>
        <w:ind w:left="0" w:right="0" w:firstLine="0"/>
        <w:jc w:val="both"/>
      </w:pPr>
      <w:bookmarkStart w:id="184" w:name="bookmark184"/>
      <w:bookmarkStart w:id="185" w:name="bookmark185"/>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84"/>
      <w:bookmarkEnd w:id="185"/>
      <w:bookmarkEnd w:id="189"/>
    </w:p>
    <w:p>
      <w:pPr>
        <w:pStyle w:val="Style28"/>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单位：元</w:t>
      </w:r>
    </w:p>
    <w:tbl>
      <w:tblPr>
        <w:tblOverlap w:val="never"/>
        <w:jc w:val="center"/>
        <w:tblLayout w:type="fixed"/>
      </w:tblPr>
      <w:tblGrid>
        <w:gridCol w:w="1992"/>
        <w:gridCol w:w="1560"/>
        <w:gridCol w:w="1560"/>
        <w:gridCol w:w="1560"/>
        <w:gridCol w:w="1560"/>
        <w:gridCol w:w="1354"/>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3,662,540,116.40</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r>
      <w:tr>
        <w:trPr>
          <w:trHeight w:val="403" w:hRule="exact"/>
        </w:trPr>
        <w:tc>
          <w:tcPr>
            <w:gridSpan w:val="6"/>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计算机应用及服务行业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2,158,737,074.19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2,561,249,535.25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商品批发与贸易行业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1,158,582,814.38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1,101,290,581.15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gridSpan w:val="6"/>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859,725,496.77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1,104,544,031.11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社会餐饮信息管理系统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93,211,836.28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101,755,524.76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88,151,295.64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138,544,352.75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商业流通管理系统业务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631,372,521.59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664,703,935.21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旅游休闲系统业务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44,961,561.16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45,761,506.59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第三方硬件配套业务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1,151,250,064.70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1,091,640,620.27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自有智能商用设备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431,530,272.64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496,110,358.85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19,479,786.86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r>
      <w:tr>
        <w:trPr>
          <w:trHeight w:val="403" w:hRule="exact"/>
        </w:trPr>
        <w:tc>
          <w:tcPr>
            <w:gridSpan w:val="6"/>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中国大陆地区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2,908,278,900.92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3,238,536,779.41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中国大陆地区以外的国 家和地区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409,040,987.65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424,003,336.99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994"/>
        <w:gridCol w:w="1099"/>
        <w:gridCol w:w="1099"/>
        <w:gridCol w:w="1085"/>
        <w:gridCol w:w="1003"/>
        <w:gridCol w:w="1008"/>
        <w:gridCol w:w="998"/>
        <w:gridCol w:w="1090"/>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599,912,830.57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765,774,875.38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871,416,133.59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1,080,216,049.03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701,308,267.40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815,106,854.21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920,476,581.53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1,225,648,413.26</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37,899,130.66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20,045,932.35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30,099,180.57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-155,624,257.38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72,916,620.42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135,477,885.60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113,349,839.83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46,273,207.83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5"/>
        <w:keepNext w:val="0"/>
        <w:keepLines w:val="0"/>
        <w:widowControl w:val="0"/>
        <w:shd w:val="clear" w:color="auto" w:fill="auto"/>
        <w:tabs>
          <w:tab w:pos="1021" w:val="left"/>
        </w:tabs>
        <w:bidi w:val="0"/>
        <w:spacing w:before="0" w:after="0" w:line="319" w:lineRule="exact"/>
        <w:ind w:left="0" w:right="0" w:firstLine="440"/>
        <w:jc w:val="both"/>
      </w:pPr>
      <w:bookmarkStart w:id="190" w:name="bookmark190"/>
      <w:r>
        <w:rPr>
          <w:color w:val="000000"/>
          <w:spacing w:val="0"/>
          <w:w w:val="100"/>
          <w:position w:val="0"/>
        </w:rPr>
        <w:t>（</w:t>
      </w:r>
      <w:bookmarkEnd w:id="190"/>
      <w:r>
        <w:rPr>
          <w:rFonts w:ascii="Times New Roman" w:eastAsia="Times New Roman" w:hAnsi="Times New Roman" w:cs="Times New Roman"/>
          <w:color w:val="000000"/>
          <w:spacing w:val="0"/>
          <w:w w:val="100"/>
          <w:position w:val="0"/>
        </w:rPr>
        <w:t>1</w:t>
      </w:r>
      <w:r>
        <w:rPr>
          <w:color w:val="000000"/>
          <w:spacing w:val="0"/>
          <w:w w:val="100"/>
          <w:position w:val="0"/>
        </w:rPr>
        <w:t>）</w:t>
        <w:tab/>
        <w:t>公司本报告期与</w:t>
      </w:r>
      <w:r>
        <w:rPr>
          <w:rFonts w:ascii="Times New Roman" w:eastAsia="Times New Roman" w:hAnsi="Times New Roman" w:cs="Times New Roman"/>
          <w:color w:val="000000"/>
          <w:spacing w:val="0"/>
          <w:w w:val="100"/>
          <w:position w:val="0"/>
        </w:rPr>
        <w:t>2019</w:t>
      </w:r>
      <w:r>
        <w:rPr>
          <w:color w:val="000000"/>
          <w:spacing w:val="0"/>
          <w:w w:val="100"/>
          <w:position w:val="0"/>
        </w:rPr>
        <w:t>年度相比，收入变化幅度不大；净利润变化幅度较大的原因，一为公司受 疫情影响净利润下降;二为公司</w:t>
      </w:r>
      <w:r>
        <w:rPr>
          <w:rFonts w:ascii="Times New Roman" w:eastAsia="Times New Roman" w:hAnsi="Times New Roman" w:cs="Times New Roman"/>
          <w:color w:val="000000"/>
          <w:spacing w:val="0"/>
          <w:w w:val="100"/>
          <w:position w:val="0"/>
        </w:rPr>
        <w:t>10</w:t>
      </w:r>
      <w:r>
        <w:rPr>
          <w:color w:val="000000"/>
          <w:spacing w:val="0"/>
          <w:w w:val="100"/>
          <w:position w:val="0"/>
        </w:rPr>
        <w:t>月处置子公司</w:t>
      </w:r>
      <w:r>
        <w:rPr>
          <w:rFonts w:ascii="Times New Roman" w:eastAsia="Times New Roman" w:hAnsi="Times New Roman" w:cs="Times New Roman"/>
          <w:color w:val="000000"/>
          <w:spacing w:val="0"/>
          <w:w w:val="100"/>
          <w:position w:val="0"/>
        </w:rPr>
        <w:t xml:space="preserve">S tayNTouch </w:t>
      </w:r>
      <w:r>
        <w:rPr>
          <w:rFonts w:ascii="Times New Roman" w:eastAsia="Times New Roman" w:hAnsi="Times New Roman" w:cs="Times New Roman"/>
          <w:color w:val="000000"/>
          <w:spacing w:val="0"/>
          <w:w w:val="100"/>
          <w:position w:val="0"/>
        </w:rPr>
        <w:t>100%</w:t>
      </w:r>
      <w:r>
        <w:rPr>
          <w:color w:val="000000"/>
          <w:spacing w:val="0"/>
          <w:w w:val="100"/>
          <w:position w:val="0"/>
        </w:rPr>
        <w:t>股权产生的投资损失</w:t>
      </w:r>
      <w:r>
        <w:rPr>
          <w:rFonts w:ascii="Times New Roman" w:eastAsia="Times New Roman" w:hAnsi="Times New Roman" w:cs="Times New Roman"/>
          <w:color w:val="000000"/>
          <w:spacing w:val="0"/>
          <w:w w:val="100"/>
          <w:position w:val="0"/>
        </w:rPr>
        <w:t>16894.74</w:t>
      </w:r>
      <w:r>
        <w:rPr>
          <w:color w:val="000000"/>
          <w:spacing w:val="0"/>
          <w:w w:val="100"/>
          <w:position w:val="0"/>
        </w:rPr>
        <w:t>万元共同导 致；</w:t>
      </w:r>
    </w:p>
    <w:p>
      <w:pPr>
        <w:pStyle w:val="Style35"/>
        <w:keepNext w:val="0"/>
        <w:keepLines w:val="0"/>
        <w:widowControl w:val="0"/>
        <w:shd w:val="clear" w:color="auto" w:fill="auto"/>
        <w:tabs>
          <w:tab w:pos="488" w:val="left"/>
        </w:tabs>
        <w:bidi w:val="0"/>
        <w:spacing w:before="0" w:after="0" w:line="319" w:lineRule="exact"/>
        <w:ind w:left="0" w:right="0" w:firstLine="440"/>
        <w:jc w:val="both"/>
      </w:pPr>
      <w:bookmarkStart w:id="191" w:name="bookmark191"/>
      <w:r>
        <w:rPr>
          <w:color w:val="000000"/>
          <w:spacing w:val="0"/>
          <w:w w:val="100"/>
          <w:position w:val="0"/>
        </w:rPr>
        <w:t>（</w:t>
      </w:r>
      <w:bookmarkEnd w:id="191"/>
      <w:r>
        <w:rPr>
          <w:rFonts w:ascii="Times New Roman" w:eastAsia="Times New Roman" w:hAnsi="Times New Roman" w:cs="Times New Roman"/>
          <w:color w:val="000000"/>
          <w:spacing w:val="0"/>
          <w:w w:val="100"/>
          <w:position w:val="0"/>
        </w:rPr>
        <w:t>2</w:t>
      </w:r>
      <w:r>
        <w:rPr>
          <w:color w:val="000000"/>
          <w:spacing w:val="0"/>
          <w:w w:val="100"/>
          <w:position w:val="0"/>
        </w:rPr>
        <w:t>）</w:t>
        <w:tab/>
        <w:t>公司本报告期一至三季度利润季度性经营趋势与往年相比基本一致，具有持续性，无较大波动</w:t>
        <w:br w:type="page"/>
      </w:r>
      <w:r>
        <w:rPr>
          <w:color w:val="000000"/>
          <w:spacing w:val="0"/>
          <w:w w:val="100"/>
          <w:position w:val="0"/>
        </w:rPr>
        <w:t>风险；本报告期第四季度净利润较前三季度下降较多，主要系处置子公司</w:t>
      </w:r>
      <w:r>
        <w:rPr>
          <w:rFonts w:ascii="Times New Roman" w:eastAsia="Times New Roman" w:hAnsi="Times New Roman" w:cs="Times New Roman"/>
          <w:color w:val="000000"/>
          <w:spacing w:val="0"/>
          <w:w w:val="100"/>
          <w:position w:val="0"/>
        </w:rPr>
        <w:t xml:space="preserve">S tayNTouch </w:t>
      </w:r>
      <w:r>
        <w:rPr>
          <w:rFonts w:ascii="Times New Roman" w:eastAsia="Times New Roman" w:hAnsi="Times New Roman" w:cs="Times New Roman"/>
          <w:color w:val="000000"/>
          <w:spacing w:val="0"/>
          <w:w w:val="100"/>
          <w:position w:val="0"/>
        </w:rPr>
        <w:t>100%</w:t>
      </w:r>
      <w:r>
        <w:rPr>
          <w:color w:val="000000"/>
          <w:spacing w:val="0"/>
          <w:w w:val="100"/>
          <w:position w:val="0"/>
        </w:rPr>
        <w:t>股权产生的投 资损失</w:t>
      </w:r>
      <w:r>
        <w:rPr>
          <w:rFonts w:ascii="Times New Roman" w:eastAsia="Times New Roman" w:hAnsi="Times New Roman" w:cs="Times New Roman"/>
          <w:color w:val="000000"/>
          <w:spacing w:val="0"/>
          <w:w w:val="100"/>
          <w:position w:val="0"/>
        </w:rPr>
        <w:t>16894.74</w:t>
      </w:r>
      <w:r>
        <w:rPr>
          <w:color w:val="000000"/>
          <w:spacing w:val="0"/>
          <w:w w:val="100"/>
          <w:position w:val="0"/>
        </w:rPr>
        <w:t>万元；</w:t>
      </w:r>
    </w:p>
    <w:p>
      <w:pPr>
        <w:pStyle w:val="Style35"/>
        <w:keepNext w:val="0"/>
        <w:keepLines w:val="0"/>
        <w:widowControl w:val="0"/>
        <w:shd w:val="clear" w:color="auto" w:fill="auto"/>
        <w:bidi w:val="0"/>
        <w:spacing w:before="0" w:after="260" w:line="314" w:lineRule="exact"/>
        <w:ind w:left="0" w:right="0" w:firstLine="440"/>
        <w:jc w:val="left"/>
      </w:pPr>
      <w:r>
        <w:rPr>
          <w:color w:val="000000"/>
          <w:spacing w:val="0"/>
          <w:w w:val="100"/>
          <w:position w:val="0"/>
        </w:rPr>
        <w:t>除此上述特殊事项外，本公司的收入及利润的季节性差异将会越来越小，经营特征具有持续性，无较 大波动风险。</w:t>
      </w:r>
    </w:p>
    <w:p>
      <w:pPr>
        <w:pStyle w:val="Style32"/>
        <w:keepNext/>
        <w:keepLines/>
        <w:widowControl w:val="0"/>
        <w:numPr>
          <w:ilvl w:val="0"/>
          <w:numId w:val="5"/>
        </w:numPr>
        <w:shd w:val="clear" w:color="auto" w:fill="auto"/>
        <w:bidi w:val="0"/>
        <w:spacing w:before="0" w:after="400" w:line="314" w:lineRule="exact"/>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92"/>
      <w:bookmarkEnd w:id="193"/>
      <w:bookmarkEnd w:id="19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计算机应用及服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2,158,737,074.19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860,723,042.85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商品批发与贸易 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1,158,582,814.38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1,103,785,618.65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03" w:hRule="exact"/>
        </w:trPr>
        <w:tc>
          <w:tcPr>
            <w:gridSpan w:val="7"/>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酒店信息管理系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859,725,496.77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311,056,187.72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社会餐饮信息管 理系统业务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93,211,836.28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27,180,683.47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88,151,295.64</w:t>
            </w:r>
            <w:r>
              <w:rPr>
                <w:rFonts w:ascii="Times New Roman" w:eastAsia="Times New Roman" w:hAnsi="Times New Roman" w:cs="Times New Roman"/>
                <w:color w:val="FF0000"/>
                <w:spacing w:val="0"/>
                <w:w w:val="100"/>
                <w:position w:val="0"/>
                <w:vertAlign w:val="superscript"/>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24,923,055.47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商业流通管理系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631,372,521.59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187,259,122.05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旅游休闲系统业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44,961,561.16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18,799,924.03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第三方硬件配套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1,151,250,064.70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1,100,090,020.10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自有智能商用设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431,530,272.64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284,767,339.29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10,432,329.37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r>
      <w:tr>
        <w:trPr>
          <w:trHeight w:val="403" w:hRule="exact"/>
        </w:trPr>
        <w:tc>
          <w:tcPr>
            <w:gridSpan w:val="7"/>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中国大陆地区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2,908,278,900.92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1,733,500,130.98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中国大陆地区以 外的国家和地区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409,040,987.65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231,008,530.52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支付系统业务收入较上年同期下降</w:t>
      </w:r>
      <w:r>
        <w:rPr>
          <w:rFonts w:ascii="Times New Roman" w:eastAsia="Times New Roman" w:hAnsi="Times New Roman" w:cs="Times New Roman"/>
          <w:color w:val="000000"/>
          <w:spacing w:val="0"/>
          <w:w w:val="100"/>
          <w:position w:val="0"/>
          <w:sz w:val="18"/>
          <w:szCs w:val="18"/>
        </w:rPr>
        <w:t>36.37%</w:t>
      </w:r>
      <w:r>
        <w:rPr>
          <w:color w:val="000000"/>
          <w:spacing w:val="0"/>
          <w:w w:val="100"/>
          <w:position w:val="0"/>
        </w:rPr>
        <w:t>,主要系本期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年主要客户中行和农行因为疫情影响，相应的投入大幅</w:t>
      </w:r>
    </w:p>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减少导致收入大幅下降。</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r>
        <w:br w:type="page"/>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96"/>
      <w:bookmarkEnd w:id="197"/>
      <w:bookmarkEnd w:id="199"/>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92"/>
        <w:gridCol w:w="2270"/>
        <w:gridCol w:w="710"/>
        <w:gridCol w:w="1416"/>
        <w:gridCol w:w="1594"/>
        <w:gridCol w:w="1603"/>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计算机应用及服务行业</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维护、安装、服务收入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423,552,423.08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521,613,729.39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9,784,090.11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9,829,825.98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软件、硬件、技术开发收入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1,725,400,561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2,029,805,979.88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商品批发与贸易行业</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商品批发收入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1,151,250,064.7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1,091,640,620.27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7,332,749.68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9,649,960.88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r>
    </w:tbl>
    <w:p>
      <w:pPr>
        <w:pStyle w:val="Style28"/>
        <w:keepNext w:val="0"/>
        <w:keepLines w:val="0"/>
        <w:widowControl w:val="0"/>
        <w:shd w:val="clear" w:color="auto" w:fill="auto"/>
        <w:bidi w:val="0"/>
        <w:spacing w:before="0" w:after="120" w:line="350"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220" w:line="40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200"/>
      <w:bookmarkEnd w:id="201"/>
      <w:bookmarkEnd w:id="203"/>
    </w:p>
    <w:p>
      <w:pPr>
        <w:pStyle w:val="Style28"/>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万元的正在履行的合同情况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350" w:lineRule="exact"/>
        <w:ind w:left="0" w:right="0" w:firstLine="0"/>
        <w:jc w:val="both"/>
      </w:pPr>
      <w:r>
        <w:rPr>
          <w:color w:val="000000"/>
          <w:spacing w:val="0"/>
          <w:w w:val="100"/>
          <w:position w:val="0"/>
        </w:rPr>
        <w:t>合同及订单签署与执行情况</w:t>
      </w:r>
    </w:p>
    <w:tbl>
      <w:tblPr>
        <w:tblOverlap w:val="never"/>
        <w:jc w:val="center"/>
        <w:tblLayout w:type="fixed"/>
      </w:tblPr>
      <w:tblGrid>
        <w:gridCol w:w="1157"/>
        <w:gridCol w:w="1560"/>
        <w:gridCol w:w="994"/>
        <w:gridCol w:w="989"/>
        <w:gridCol w:w="1138"/>
        <w:gridCol w:w="989"/>
        <w:gridCol w:w="2078"/>
        <w:gridCol w:w="878"/>
      </w:tblGrid>
      <w:tr>
        <w:trPr>
          <w:trHeight w:val="10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分产品</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40" w:line="288" w:lineRule="exact"/>
              <w:ind w:left="0" w:right="0" w:firstLine="0"/>
              <w:jc w:val="left"/>
              <w:rPr>
                <w:sz w:val="17"/>
                <w:szCs w:val="17"/>
              </w:rPr>
            </w:pPr>
            <w:r>
              <w:rPr>
                <w:color w:val="000000"/>
                <w:spacing w:val="0"/>
                <w:w w:val="100"/>
                <w:position w:val="0"/>
                <w:sz w:val="17"/>
                <w:szCs w:val="17"/>
              </w:rPr>
              <w:t>本年比上年 订单增减幅</w:t>
            </w:r>
          </w:p>
          <w:p>
            <w:pPr>
              <w:pStyle w:val="Style20"/>
              <w:keepNext w:val="0"/>
              <w:keepLines w:val="0"/>
              <w:widowControl w:val="0"/>
              <w:shd w:val="clear" w:color="auto" w:fill="auto"/>
              <w:bidi w:val="0"/>
              <w:spacing w:before="0" w:after="0" w:line="288" w:lineRule="exact"/>
              <w:ind w:left="0" w:right="0" w:firstLine="220"/>
              <w:jc w:val="left"/>
              <w:rPr>
                <w:sz w:val="17"/>
                <w:szCs w:val="17"/>
              </w:rPr>
            </w:pPr>
            <w:r>
              <w:rPr>
                <w:color w:val="000000"/>
                <w:spacing w:val="0"/>
                <w:w w:val="100"/>
                <w:position w:val="0"/>
                <w:sz w:val="17"/>
                <w:szCs w:val="17"/>
              </w:rPr>
              <w:t>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本期订单 完成比例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增减幅度超过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的原</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跨期执</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行情况</w:t>
            </w:r>
          </w:p>
        </w:tc>
      </w:tr>
      <w:tr>
        <w:trPr>
          <w:trHeight w:val="4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酒店信息系 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新签合同及订单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978</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维护合同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4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社会餐饮信 息系统业务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新签合同及订单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维护合同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103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支付系统业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新签合同及订 单、分店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主要系石基敏付</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年新 增批量入网结算的小微 商户较多。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维护合同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0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商业流通管 理系统业务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新签合同及订 单、分店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 xml:space="preserve">主要系深圳思迅的小订 单增长加多，本期新增 </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sz w:val="17"/>
                <w:szCs w:val="17"/>
              </w:rPr>
              <w:t>多份小额订单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w:t>
            </w:r>
          </w:p>
        </w:tc>
      </w:tr>
      <w:tr>
        <w:trPr>
          <w:trHeight w:val="43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维护合同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430</w:t>
            </w:r>
          </w:p>
        </w:tc>
      </w:tr>
    </w:tbl>
    <w:p>
      <w:pPr>
        <w:spacing w:lineRule="exact" w:line="1"/>
        <w:rPr>
          <w:sz w:val="2"/>
          <w:szCs w:val="2"/>
        </w:rPr>
      </w:pPr>
      <w:r>
        <w:br w:type="page"/>
      </w:r>
    </w:p>
    <w:tbl>
      <w:tblPr>
        <w:tblOverlap w:val="never"/>
        <w:jc w:val="center"/>
        <w:tblLayout w:type="fixed"/>
      </w:tblPr>
      <w:tblGrid>
        <w:gridCol w:w="1157"/>
        <w:gridCol w:w="1560"/>
        <w:gridCol w:w="994"/>
        <w:gridCol w:w="989"/>
        <w:gridCol w:w="1138"/>
        <w:gridCol w:w="989"/>
        <w:gridCol w:w="2078"/>
        <w:gridCol w:w="878"/>
      </w:tblGrid>
      <w:tr>
        <w:trPr>
          <w:trHeight w:val="73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旅游休闲系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新签合同及订</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单、分店</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-16.22%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维护合同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主要系苏州环企本期新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增维护合同较多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自主智能商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新签合同及订</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单、分店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维护合同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第三方硬件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配套业务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新签合同及订单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维护合同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新签合同及订单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维护合同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48250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bl>
    <w:p>
      <w:pPr>
        <w:pStyle w:val="Style28"/>
        <w:keepNext w:val="0"/>
        <w:keepLines w:val="0"/>
        <w:widowControl w:val="0"/>
        <w:shd w:val="clear" w:color="auto" w:fill="auto"/>
        <w:tabs>
          <w:tab w:pos="533" w:val="left"/>
        </w:tabs>
        <w:bidi w:val="0"/>
        <w:spacing w:before="0" w:after="0" w:line="312" w:lineRule="exact"/>
        <w:ind w:left="0" w:right="0" w:firstLine="0"/>
        <w:jc w:val="left"/>
      </w:pPr>
      <w:bookmarkStart w:id="204" w:name="bookmark204"/>
      <w:r>
        <w:rPr>
          <w:color w:val="000000"/>
          <w:spacing w:val="0"/>
          <w:w w:val="100"/>
          <w:position w:val="0"/>
        </w:rPr>
        <w:t>（</w:t>
      </w:r>
      <w:bookmarkEnd w:id="2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酒店信息系统：本年度新签的合同及订单（本处是指新签署的而非确认收入的）包括北京总公司酒店系统集成合同及 订单（不包括星巴克、</w:t>
      </w:r>
      <w:r>
        <w:rPr>
          <w:rFonts w:ascii="Times New Roman" w:eastAsia="Times New Roman" w:hAnsi="Times New Roman" w:cs="Times New Roman"/>
          <w:color w:val="000000"/>
          <w:spacing w:val="0"/>
          <w:w w:val="100"/>
          <w:position w:val="0"/>
          <w:sz w:val="18"/>
          <w:szCs w:val="18"/>
        </w:rPr>
        <w:t>COSTA</w:t>
      </w:r>
      <w:r>
        <w:rPr>
          <w:color w:val="000000"/>
          <w:spacing w:val="0"/>
          <w:w w:val="100"/>
          <w:position w:val="0"/>
        </w:rPr>
        <w:t>、</w:t>
      </w:r>
      <w:r>
        <w:rPr>
          <w:color w:val="000000"/>
          <w:spacing w:val="0"/>
          <w:w w:val="100"/>
          <w:position w:val="0"/>
        </w:rPr>
        <w:t>汉堡王和所有社会餐饮客户合同，社会餐饮客户是指该客户没有提供客房住宿服务或没有 与酒店管理系统接口的独立餐厅）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软件子公司酒店系统集成合同及订单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西软酒店系统集成合同及订单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北海维护与酒店系 统集成合同及订单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石基昆仑的全部业务；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航信华谊公司的酒店系统合同；</w:t>
      </w:r>
    </w:p>
    <w:p>
      <w:pPr>
        <w:pStyle w:val="Style28"/>
        <w:keepNext w:val="0"/>
        <w:keepLines w:val="0"/>
        <w:widowControl w:val="0"/>
        <w:shd w:val="clear" w:color="auto" w:fill="auto"/>
        <w:bidi w:val="0"/>
        <w:spacing w:before="0" w:after="0" w:line="312" w:lineRule="exact"/>
        <w:ind w:left="0" w:right="0" w:firstLine="0"/>
        <w:jc w:val="left"/>
      </w:pPr>
      <w:bookmarkStart w:id="205" w:name="bookmark205"/>
      <w:r>
        <w:rPr>
          <w:color w:val="000000"/>
          <w:spacing w:val="0"/>
          <w:w w:val="100"/>
          <w:position w:val="0"/>
        </w:rPr>
        <w:t>（</w:t>
      </w:r>
      <w:bookmarkEnd w:id="2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社会餐饮信息系统：本年度新签署的合同及订单（本处是指新签署的而非确认收入的）包括</w:t>
      </w:r>
      <w:r>
        <w:rPr>
          <w:rFonts w:ascii="Times New Roman" w:eastAsia="Times New Roman" w:hAnsi="Times New Roman" w:cs="Times New Roman"/>
          <w:color w:val="000000"/>
          <w:spacing w:val="0"/>
          <w:w w:val="100"/>
          <w:position w:val="0"/>
          <w:sz w:val="18"/>
          <w:szCs w:val="18"/>
        </w:rPr>
        <w:t>MICROS</w:t>
      </w:r>
      <w:r>
        <w:rPr>
          <w:color w:val="000000"/>
          <w:spacing w:val="0"/>
          <w:w w:val="100"/>
          <w:position w:val="0"/>
        </w:rPr>
        <w:t>社会餐饮客户合 同及订单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北京现化的社会餐饮合同及订单（不包括软子代签的合同）</w:t>
      </w:r>
      <w:r>
        <w:rPr>
          <w:rFonts w:ascii="Times New Roman" w:eastAsia="Times New Roman" w:hAnsi="Times New Roman" w:cs="Times New Roman"/>
          <w:color w:val="000000"/>
          <w:spacing w:val="0"/>
          <w:w w:val="100"/>
          <w:position w:val="0"/>
          <w:sz w:val="18"/>
          <w:szCs w:val="18"/>
        </w:rPr>
        <w:t>+Inftasys</w:t>
      </w:r>
      <w:r>
        <w:rPr>
          <w:color w:val="000000"/>
          <w:spacing w:val="0"/>
          <w:w w:val="100"/>
          <w:position w:val="0"/>
        </w:rPr>
        <w:t>境外的业务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海外业务最好也分成酒店业和社 会餐饮业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上海正品的餐饮合同及订单；</w:t>
      </w:r>
    </w:p>
    <w:p>
      <w:pPr>
        <w:pStyle w:val="Style28"/>
        <w:keepNext w:val="0"/>
        <w:keepLines w:val="0"/>
        <w:widowControl w:val="0"/>
        <w:shd w:val="clear" w:color="auto" w:fill="auto"/>
        <w:bidi w:val="0"/>
        <w:spacing w:before="0" w:after="0" w:line="312" w:lineRule="exact"/>
        <w:ind w:left="0" w:right="0" w:firstLine="0"/>
        <w:jc w:val="left"/>
      </w:pPr>
      <w:bookmarkStart w:id="206" w:name="bookmark206"/>
      <w:r>
        <w:rPr>
          <w:color w:val="000000"/>
          <w:spacing w:val="0"/>
          <w:w w:val="100"/>
          <w:position w:val="0"/>
        </w:rPr>
        <w:t>（</w:t>
      </w:r>
      <w:bookmarkEnd w:id="2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支付系统业务：本年度新签署的合同及订单（本处是指新签署的而非确认收入的）包括南京银石合同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北海</w:t>
      </w:r>
      <w:r>
        <w:rPr>
          <w:rFonts w:ascii="Times New Roman" w:eastAsia="Times New Roman" w:hAnsi="Times New Roman" w:cs="Times New Roman"/>
          <w:color w:val="000000"/>
          <w:spacing w:val="0"/>
          <w:w w:val="100"/>
          <w:position w:val="0"/>
          <w:sz w:val="18"/>
          <w:szCs w:val="18"/>
        </w:rPr>
        <w:t>PGS</w:t>
      </w:r>
      <w:r>
        <w:rPr>
          <w:color w:val="000000"/>
          <w:spacing w:val="0"/>
          <w:w w:val="100"/>
          <w:position w:val="0"/>
        </w:rPr>
        <w:t>合同；</w:t>
      </w:r>
    </w:p>
    <w:p>
      <w:pPr>
        <w:pStyle w:val="Style28"/>
        <w:keepNext w:val="0"/>
        <w:keepLines w:val="0"/>
        <w:widowControl w:val="0"/>
        <w:shd w:val="clear" w:color="auto" w:fill="auto"/>
        <w:bidi w:val="0"/>
        <w:spacing w:before="0" w:after="120" w:line="322" w:lineRule="exact"/>
        <w:ind w:left="0" w:right="0" w:firstLine="0"/>
        <w:jc w:val="left"/>
      </w:pPr>
      <w:bookmarkStart w:id="207" w:name="bookmark207"/>
      <w:r>
        <w:rPr>
          <w:color w:val="000000"/>
          <w:spacing w:val="0"/>
          <w:w w:val="100"/>
          <w:position w:val="0"/>
        </w:rPr>
        <w:t>（</w:t>
      </w:r>
      <w:bookmarkEnd w:id="20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商业流通管理系统业务：本年度新签署的合同及订单（本处是指新签署的而非确认收入的）包括深圳万国思迅、长京 益康、富基公司、上海时运等的合同；</w:t>
      </w:r>
    </w:p>
    <w:p>
      <w:pPr>
        <w:pStyle w:val="Style28"/>
        <w:keepNext w:val="0"/>
        <w:keepLines w:val="0"/>
        <w:widowControl w:val="0"/>
        <w:shd w:val="clear" w:color="auto" w:fill="auto"/>
        <w:bidi w:val="0"/>
        <w:spacing w:before="0" w:after="120" w:line="240" w:lineRule="auto"/>
        <w:ind w:left="0" w:right="0" w:firstLine="0"/>
        <w:jc w:val="left"/>
      </w:pPr>
      <w:bookmarkStart w:id="208" w:name="bookmark208"/>
      <w:r>
        <w:rPr>
          <w:rFonts w:ascii="Times New Roman" w:eastAsia="Times New Roman" w:hAnsi="Times New Roman" w:cs="Times New Roman"/>
          <w:color w:val="000000"/>
          <w:spacing w:val="0"/>
          <w:w w:val="100"/>
          <w:position w:val="0"/>
          <w:sz w:val="18"/>
          <w:szCs w:val="18"/>
        </w:rPr>
        <w:t>（</w:t>
      </w:r>
      <w:bookmarkEnd w:id="208"/>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旅游休闲系统：本年度新签署的合同及订单（本处是指新签署的而非确认收入的）包括石基环企；</w:t>
      </w:r>
    </w:p>
    <w:p>
      <w:pPr>
        <w:pStyle w:val="Style28"/>
        <w:keepNext w:val="0"/>
        <w:keepLines w:val="0"/>
        <w:widowControl w:val="0"/>
        <w:shd w:val="clear" w:color="auto" w:fill="auto"/>
        <w:tabs>
          <w:tab w:pos="437" w:val="left"/>
        </w:tabs>
        <w:bidi w:val="0"/>
        <w:spacing w:before="0" w:after="120" w:line="240" w:lineRule="auto"/>
        <w:ind w:left="0" w:right="0" w:firstLine="0"/>
        <w:jc w:val="left"/>
      </w:pPr>
      <w:bookmarkStart w:id="209" w:name="bookmark209"/>
      <w:r>
        <w:rPr>
          <w:rFonts w:ascii="Times New Roman" w:eastAsia="Times New Roman" w:hAnsi="Times New Roman" w:cs="Times New Roman"/>
          <w:color w:val="000000"/>
          <w:spacing w:val="0"/>
          <w:w w:val="100"/>
          <w:position w:val="0"/>
          <w:sz w:val="18"/>
          <w:szCs w:val="18"/>
        </w:rPr>
        <w:t>（</w:t>
      </w:r>
      <w:bookmarkEnd w:id="20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自主智能商用设备：本年度新签署的合同及订单（本处是指新签署的而非确认收入的）包括苏州青岛海信;</w:t>
      </w:r>
    </w:p>
    <w:p>
      <w:pPr>
        <w:pStyle w:val="Style28"/>
        <w:keepNext w:val="0"/>
        <w:keepLines w:val="0"/>
        <w:widowControl w:val="0"/>
        <w:shd w:val="clear" w:color="auto" w:fill="auto"/>
        <w:bidi w:val="0"/>
        <w:spacing w:before="0" w:after="120" w:line="240" w:lineRule="auto"/>
        <w:ind w:left="0" w:right="0" w:firstLine="0"/>
        <w:jc w:val="left"/>
      </w:pPr>
      <w:bookmarkStart w:id="210" w:name="bookmark210"/>
      <w:r>
        <w:rPr>
          <w:rFonts w:ascii="Times New Roman" w:eastAsia="Times New Roman" w:hAnsi="Times New Roman" w:cs="Times New Roman"/>
          <w:color w:val="000000"/>
          <w:spacing w:val="0"/>
          <w:w w:val="100"/>
          <w:position w:val="0"/>
          <w:sz w:val="18"/>
          <w:szCs w:val="18"/>
        </w:rPr>
        <w:t>（</w:t>
      </w:r>
      <w:bookmarkEnd w:id="210"/>
      <w:r>
        <w:rPr>
          <w:rFonts w:ascii="Times New Roman" w:eastAsia="Times New Roman" w:hAnsi="Times New Roman" w:cs="Times New Roman"/>
          <w:color w:val="000000"/>
          <w:spacing w:val="0"/>
          <w:w w:val="100"/>
          <w:position w:val="0"/>
          <w:sz w:val="18"/>
          <w:szCs w:val="18"/>
        </w:rPr>
        <w:t>7</w:t>
      </w:r>
      <w:r>
        <w:rPr>
          <w:color w:val="000000"/>
          <w:spacing w:val="0"/>
          <w:w w:val="100"/>
          <w:position w:val="0"/>
        </w:rPr>
        <w:t>） 第三方硬件配套业务：本年度新签署的合同及订单（本处是指新签署的而非确认收入的）包括中电器件。</w:t>
      </w:r>
    </w:p>
    <w:tbl>
      <w:tblPr>
        <w:tblOverlap w:val="never"/>
        <w:jc w:val="center"/>
        <w:tblLayout w:type="fixed"/>
      </w:tblPr>
      <w:tblGrid>
        <w:gridCol w:w="2141"/>
        <w:gridCol w:w="1133"/>
        <w:gridCol w:w="1133"/>
        <w:gridCol w:w="1560"/>
        <w:gridCol w:w="1560"/>
        <w:gridCol w:w="994"/>
        <w:gridCol w:w="1248"/>
      </w:tblGrid>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分产品</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年大 额订单数量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额订单数量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年大额订单 总额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年大额订单 总额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大额订单 总额增长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大额订单占 全部订单日勺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268,247,284.75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386,090,481.07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社会餐饮信息系统业务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23,073,905.73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18,578,260.42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10,758,205.44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41,767,785.31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商业流通管理系统业务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303,310,665.90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355,137,992.97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旅游休闲系统业务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47,499,980.73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55,207,745.19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自主智能商用设备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20,401.65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211,171,083.46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第三方硬件配套业务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685,634,127.23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657,910,072.04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1,338,544,571.42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446,436,526.80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p>
      <w:pPr>
        <w:widowControl w:val="0"/>
        <w:spacing w:after="119" w:line="1" w:lineRule="exact"/>
      </w:pPr>
    </w:p>
    <w:p>
      <w:pPr>
        <w:pStyle w:val="Style28"/>
        <w:keepNext w:val="0"/>
        <w:keepLines w:val="0"/>
        <w:widowControl w:val="0"/>
        <w:shd w:val="clear" w:color="auto" w:fill="auto"/>
        <w:tabs>
          <w:tab w:pos="437" w:val="left"/>
        </w:tabs>
        <w:bidi w:val="0"/>
        <w:spacing w:before="0" w:after="120" w:line="240" w:lineRule="auto"/>
        <w:ind w:left="0" w:right="0" w:firstLine="0"/>
        <w:jc w:val="left"/>
      </w:pPr>
      <w:bookmarkStart w:id="211" w:name="bookmark211"/>
      <w:r>
        <w:rPr>
          <w:rFonts w:ascii="Times New Roman" w:eastAsia="Times New Roman" w:hAnsi="Times New Roman" w:cs="Times New Roman"/>
          <w:color w:val="000000"/>
          <w:spacing w:val="0"/>
          <w:w w:val="100"/>
          <w:position w:val="0"/>
          <w:sz w:val="18"/>
          <w:szCs w:val="18"/>
        </w:rPr>
        <w:t>（</w:t>
      </w:r>
      <w:bookmarkEnd w:id="2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酒店信息系统业务的大额订单是指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万元以上合同；</w:t>
      </w:r>
    </w:p>
    <w:p>
      <w:pPr>
        <w:pStyle w:val="Style28"/>
        <w:keepNext w:val="0"/>
        <w:keepLines w:val="0"/>
        <w:widowControl w:val="0"/>
        <w:shd w:val="clear" w:color="auto" w:fill="auto"/>
        <w:tabs>
          <w:tab w:pos="437" w:val="left"/>
        </w:tabs>
        <w:bidi w:val="0"/>
        <w:spacing w:before="0" w:after="120" w:line="240" w:lineRule="auto"/>
        <w:ind w:left="0" w:right="0" w:firstLine="0"/>
        <w:jc w:val="left"/>
      </w:pPr>
      <w:bookmarkStart w:id="212" w:name="bookmark212"/>
      <w:r>
        <w:rPr>
          <w:rFonts w:ascii="Times New Roman" w:eastAsia="Times New Roman" w:hAnsi="Times New Roman" w:cs="Times New Roman"/>
          <w:color w:val="000000"/>
          <w:spacing w:val="0"/>
          <w:w w:val="100"/>
          <w:position w:val="0"/>
          <w:sz w:val="18"/>
          <w:szCs w:val="18"/>
        </w:rPr>
        <w:t>（</w:t>
      </w:r>
      <w:bookmarkEnd w:id="2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社会餐饮信息系统业务的大额订单是指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万元以上合同；</w:t>
      </w:r>
      <w:r>
        <w:br w:type="page"/>
      </w:r>
    </w:p>
    <w:p>
      <w:pPr>
        <w:pStyle w:val="Style28"/>
        <w:keepNext w:val="0"/>
        <w:keepLines w:val="0"/>
        <w:widowControl w:val="0"/>
        <w:numPr>
          <w:ilvl w:val="0"/>
          <w:numId w:val="5"/>
        </w:numPr>
        <w:shd w:val="clear" w:color="auto" w:fill="auto"/>
        <w:tabs>
          <w:tab w:pos="445" w:val="left"/>
        </w:tabs>
        <w:bidi w:val="0"/>
        <w:spacing w:before="0" w:after="140" w:line="240" w:lineRule="auto"/>
        <w:ind w:left="0" w:right="0" w:firstLine="0"/>
        <w:jc w:val="both"/>
      </w:pPr>
      <w:bookmarkStart w:id="213" w:name="bookmark213"/>
      <w:bookmarkEnd w:id="213"/>
      <w:r>
        <w:rPr>
          <w:color w:val="000000"/>
          <w:spacing w:val="0"/>
          <w:w w:val="100"/>
          <w:position w:val="0"/>
        </w:rPr>
        <w:t>支付系统业务的大额订单是指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万元以上的合同；</w:t>
      </w:r>
    </w:p>
    <w:p>
      <w:pPr>
        <w:pStyle w:val="Style28"/>
        <w:keepNext w:val="0"/>
        <w:keepLines w:val="0"/>
        <w:widowControl w:val="0"/>
        <w:numPr>
          <w:ilvl w:val="0"/>
          <w:numId w:val="5"/>
        </w:numPr>
        <w:shd w:val="clear" w:color="auto" w:fill="auto"/>
        <w:tabs>
          <w:tab w:pos="445" w:val="left"/>
        </w:tabs>
        <w:bidi w:val="0"/>
        <w:spacing w:before="0" w:after="140" w:line="240" w:lineRule="auto"/>
        <w:ind w:left="0" w:right="0" w:firstLine="0"/>
        <w:jc w:val="both"/>
      </w:pPr>
      <w:bookmarkStart w:id="214" w:name="bookmark214"/>
      <w:bookmarkEnd w:id="214"/>
      <w:r>
        <w:rPr>
          <w:color w:val="000000"/>
          <w:spacing w:val="0"/>
          <w:w w:val="100"/>
          <w:position w:val="0"/>
        </w:rPr>
        <w:t>商业流通管理系统业务的大额订单是指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万元以上的合同;</w:t>
      </w:r>
    </w:p>
    <w:p>
      <w:pPr>
        <w:pStyle w:val="Style28"/>
        <w:keepNext w:val="0"/>
        <w:keepLines w:val="0"/>
        <w:widowControl w:val="0"/>
        <w:numPr>
          <w:ilvl w:val="0"/>
          <w:numId w:val="5"/>
        </w:numPr>
        <w:shd w:val="clear" w:color="auto" w:fill="auto"/>
        <w:tabs>
          <w:tab w:pos="445" w:val="left"/>
        </w:tabs>
        <w:bidi w:val="0"/>
        <w:spacing w:before="0" w:after="140" w:line="240" w:lineRule="auto"/>
        <w:ind w:left="0" w:right="0" w:firstLine="0"/>
        <w:jc w:val="both"/>
      </w:pPr>
      <w:bookmarkStart w:id="215" w:name="bookmark215"/>
      <w:bookmarkEnd w:id="215"/>
      <w:r>
        <w:rPr>
          <w:color w:val="000000"/>
          <w:spacing w:val="0"/>
          <w:w w:val="100"/>
          <w:position w:val="0"/>
        </w:rPr>
        <w:t>旅游休闲系统业务的大额订单是指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万元以上的合同；</w:t>
      </w:r>
    </w:p>
    <w:p>
      <w:pPr>
        <w:pStyle w:val="Style28"/>
        <w:keepNext w:val="0"/>
        <w:keepLines w:val="0"/>
        <w:widowControl w:val="0"/>
        <w:numPr>
          <w:ilvl w:val="0"/>
          <w:numId w:val="5"/>
        </w:numPr>
        <w:shd w:val="clear" w:color="auto" w:fill="auto"/>
        <w:tabs>
          <w:tab w:pos="445" w:val="left"/>
        </w:tabs>
        <w:bidi w:val="0"/>
        <w:spacing w:before="0" w:after="140" w:line="240" w:lineRule="auto"/>
        <w:ind w:left="0" w:right="0" w:firstLine="0"/>
        <w:jc w:val="both"/>
      </w:pPr>
      <w:bookmarkStart w:id="216" w:name="bookmark216"/>
      <w:bookmarkEnd w:id="216"/>
      <w:r>
        <w:rPr>
          <w:color w:val="000000"/>
          <w:spacing w:val="0"/>
          <w:w w:val="100"/>
          <w:position w:val="0"/>
        </w:rPr>
        <w:t>自主智能商用设备大额订单是指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万以上的合同；</w:t>
      </w:r>
    </w:p>
    <w:p>
      <w:pPr>
        <w:pStyle w:val="Style28"/>
        <w:keepNext w:val="0"/>
        <w:keepLines w:val="0"/>
        <w:widowControl w:val="0"/>
        <w:numPr>
          <w:ilvl w:val="0"/>
          <w:numId w:val="5"/>
        </w:numPr>
        <w:shd w:val="clear" w:color="auto" w:fill="auto"/>
        <w:tabs>
          <w:tab w:pos="445" w:val="left"/>
        </w:tabs>
        <w:bidi w:val="0"/>
        <w:spacing w:before="0" w:after="380" w:line="240" w:lineRule="auto"/>
        <w:ind w:left="0" w:right="0" w:firstLine="0"/>
        <w:jc w:val="both"/>
      </w:pPr>
      <w:bookmarkStart w:id="217" w:name="bookmark217"/>
      <w:bookmarkEnd w:id="217"/>
      <w:r>
        <w:rPr>
          <w:color w:val="000000"/>
          <w:spacing w:val="0"/>
          <w:w w:val="100"/>
          <w:position w:val="0"/>
        </w:rPr>
        <w:t>第三方硬件配套业务大额订单是指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万以上的合同。</w:t>
      </w:r>
    </w:p>
    <w:p>
      <w:pPr>
        <w:pStyle w:val="Style32"/>
        <w:keepNext/>
        <w:keepLines/>
        <w:widowControl w:val="0"/>
        <w:numPr>
          <w:ilvl w:val="0"/>
          <w:numId w:val="1"/>
        </w:numPr>
        <w:shd w:val="clear" w:color="auto" w:fill="auto"/>
        <w:bidi w:val="0"/>
        <w:spacing w:before="0" w:after="380" w:line="240" w:lineRule="auto"/>
        <w:ind w:left="0" w:right="0" w:firstLine="0"/>
        <w:jc w:val="both"/>
      </w:pPr>
      <w:bookmarkStart w:id="218" w:name="bookmark218"/>
      <w:bookmarkStart w:id="219" w:name="bookmark219"/>
      <w:bookmarkStart w:id="220" w:name="bookmark220"/>
      <w:bookmarkStart w:id="221" w:name="bookmark221"/>
      <w:bookmarkEnd w:id="220"/>
      <w:r>
        <w:rPr>
          <w:color w:val="000000"/>
          <w:spacing w:val="0"/>
          <w:w w:val="100"/>
          <w:position w:val="0"/>
        </w:rPr>
        <w:t>营业成本构成</w:t>
      </w:r>
      <w:bookmarkEnd w:id="218"/>
      <w:bookmarkEnd w:id="219"/>
      <w:bookmarkEnd w:id="221"/>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计算机应用及服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573,116,562.51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808,703,003.24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计算机应用及服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280,869,749.52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270,251,341.67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计算机应用及服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6,736,730.82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5,916,969.59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商品批发与贸易 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商品批发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1,100,090,020.10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979,351,581.71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商品批发与贸易 行业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3,695,598.55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3,697,309.06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610"/>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311,056,187.72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443,022,561.41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社会餐饮信息管理系统业 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27,180,683.47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30,621,385.18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24,923,055.47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30,943,323.20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商业流通系统业务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187,259,122.05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227,711,393.25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旅游休闲系统业务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18,799,924.03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16,176,131.11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第三方硬件配套业务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1,100,090,020.10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979,351,581.71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自有智能商用设备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284,767,339.29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330,479,550.76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10,432,329.37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9,614,278.65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r>
        <w:br w:type="page"/>
      </w:r>
    </w:p>
    <w:p>
      <w:pPr>
        <w:pStyle w:val="Style28"/>
        <w:keepNext w:val="0"/>
        <w:keepLines w:val="0"/>
        <w:widowControl w:val="0"/>
        <w:shd w:val="clear" w:color="auto" w:fill="auto"/>
        <w:bidi w:val="0"/>
        <w:spacing w:before="0" w:after="80" w:line="240" w:lineRule="auto"/>
        <w:ind w:left="0" w:right="58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573,116,562.51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808,703,003.24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280,869,749.52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270,251,341.67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商品批发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1,100,090,020.10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979,351,581.71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47.36%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14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w:t>
      </w:r>
      <w:bookmarkEnd w:id="22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222"/>
      <w:bookmarkEnd w:id="223"/>
      <w:bookmarkEnd w:id="225"/>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240" w:line="240" w:lineRule="auto"/>
        <w:ind w:left="0" w:right="0" w:firstLine="0"/>
        <w:jc w:val="left"/>
        <w:rPr>
          <w:sz w:val="22"/>
          <w:szCs w:val="22"/>
        </w:rPr>
      </w:pPr>
      <w:bookmarkStart w:id="226" w:name="bookmark226"/>
      <w:r>
        <w:rPr>
          <w:rFonts w:ascii="Times New Roman" w:eastAsia="Times New Roman" w:hAnsi="Times New Roman" w:cs="Times New Roman"/>
          <w:color w:val="000000"/>
          <w:spacing w:val="0"/>
          <w:w w:val="100"/>
          <w:position w:val="0"/>
          <w:sz w:val="22"/>
          <w:szCs w:val="22"/>
        </w:rPr>
        <w:t>1</w:t>
      </w:r>
      <w:bookmarkEnd w:id="226"/>
      <w:r>
        <w:rPr>
          <w:color w:val="000000"/>
          <w:spacing w:val="0"/>
          <w:w w:val="100"/>
          <w:position w:val="0"/>
          <w:sz w:val="22"/>
          <w:szCs w:val="22"/>
        </w:rPr>
        <w:t>）非同一控制下企业合并</w:t>
      </w:r>
    </w:p>
    <w:p>
      <w:pPr>
        <w:pStyle w:val="Style35"/>
        <w:keepNext w:val="0"/>
        <w:keepLines w:val="0"/>
        <w:widowControl w:val="0"/>
        <w:numPr>
          <w:ilvl w:val="0"/>
          <w:numId w:val="7"/>
        </w:numPr>
        <w:shd w:val="clear" w:color="auto" w:fill="auto"/>
        <w:bidi w:val="0"/>
        <w:spacing w:before="0" w:after="140" w:line="240" w:lineRule="auto"/>
        <w:ind w:left="0" w:right="0" w:firstLine="0"/>
        <w:jc w:val="left"/>
        <w:rPr>
          <w:sz w:val="22"/>
          <w:szCs w:val="22"/>
        </w:rPr>
      </w:pPr>
      <w:bookmarkStart w:id="227" w:name="bookmark227"/>
      <w:bookmarkEnd w:id="227"/>
      <w:r>
        <w:rPr>
          <w:color w:val="000000"/>
          <w:spacing w:val="0"/>
          <w:w w:val="100"/>
          <w:position w:val="0"/>
          <w:sz w:val="22"/>
          <w:szCs w:val="22"/>
        </w:rPr>
        <w:t>本年发生的非同一控制下企业合并</w:t>
      </w:r>
    </w:p>
    <w:tbl>
      <w:tblPr>
        <w:tblOverlap w:val="never"/>
        <w:jc w:val="left"/>
        <w:tblLayout w:type="fixed"/>
      </w:tblPr>
      <w:tblGrid>
        <w:gridCol w:w="1147"/>
        <w:gridCol w:w="1133"/>
        <w:gridCol w:w="1277"/>
        <w:gridCol w:w="850"/>
        <w:gridCol w:w="706"/>
        <w:gridCol w:w="1138"/>
        <w:gridCol w:w="850"/>
        <w:gridCol w:w="1133"/>
        <w:gridCol w:w="1142"/>
      </w:tblGrid>
      <w:tr>
        <w:trPr>
          <w:trHeight w:val="979" w:hRule="exact"/>
        </w:trPr>
        <w:tc>
          <w:tcPr>
            <w:tcBorders>
              <w:top w:val="single" w:sz="4"/>
              <w:left w:val="single" w:sz="4"/>
            </w:tcBorders>
            <w:shd w:val="clear" w:color="auto" w:fill="D4D4D4"/>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rPr>
              <w:t>被购买方名称</w:t>
            </w:r>
          </w:p>
        </w:tc>
        <w:tc>
          <w:tcPr>
            <w:tcBorders>
              <w:top w:val="single" w:sz="4"/>
              <w:left w:val="single" w:sz="4"/>
            </w:tcBorders>
            <w:shd w:val="clear" w:color="auto" w:fill="D4D4D4"/>
            <w:vAlign w:val="top"/>
          </w:tcPr>
          <w:p>
            <w:pPr>
              <w:pStyle w:val="Style20"/>
              <w:keepNext w:val="0"/>
              <w:keepLines w:val="0"/>
              <w:widowControl w:val="0"/>
              <w:shd w:val="clear" w:color="auto" w:fill="auto"/>
              <w:bidi w:val="0"/>
              <w:spacing w:before="80" w:after="0" w:line="240" w:lineRule="auto"/>
              <w:ind w:left="0" w:right="0" w:firstLine="0"/>
              <w:jc w:val="right"/>
              <w:rPr>
                <w:sz w:val="17"/>
                <w:szCs w:val="17"/>
              </w:rPr>
            </w:pPr>
            <w:r>
              <w:rPr>
                <w:b/>
                <w:bCs/>
                <w:color w:val="000000"/>
                <w:spacing w:val="0"/>
                <w:w w:val="100"/>
                <w:position w:val="0"/>
                <w:sz w:val="17"/>
                <w:szCs w:val="17"/>
              </w:rPr>
              <w:t>股权取得时点</w:t>
            </w:r>
          </w:p>
        </w:tc>
        <w:tc>
          <w:tcPr>
            <w:tcBorders>
              <w:top w:val="single" w:sz="4"/>
              <w:left w:val="single" w:sz="4"/>
            </w:tcBorders>
            <w:shd w:val="clear" w:color="auto" w:fill="D4D4D4"/>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股权取得成本</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股权取得 比例 （</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D4D4D4"/>
            <w:vAlign w:val="top"/>
          </w:tcPr>
          <w:p>
            <w:pPr>
              <w:pStyle w:val="Style20"/>
              <w:keepNext w:val="0"/>
              <w:keepLines w:val="0"/>
              <w:widowControl w:val="0"/>
              <w:shd w:val="clear" w:color="auto" w:fill="auto"/>
              <w:bidi w:val="0"/>
              <w:spacing w:before="80" w:after="100" w:line="240" w:lineRule="auto"/>
              <w:ind w:left="0" w:right="0" w:firstLine="0"/>
              <w:jc w:val="center"/>
              <w:rPr>
                <w:sz w:val="17"/>
                <w:szCs w:val="17"/>
              </w:rPr>
            </w:pPr>
            <w:r>
              <w:rPr>
                <w:b/>
                <w:bCs/>
                <w:color w:val="000000"/>
                <w:spacing w:val="0"/>
                <w:w w:val="100"/>
                <w:position w:val="0"/>
                <w:sz w:val="17"/>
                <w:szCs w:val="17"/>
              </w:rPr>
              <w:t>股权取</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得方式</w:t>
            </w:r>
          </w:p>
        </w:tc>
        <w:tc>
          <w:tcPr>
            <w:tcBorders>
              <w:top w:val="single" w:sz="4"/>
              <w:left w:val="single" w:sz="4"/>
            </w:tcBorders>
            <w:shd w:val="clear" w:color="auto" w:fill="D4D4D4"/>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购买日</w:t>
            </w:r>
          </w:p>
        </w:tc>
        <w:tc>
          <w:tcPr>
            <w:tcBorders>
              <w:top w:val="single" w:sz="4"/>
              <w:left w:val="single" w:sz="4"/>
            </w:tcBorders>
            <w:shd w:val="clear" w:color="auto" w:fill="D4D4D4"/>
            <w:vAlign w:val="top"/>
          </w:tcPr>
          <w:p>
            <w:pPr>
              <w:pStyle w:val="Style20"/>
              <w:keepNext w:val="0"/>
              <w:keepLines w:val="0"/>
              <w:widowControl w:val="0"/>
              <w:shd w:val="clear" w:color="auto" w:fill="auto"/>
              <w:bidi w:val="0"/>
              <w:spacing w:before="0" w:after="0" w:line="298" w:lineRule="exact"/>
              <w:ind w:left="0" w:right="0" w:firstLine="0"/>
              <w:jc w:val="left"/>
              <w:rPr>
                <w:sz w:val="17"/>
                <w:szCs w:val="17"/>
              </w:rPr>
            </w:pPr>
            <w:r>
              <w:rPr>
                <w:b/>
                <w:bCs/>
                <w:color w:val="000000"/>
                <w:spacing w:val="0"/>
                <w:w w:val="100"/>
                <w:position w:val="0"/>
                <w:sz w:val="17"/>
                <w:szCs w:val="17"/>
              </w:rPr>
              <w:t>购买日的 确定依据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购买日至年末 被购买方的收 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right"/>
              <w:rPr>
                <w:sz w:val="17"/>
                <w:szCs w:val="17"/>
              </w:rPr>
            </w:pPr>
            <w:r>
              <w:rPr>
                <w:b/>
                <w:bCs/>
                <w:color w:val="000000"/>
                <w:spacing w:val="0"/>
                <w:w w:val="100"/>
                <w:position w:val="0"/>
                <w:sz w:val="17"/>
                <w:szCs w:val="17"/>
              </w:rPr>
              <w:t>购买日至年末 被购买方的净</w:t>
            </w:r>
          </w:p>
          <w:p>
            <w:pPr>
              <w:pStyle w:val="Style20"/>
              <w:keepNext w:val="0"/>
              <w:keepLines w:val="0"/>
              <w:widowControl w:val="0"/>
              <w:shd w:val="clear" w:color="auto" w:fill="auto"/>
              <w:bidi w:val="0"/>
              <w:spacing w:before="0" w:after="0" w:line="317" w:lineRule="exact"/>
              <w:ind w:left="0" w:right="0" w:firstLine="380"/>
              <w:jc w:val="left"/>
              <w:rPr>
                <w:sz w:val="17"/>
                <w:szCs w:val="17"/>
              </w:rPr>
            </w:pPr>
            <w:r>
              <w:rPr>
                <w:b/>
                <w:bCs/>
                <w:color w:val="000000"/>
                <w:spacing w:val="0"/>
                <w:w w:val="100"/>
                <w:position w:val="0"/>
                <w:sz w:val="17"/>
                <w:szCs w:val="17"/>
              </w:rPr>
              <w:t>利润</w:t>
            </w:r>
          </w:p>
        </w:tc>
      </w:tr>
      <w:tr>
        <w:trPr>
          <w:trHeight w:val="67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杭州西湖软件 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2020.3.25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2020.3.25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工商变更 登记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bl>
    <w:p>
      <w:pPr>
        <w:widowControl w:val="0"/>
        <w:spacing w:after="239" w:line="1" w:lineRule="exact"/>
      </w:pPr>
    </w:p>
    <w:p>
      <w:pPr>
        <w:pStyle w:val="Style35"/>
        <w:keepNext w:val="0"/>
        <w:keepLines w:val="0"/>
        <w:widowControl w:val="0"/>
        <w:numPr>
          <w:ilvl w:val="0"/>
          <w:numId w:val="9"/>
        </w:numPr>
        <w:shd w:val="clear" w:color="auto" w:fill="auto"/>
        <w:bidi w:val="0"/>
        <w:spacing w:before="0" w:after="140" w:line="240" w:lineRule="auto"/>
        <w:ind w:left="0" w:right="0" w:firstLine="0"/>
        <w:jc w:val="left"/>
        <w:rPr>
          <w:sz w:val="22"/>
          <w:szCs w:val="22"/>
        </w:rPr>
      </w:pPr>
      <w:bookmarkStart w:id="228" w:name="bookmark228"/>
      <w:bookmarkEnd w:id="228"/>
      <w:r>
        <w:rPr>
          <w:color w:val="000000"/>
          <w:spacing w:val="0"/>
          <w:w w:val="100"/>
          <w:position w:val="0"/>
          <w:sz w:val="22"/>
          <w:szCs w:val="22"/>
        </w:rPr>
        <w:t>合并成本及商誉</w:t>
      </w:r>
    </w:p>
    <w:tbl>
      <w:tblPr>
        <w:tblOverlap w:val="never"/>
        <w:jc w:val="left"/>
        <w:tblLayout w:type="fixed"/>
      </w:tblPr>
      <w:tblGrid>
        <w:gridCol w:w="6086"/>
        <w:gridCol w:w="3149"/>
      </w:tblGrid>
      <w:tr>
        <w:trPr>
          <w:trHeight w:val="35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杭州西湖软件有限公司</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tc>
      </w:tr>
    </w:tbl>
    <w:p>
      <w:pPr>
        <w:widowControl w:val="0"/>
        <w:spacing w:after="239" w:line="1" w:lineRule="exact"/>
      </w:pPr>
    </w:p>
    <w:p>
      <w:pPr>
        <w:pStyle w:val="Style35"/>
        <w:keepNext w:val="0"/>
        <w:keepLines w:val="0"/>
        <w:widowControl w:val="0"/>
        <w:numPr>
          <w:ilvl w:val="0"/>
          <w:numId w:val="11"/>
        </w:numPr>
        <w:shd w:val="clear" w:color="auto" w:fill="auto"/>
        <w:bidi w:val="0"/>
        <w:spacing w:before="0" w:after="140" w:line="240" w:lineRule="auto"/>
        <w:ind w:left="0" w:right="0" w:firstLine="0"/>
        <w:jc w:val="left"/>
        <w:rPr>
          <w:sz w:val="22"/>
          <w:szCs w:val="22"/>
        </w:rPr>
      </w:pPr>
      <w:bookmarkStart w:id="229" w:name="bookmark229"/>
      <w:bookmarkEnd w:id="229"/>
      <w:r>
        <w:rPr>
          <w:color w:val="000000"/>
          <w:spacing w:val="0"/>
          <w:w w:val="100"/>
          <w:position w:val="0"/>
          <w:sz w:val="22"/>
          <w:szCs w:val="22"/>
        </w:rPr>
        <w:t>被购买方于购买日可辨认资产、负债</w:t>
      </w:r>
    </w:p>
    <w:tbl>
      <w:tblPr>
        <w:tblOverlap w:val="never"/>
        <w:jc w:val="left"/>
        <w:tblLayout w:type="fixed"/>
      </w:tblPr>
      <w:tblGrid>
        <w:gridCol w:w="4579"/>
        <w:gridCol w:w="2371"/>
        <w:gridCol w:w="2285"/>
      </w:tblGrid>
      <w:tr>
        <w:trPr>
          <w:trHeight w:val="350" w:hRule="exact"/>
        </w:trPr>
        <w:tc>
          <w:tcPr>
            <w:vMerge w:val="restart"/>
            <w:tcBorders>
              <w:top w:val="single" w:sz="4"/>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杭州西湖软件</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件有限公司</w:t>
            </w:r>
          </w:p>
        </w:tc>
      </w:tr>
      <w:tr>
        <w:trPr>
          <w:trHeight w:val="35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购买日公允价值</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购买日账面价值</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22"/>
                <w:szCs w:val="22"/>
              </w:rPr>
            </w:pPr>
            <w:r>
              <w:rPr>
                <w:rFonts w:ascii="Times New Roman" w:eastAsia="Times New Roman" w:hAnsi="Times New Roman" w:cs="Times New Roman"/>
                <w:color w:val="000000"/>
                <w:spacing w:val="0"/>
                <w:w w:val="100"/>
                <w:position w:val="0"/>
                <w:sz w:val="22"/>
                <w:szCs w:val="22"/>
              </w:rPr>
              <w:t>10,027.21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color w:val="000000"/>
                <w:spacing w:val="0"/>
                <w:w w:val="100"/>
                <w:position w:val="0"/>
                <w:sz w:val="22"/>
                <w:szCs w:val="22"/>
              </w:rPr>
              <w:t>10,027.21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22"/>
                <w:szCs w:val="22"/>
              </w:rPr>
            </w:pPr>
            <w:r>
              <w:rPr>
                <w:rFonts w:ascii="Times New Roman" w:eastAsia="Times New Roman" w:hAnsi="Times New Roman" w:cs="Times New Roman"/>
                <w:color w:val="000000"/>
                <w:spacing w:val="0"/>
                <w:w w:val="100"/>
                <w:position w:val="0"/>
                <w:sz w:val="22"/>
                <w:szCs w:val="22"/>
              </w:rPr>
              <w:t>10,027.21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color w:val="000000"/>
                <w:spacing w:val="0"/>
                <w:w w:val="100"/>
                <w:position w:val="0"/>
                <w:sz w:val="22"/>
                <w:szCs w:val="22"/>
              </w:rPr>
              <w:t>10,027.21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取得的净资产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22"/>
                <w:szCs w:val="22"/>
              </w:rPr>
            </w:pPr>
            <w:r>
              <w:rPr>
                <w:rFonts w:ascii="Times New Roman" w:eastAsia="Times New Roman" w:hAnsi="Times New Roman" w:cs="Times New Roman"/>
                <w:color w:val="000000"/>
                <w:spacing w:val="0"/>
                <w:w w:val="100"/>
                <w:position w:val="0"/>
                <w:sz w:val="22"/>
                <w:szCs w:val="22"/>
              </w:rPr>
              <w:t>10,027.21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22"/>
                <w:szCs w:val="22"/>
              </w:rPr>
            </w:pPr>
            <w:r>
              <w:rPr>
                <w:rFonts w:ascii="Times New Roman" w:eastAsia="Times New Roman" w:hAnsi="Times New Roman" w:cs="Times New Roman"/>
                <w:color w:val="000000"/>
                <w:spacing w:val="0"/>
                <w:w w:val="100"/>
                <w:position w:val="0"/>
                <w:sz w:val="22"/>
                <w:szCs w:val="22"/>
              </w:rPr>
              <w:t>10,027.21</w:t>
            </w:r>
          </w:p>
        </w:tc>
      </w:tr>
    </w:tbl>
    <w:p>
      <w:pPr>
        <w:widowControl w:val="0"/>
        <w:spacing w:after="239" w:line="1" w:lineRule="exact"/>
      </w:pPr>
    </w:p>
    <w:p>
      <w:pPr>
        <w:pStyle w:val="Style35"/>
        <w:keepNext w:val="0"/>
        <w:keepLines w:val="0"/>
        <w:widowControl w:val="0"/>
        <w:shd w:val="clear" w:color="auto" w:fill="auto"/>
        <w:bidi w:val="0"/>
        <w:spacing w:before="0" w:after="240" w:line="240" w:lineRule="auto"/>
        <w:ind w:left="0" w:right="0" w:firstLine="0"/>
        <w:jc w:val="left"/>
        <w:rPr>
          <w:sz w:val="22"/>
          <w:szCs w:val="22"/>
        </w:rPr>
      </w:pPr>
      <w:bookmarkStart w:id="230" w:name="bookmark230"/>
      <w:r>
        <w:rPr>
          <w:rFonts w:ascii="Times New Roman" w:eastAsia="Times New Roman" w:hAnsi="Times New Roman" w:cs="Times New Roman"/>
          <w:color w:val="000000"/>
          <w:spacing w:val="0"/>
          <w:w w:val="100"/>
          <w:position w:val="0"/>
          <w:sz w:val="22"/>
          <w:szCs w:val="22"/>
        </w:rPr>
        <w:t>2</w:t>
      </w:r>
      <w:bookmarkEnd w:id="230"/>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同一控制下企业合并</w:t>
      </w:r>
      <w:r>
        <w:br w:type="page"/>
      </w:r>
    </w:p>
    <w:p>
      <w:pPr>
        <w:pStyle w:val="Style35"/>
        <w:keepNext w:val="0"/>
        <w:keepLines w:val="0"/>
        <w:widowControl w:val="0"/>
        <w:shd w:val="clear" w:color="auto" w:fill="auto"/>
        <w:bidi w:val="0"/>
        <w:spacing w:before="0" w:after="120" w:line="240" w:lineRule="auto"/>
        <w:ind w:left="0" w:right="0" w:firstLine="0"/>
        <w:jc w:val="left"/>
        <w:rPr>
          <w:sz w:val="22"/>
          <w:szCs w:val="22"/>
        </w:rPr>
      </w:pPr>
      <w:bookmarkStart w:id="231" w:name="bookmark231"/>
      <w:r>
        <w:rPr>
          <w:rFonts w:ascii="Times New Roman" w:eastAsia="Times New Roman" w:hAnsi="Times New Roman" w:cs="Times New Roman"/>
          <w:color w:val="000000"/>
          <w:spacing w:val="0"/>
          <w:w w:val="100"/>
          <w:position w:val="0"/>
          <w:sz w:val="22"/>
          <w:szCs w:val="22"/>
        </w:rPr>
        <w:t>3</w:t>
      </w:r>
      <w:bookmarkEnd w:id="231"/>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处置子公司</w:t>
      </w:r>
    </w:p>
    <w:tbl>
      <w:tblPr>
        <w:tblOverlap w:val="never"/>
        <w:jc w:val="center"/>
        <w:tblLayout w:type="fixed"/>
      </w:tblPr>
      <w:tblGrid>
        <w:gridCol w:w="720"/>
        <w:gridCol w:w="850"/>
        <w:gridCol w:w="566"/>
        <w:gridCol w:w="283"/>
        <w:gridCol w:w="854"/>
        <w:gridCol w:w="1133"/>
        <w:gridCol w:w="1133"/>
        <w:gridCol w:w="566"/>
        <w:gridCol w:w="710"/>
        <w:gridCol w:w="706"/>
        <w:gridCol w:w="710"/>
        <w:gridCol w:w="710"/>
        <w:gridCol w:w="1286"/>
      </w:tblGrid>
      <w:tr>
        <w:trPr>
          <w:trHeight w:val="2851"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子公司</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b/>
                <w:bCs/>
                <w:color w:val="000000"/>
                <w:spacing w:val="0"/>
                <w:w w:val="100"/>
                <w:position w:val="0"/>
                <w:sz w:val="17"/>
                <w:szCs w:val="17"/>
              </w:rPr>
              <w:t>股权处置</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价款</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307" w:lineRule="exact"/>
              <w:ind w:left="0" w:right="0" w:firstLine="0"/>
              <w:jc w:val="left"/>
              <w:rPr>
                <w:sz w:val="17"/>
                <w:szCs w:val="17"/>
              </w:rPr>
            </w:pPr>
            <w:r>
              <w:rPr>
                <w:b/>
                <w:bCs/>
                <w:color w:val="000000"/>
                <w:spacing w:val="0"/>
                <w:w w:val="100"/>
                <w:position w:val="0"/>
                <w:sz w:val="17"/>
                <w:szCs w:val="17"/>
              </w:rPr>
              <w:t>股权处 置比例</w:t>
            </w:r>
          </w:p>
          <w:p>
            <w:pPr>
              <w:pStyle w:val="Style20"/>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b/>
                <w:bCs/>
                <w:color w:val="000000"/>
                <w:spacing w:val="0"/>
                <w:w w:val="100"/>
                <w:position w:val="0"/>
                <w:sz w:val="17"/>
                <w:szCs w:val="17"/>
              </w:rPr>
              <w:t>股 权 处 置 方 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丧失控制 权的时点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丧失控制权时 点的确定依据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处置价款与处 置投资对应的 合并财务报表 层面享有该子 公司净资产份 额的差额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b/>
                <w:bCs/>
                <w:color w:val="000000"/>
                <w:spacing w:val="0"/>
                <w:w w:val="100"/>
                <w:position w:val="0"/>
                <w:sz w:val="17"/>
                <w:szCs w:val="17"/>
              </w:rPr>
              <w:t>丧失控 制权之 日剩余 股权的 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丧失控 制权之 日剩余 股权的 账面价 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丧失控 制权之 日剩余 股权的 公允价 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b/>
                <w:bCs/>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b/>
                <w:bCs/>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b/>
                <w:bCs/>
                <w:color w:val="000000"/>
                <w:spacing w:val="0"/>
                <w:w w:val="100"/>
                <w:position w:val="0"/>
                <w:sz w:val="17"/>
                <w:szCs w:val="17"/>
              </w:rPr>
              <w:t>与原子公司股 权投资相关的 其他综合收益 转入投资损益</w:t>
            </w:r>
          </w:p>
          <w:p>
            <w:pPr>
              <w:pStyle w:val="Style20"/>
              <w:keepNext w:val="0"/>
              <w:keepLines w:val="0"/>
              <w:widowControl w:val="0"/>
              <w:shd w:val="clear" w:color="auto" w:fill="auto"/>
              <w:bidi w:val="0"/>
              <w:spacing w:before="0" w:after="0" w:line="314" w:lineRule="exact"/>
              <w:ind w:left="0" w:right="0" w:firstLine="0"/>
              <w:jc w:val="center"/>
              <w:rPr>
                <w:sz w:val="17"/>
                <w:szCs w:val="17"/>
              </w:rPr>
            </w:pPr>
            <w:r>
              <w:rPr>
                <w:b/>
                <w:bCs/>
                <w:color w:val="000000"/>
                <w:spacing w:val="0"/>
                <w:w w:val="100"/>
                <w:position w:val="0"/>
                <w:sz w:val="17"/>
                <w:szCs w:val="17"/>
              </w:rPr>
              <w:t>的金额</w:t>
            </w:r>
          </w:p>
        </w:tc>
      </w:tr>
      <w:tr>
        <w:trPr>
          <w:trHeight w:val="129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Stayntou ch Inc</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95,069,568</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出 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302" w:lineRule="exact"/>
              <w:ind w:left="0" w:right="0" w:firstLine="0"/>
              <w:jc w:val="center"/>
              <w:rPr>
                <w:sz w:val="17"/>
                <w:szCs w:val="17"/>
              </w:rPr>
            </w:pPr>
            <w:r>
              <w:rPr>
                <w:color w:val="000000"/>
                <w:spacing w:val="0"/>
                <w:w w:val="100"/>
                <w:position w:val="0"/>
                <w:sz w:val="17"/>
                <w:szCs w:val="17"/>
              </w:rPr>
              <w:t>美国外国投资 管理委员会</w:t>
            </w:r>
          </w:p>
          <w:p>
            <w:pPr>
              <w:pStyle w:val="Style20"/>
              <w:keepNext w:val="0"/>
              <w:keepLines w:val="0"/>
              <w:widowControl w:val="0"/>
              <w:shd w:val="clear" w:color="auto" w:fill="auto"/>
              <w:bidi w:val="0"/>
              <w:spacing w:before="0" w:after="0" w:line="35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CFIUS</w:t>
            </w:r>
            <w:r>
              <w:rPr>
                <w:color w:val="000000"/>
                <w:spacing w:val="0"/>
                <w:w w:val="100"/>
                <w:position w:val="0"/>
                <w:sz w:val="17"/>
                <w:szCs w:val="17"/>
              </w:rPr>
              <w:t>确认</w:t>
            </w:r>
          </w:p>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撤资完成</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-173,890,080.2</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4,942,651.15</w:t>
            </w:r>
          </w:p>
        </w:tc>
      </w:tr>
    </w:tbl>
    <w:p>
      <w:pPr>
        <w:widowControl w:val="0"/>
        <w:spacing w:after="239" w:line="1" w:lineRule="exact"/>
      </w:pPr>
    </w:p>
    <w:p>
      <w:pPr>
        <w:pStyle w:val="Style35"/>
        <w:keepNext w:val="0"/>
        <w:keepLines w:val="0"/>
        <w:widowControl w:val="0"/>
        <w:shd w:val="clear" w:color="auto" w:fill="auto"/>
        <w:bidi w:val="0"/>
        <w:spacing w:before="0" w:after="240" w:line="240" w:lineRule="auto"/>
        <w:ind w:left="0" w:right="0" w:firstLine="0"/>
        <w:jc w:val="left"/>
        <w:rPr>
          <w:sz w:val="22"/>
          <w:szCs w:val="22"/>
        </w:rPr>
      </w:pPr>
      <w:bookmarkStart w:id="232" w:name="bookmark232"/>
      <w:r>
        <w:rPr>
          <w:rFonts w:ascii="Times New Roman" w:eastAsia="Times New Roman" w:hAnsi="Times New Roman" w:cs="Times New Roman"/>
          <w:color w:val="000000"/>
          <w:spacing w:val="0"/>
          <w:w w:val="100"/>
          <w:position w:val="0"/>
          <w:sz w:val="22"/>
          <w:szCs w:val="22"/>
        </w:rPr>
        <w:t>4</w:t>
      </w:r>
      <w:bookmarkEnd w:id="232"/>
      <w:r>
        <w:rPr>
          <w:color w:val="000000"/>
          <w:spacing w:val="0"/>
          <w:w w:val="100"/>
          <w:position w:val="0"/>
          <w:sz w:val="22"/>
          <w:szCs w:val="22"/>
        </w:rPr>
        <w:t>）其他原因的合并范围变动</w:t>
      </w:r>
    </w:p>
    <w:p>
      <w:pPr>
        <w:pStyle w:val="Style38"/>
        <w:keepNext w:val="0"/>
        <w:keepLines w:val="0"/>
        <w:widowControl w:val="0"/>
        <w:shd w:val="clear" w:color="auto" w:fill="auto"/>
        <w:bidi w:val="0"/>
        <w:spacing w:before="0" w:after="680"/>
        <w:ind w:left="0" w:right="0" w:firstLine="460"/>
        <w:jc w:val="left"/>
        <w:rPr>
          <w:sz w:val="22"/>
          <w:szCs w:val="22"/>
        </w:rPr>
      </w:pPr>
      <w:r>
        <w:rPr>
          <w:rFonts w:ascii="SimSun" w:eastAsia="SimSun" w:hAnsi="SimSun" w:cs="SimSun"/>
          <w:color w:val="000000"/>
          <w:spacing w:val="0"/>
          <w:w w:val="100"/>
          <w:position w:val="0"/>
          <w:sz w:val="22"/>
          <w:szCs w:val="22"/>
        </w:rPr>
        <w:t>与上年相比，本年新设立南宁敏付科技有限公司、广西自贸区敏付科技发展有限公司、</w:t>
      </w:r>
      <w:r>
        <w:rPr>
          <w:color w:val="000000"/>
          <w:spacing w:val="0"/>
          <w:w w:val="100"/>
          <w:position w:val="0"/>
          <w:sz w:val="22"/>
          <w:szCs w:val="22"/>
        </w:rPr>
        <w:t>Shiji Technologies Ltd.</w:t>
      </w:r>
      <w:r>
        <w:rPr>
          <w:rFonts w:ascii="SimSun" w:eastAsia="SimSun" w:hAnsi="SimSun" w:cs="SimSun"/>
          <w:color w:val="000000"/>
          <w:spacing w:val="0"/>
          <w:w w:val="100"/>
          <w:position w:val="0"/>
          <w:sz w:val="22"/>
          <w:szCs w:val="22"/>
        </w:rPr>
        <w:t>共</w:t>
      </w:r>
      <w:r>
        <w:rPr>
          <w:color w:val="000000"/>
          <w:spacing w:val="0"/>
          <w:w w:val="100"/>
          <w:position w:val="0"/>
          <w:sz w:val="22"/>
          <w:szCs w:val="22"/>
        </w:rPr>
        <w:t>3</w:t>
      </w:r>
      <w:r>
        <w:rPr>
          <w:rFonts w:ascii="SimSun" w:eastAsia="SimSun" w:hAnsi="SimSun" w:cs="SimSun"/>
          <w:color w:val="000000"/>
          <w:spacing w:val="0"/>
          <w:w w:val="100"/>
          <w:position w:val="0"/>
          <w:sz w:val="22"/>
          <w:szCs w:val="22"/>
        </w:rPr>
        <w:t>家公司；本年新收购杭州西湖软件有限公司；本年较上年注销</w:t>
      </w:r>
      <w:r>
        <w:rPr>
          <w:color w:val="000000"/>
          <w:spacing w:val="0"/>
          <w:w w:val="100"/>
          <w:position w:val="0"/>
          <w:sz w:val="22"/>
          <w:szCs w:val="22"/>
        </w:rPr>
        <w:t>Straight Shots.r.o</w:t>
      </w:r>
      <w:r>
        <w:rPr>
          <w:rFonts w:ascii="SimSun" w:eastAsia="SimSun" w:hAnsi="SimSun" w:cs="SimSun"/>
          <w:color w:val="000000"/>
          <w:spacing w:val="0"/>
          <w:w w:val="100"/>
          <w:position w:val="0"/>
          <w:sz w:val="22"/>
          <w:szCs w:val="22"/>
        </w:rPr>
        <w:t xml:space="preserve">&gt; </w:t>
      </w:r>
      <w:r>
        <w:rPr>
          <w:rFonts w:ascii="SimSun" w:eastAsia="SimSun" w:hAnsi="SimSun" w:cs="SimSun"/>
          <w:color w:val="000000"/>
          <w:spacing w:val="0"/>
          <w:w w:val="100"/>
          <w:position w:val="0"/>
          <w:sz w:val="22"/>
          <w:szCs w:val="22"/>
        </w:rPr>
        <w:t>北京银科环企软件科技有限公司共</w:t>
      </w:r>
      <w:r>
        <w:rPr>
          <w:color w:val="000000"/>
          <w:spacing w:val="0"/>
          <w:w w:val="100"/>
          <w:position w:val="0"/>
          <w:sz w:val="22"/>
          <w:szCs w:val="22"/>
        </w:rPr>
        <w:t>2</w:t>
      </w:r>
      <w:r>
        <w:rPr>
          <w:rFonts w:ascii="SimSun" w:eastAsia="SimSun" w:hAnsi="SimSun" w:cs="SimSun"/>
          <w:color w:val="000000"/>
          <w:spacing w:val="0"/>
          <w:w w:val="100"/>
          <w:position w:val="0"/>
          <w:sz w:val="22"/>
          <w:szCs w:val="22"/>
        </w:rPr>
        <w:t>家公司；本年较上期，处置子公司</w:t>
      </w:r>
      <w:r>
        <w:rPr>
          <w:color w:val="000000"/>
          <w:spacing w:val="0"/>
          <w:w w:val="100"/>
          <w:position w:val="0"/>
          <w:sz w:val="22"/>
          <w:szCs w:val="22"/>
        </w:rPr>
        <w:t>StayNTouchlOO%</w:t>
      </w:r>
      <w:r>
        <w:rPr>
          <w:rFonts w:ascii="SimSun" w:eastAsia="SimSun" w:hAnsi="SimSun" w:cs="SimSun"/>
          <w:color w:val="000000"/>
          <w:spacing w:val="0"/>
          <w:w w:val="100"/>
          <w:position w:val="0"/>
          <w:sz w:val="22"/>
          <w:szCs w:val="22"/>
        </w:rPr>
        <w:t>股权；本年较 上期共更名</w:t>
      </w:r>
      <w:r>
        <w:rPr>
          <w:color w:val="000000"/>
          <w:spacing w:val="0"/>
          <w:w w:val="100"/>
          <w:position w:val="0"/>
          <w:sz w:val="22"/>
          <w:szCs w:val="22"/>
        </w:rPr>
        <w:t>3</w:t>
      </w:r>
      <w:r>
        <w:rPr>
          <w:rFonts w:ascii="SimSun" w:eastAsia="SimSun" w:hAnsi="SimSun" w:cs="SimSun"/>
          <w:color w:val="000000"/>
          <w:spacing w:val="0"/>
          <w:w w:val="100"/>
          <w:position w:val="0"/>
          <w:sz w:val="22"/>
          <w:szCs w:val="22"/>
        </w:rPr>
        <w:t xml:space="preserve">家公司，分别为银科环企软件（苏州）有限公司更名为石基环企软件（苏州）有限公司， </w:t>
      </w:r>
      <w:r>
        <w:rPr>
          <w:color w:val="000000"/>
          <w:spacing w:val="0"/>
          <w:w w:val="100"/>
          <w:position w:val="0"/>
          <w:sz w:val="22"/>
          <w:szCs w:val="22"/>
        </w:rPr>
        <w:t>My Check（ UK） Limited</w:t>
      </w:r>
      <w:r>
        <w:rPr>
          <w:rFonts w:ascii="SimSun" w:eastAsia="SimSun" w:hAnsi="SimSun" w:cs="SimSun"/>
          <w:color w:val="000000"/>
          <w:spacing w:val="0"/>
          <w:w w:val="100"/>
          <w:position w:val="0"/>
          <w:sz w:val="22"/>
          <w:szCs w:val="22"/>
        </w:rPr>
        <w:t>更名为</w:t>
      </w:r>
      <w:r>
        <w:rPr>
          <w:color w:val="000000"/>
          <w:spacing w:val="0"/>
          <w:w w:val="100"/>
          <w:position w:val="0"/>
          <w:sz w:val="22"/>
          <w:szCs w:val="22"/>
        </w:rPr>
        <w:t>Shiji（UK） Limited</w:t>
      </w:r>
      <w:r>
        <w:rPr>
          <w:rFonts w:ascii="SimSun" w:eastAsia="SimSun" w:hAnsi="SimSun" w:cs="SimSun"/>
          <w:color w:val="000000"/>
          <w:spacing w:val="0"/>
          <w:w w:val="100"/>
          <w:position w:val="0"/>
          <w:sz w:val="22"/>
          <w:szCs w:val="22"/>
        </w:rPr>
        <w:t xml:space="preserve">&gt; </w:t>
      </w:r>
      <w:r>
        <w:rPr>
          <w:color w:val="000000"/>
          <w:spacing w:val="0"/>
          <w:w w:val="100"/>
          <w:position w:val="0"/>
          <w:sz w:val="22"/>
          <w:szCs w:val="22"/>
        </w:rPr>
        <w:t>Review Rank S.A.</w:t>
      </w:r>
      <w:r>
        <w:rPr>
          <w:rFonts w:ascii="SimSun" w:eastAsia="SimSun" w:hAnsi="SimSun" w:cs="SimSun"/>
          <w:color w:val="000000"/>
          <w:spacing w:val="0"/>
          <w:w w:val="100"/>
          <w:position w:val="0"/>
          <w:sz w:val="22"/>
          <w:szCs w:val="22"/>
        </w:rPr>
        <w:t>更名为</w:t>
      </w:r>
      <w:r>
        <w:rPr>
          <w:color w:val="000000"/>
          <w:spacing w:val="0"/>
          <w:w w:val="100"/>
          <w:position w:val="0"/>
          <w:sz w:val="22"/>
          <w:szCs w:val="22"/>
        </w:rPr>
        <w:t>Shiji Informantion Technology Spain,S.A</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本年对股权结构进行重整，其中原隶属于</w:t>
      </w:r>
      <w:r>
        <w:rPr>
          <w:color w:val="000000"/>
          <w:spacing w:val="0"/>
          <w:w w:val="100"/>
          <w:position w:val="0"/>
          <w:sz w:val="22"/>
          <w:szCs w:val="22"/>
        </w:rPr>
        <w:t>Shiji Informantion Technology Spain,S.A</w:t>
      </w:r>
      <w:r>
        <w:rPr>
          <w:rFonts w:ascii="SimSun" w:eastAsia="SimSun" w:hAnsi="SimSun" w:cs="SimSun"/>
          <w:color w:val="000000"/>
          <w:spacing w:val="0"/>
          <w:w w:val="100"/>
          <w:position w:val="0"/>
          <w:sz w:val="22"/>
          <w:szCs w:val="22"/>
        </w:rPr>
        <w:t>的</w:t>
      </w:r>
      <w:r>
        <w:rPr>
          <w:color w:val="000000"/>
          <w:spacing w:val="0"/>
          <w:w w:val="100"/>
          <w:position w:val="0"/>
          <w:sz w:val="22"/>
          <w:szCs w:val="22"/>
        </w:rPr>
        <w:t>Review Rank S.A.</w:t>
      </w:r>
      <w:r>
        <w:rPr>
          <w:rFonts w:ascii="SimSun" w:eastAsia="SimSun" w:hAnsi="SimSun" w:cs="SimSun"/>
          <w:color w:val="000000"/>
          <w:spacing w:val="0"/>
          <w:w w:val="100"/>
          <w:position w:val="0"/>
          <w:sz w:val="22"/>
          <w:szCs w:val="22"/>
        </w:rPr>
        <w:t>、</w:t>
      </w:r>
      <w:r>
        <w:rPr>
          <w:color w:val="000000"/>
          <w:spacing w:val="0"/>
          <w:w w:val="100"/>
          <w:position w:val="0"/>
          <w:sz w:val="22"/>
          <w:szCs w:val="22"/>
        </w:rPr>
        <w:t>Review Pro Inc</w:t>
      </w:r>
      <w:r>
        <w:rPr>
          <w:rFonts w:ascii="SimSun" w:eastAsia="SimSun" w:hAnsi="SimSun" w:cs="SimSun"/>
          <w:color w:val="000000"/>
          <w:spacing w:val="0"/>
          <w:w w:val="100"/>
          <w:position w:val="0"/>
          <w:sz w:val="22"/>
          <w:szCs w:val="22"/>
        </w:rPr>
        <w:t>分别以吸收合并的方式并入</w:t>
      </w:r>
      <w:r>
        <w:rPr>
          <w:color w:val="000000"/>
          <w:spacing w:val="0"/>
          <w:w w:val="100"/>
          <w:position w:val="0"/>
          <w:sz w:val="22"/>
          <w:szCs w:val="22"/>
        </w:rPr>
        <w:t>SHIJI （SINGAPORE） PTE. LTD.</w:t>
      </w:r>
      <w:r>
        <w:rPr>
          <w:rFonts w:ascii="SimSun" w:eastAsia="SimSun" w:hAnsi="SimSun" w:cs="SimSun"/>
          <w:color w:val="000000"/>
          <w:spacing w:val="0"/>
          <w:w w:val="100"/>
          <w:position w:val="0"/>
          <w:sz w:val="22"/>
          <w:szCs w:val="22"/>
        </w:rPr>
        <w:t>、</w:t>
      </w:r>
      <w:r>
        <w:rPr>
          <w:color w:val="000000"/>
          <w:spacing w:val="0"/>
          <w:w w:val="100"/>
          <w:position w:val="0"/>
          <w:sz w:val="22"/>
          <w:szCs w:val="22"/>
        </w:rPr>
        <w:t>Shiji（US）Inc</w:t>
      </w:r>
      <w:r>
        <w:rPr>
          <w:rFonts w:ascii="SimSun" w:eastAsia="SimSun" w:hAnsi="SimSun" w:cs="SimSun"/>
          <w:color w:val="000000"/>
          <w:spacing w:val="0"/>
          <w:w w:val="100"/>
          <w:position w:val="0"/>
          <w:sz w:val="22"/>
          <w:szCs w:val="22"/>
        </w:rPr>
        <w:t xml:space="preserve">。 </w:t>
      </w:r>
      <w:r>
        <w:rPr>
          <w:rFonts w:ascii="SimSun" w:eastAsia="SimSun" w:hAnsi="SimSun" w:cs="SimSun"/>
          <w:color w:val="000000"/>
          <w:spacing w:val="0"/>
          <w:w w:val="100"/>
          <w:position w:val="0"/>
          <w:sz w:val="22"/>
          <w:szCs w:val="22"/>
        </w:rPr>
        <w:t>详见本年度报告第十二节财务报告</w:t>
      </w:r>
      <w:r>
        <w:rPr>
          <w:color w:val="000000"/>
          <w:spacing w:val="0"/>
          <w:w w:val="100"/>
          <w:position w:val="0"/>
          <w:sz w:val="22"/>
          <w:szCs w:val="22"/>
        </w:rPr>
        <w:t>/</w:t>
      </w:r>
      <w:r>
        <w:rPr>
          <w:rFonts w:ascii="SimSun" w:eastAsia="SimSun" w:hAnsi="SimSun" w:cs="SimSun"/>
          <w:color w:val="000000"/>
          <w:spacing w:val="0"/>
          <w:w w:val="100"/>
          <w:position w:val="0"/>
          <w:sz w:val="22"/>
          <w:szCs w:val="22"/>
        </w:rPr>
        <w:t>八、合并财务报表范围</w:t>
      </w:r>
      <w:r>
        <w:rPr>
          <w:color w:val="000000"/>
          <w:spacing w:val="0"/>
          <w:w w:val="100"/>
          <w:position w:val="0"/>
          <w:sz w:val="22"/>
          <w:szCs w:val="22"/>
        </w:rPr>
        <w:t>”</w:t>
      </w:r>
      <w:r>
        <w:rPr>
          <w:rFonts w:ascii="SimSun" w:eastAsia="SimSun" w:hAnsi="SimSun" w:cs="SimSun"/>
          <w:color w:val="000000"/>
          <w:spacing w:val="0"/>
          <w:w w:val="100"/>
          <w:position w:val="0"/>
          <w:sz w:val="22"/>
          <w:szCs w:val="22"/>
        </w:rPr>
        <w:t>相关内容。</w:t>
      </w:r>
    </w:p>
    <w:p>
      <w:pPr>
        <w:pStyle w:val="Style32"/>
        <w:keepNext/>
        <w:keepLines/>
        <w:widowControl w:val="0"/>
        <w:shd w:val="clear" w:color="auto" w:fill="auto"/>
        <w:bidi w:val="0"/>
        <w:spacing w:before="0" w:after="38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233"/>
      <w:bookmarkEnd w:id="234"/>
      <w:bookmarkEnd w:id="23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14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w:t>
      </w:r>
      <w:bookmarkEnd w:id="239"/>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237"/>
      <w:bookmarkEnd w:id="238"/>
      <w:bookmarkEnd w:id="24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112"/>
        <w:gridCol w:w="447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349,107,694.50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KUAJING.COM</w:t>
            </w:r>
            <w:r>
              <w:rPr>
                <w:rFonts w:ascii="Times New Roman" w:eastAsia="Times New Roman" w:hAnsi="Times New Roman" w:cs="Times New Roman"/>
                <w:color w:val="000000"/>
                <w:spacing w:val="0"/>
                <w:w w:val="100"/>
                <w:position w:val="0"/>
                <w:sz w:val="18"/>
                <w:szCs w:val="18"/>
              </w:rPr>
              <w:t xml:space="preserve"> INTERNATIONAL</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GROUPLTD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105,286,085.86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上海汇付数据服务有限公司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79,445,041.05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上海祥旭信息科技有限公司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59,297,013.40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上海富友支付服务股份有限公司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56,134,271.28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财付通支付科技有限公司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48,945,282.91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349,107,694.50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10.52%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873,672,642.31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爱普生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有限公司上海分公司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354,723,146.09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20.32%</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联想图像（天津）科技有限公司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286,640,504.95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16.42%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富士施乐实业发展（中国）有限公司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110,568,542.61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甲骨文（中国）软件系统有限公司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90,762,838.66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JOY CHINA (HONGKONG)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30,977,610.00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873,672,642.31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50.05%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3</w:t>
      </w:r>
      <w:bookmarkEnd w:id="243"/>
      <w:r>
        <w:rPr>
          <w:color w:val="000000"/>
          <w:spacing w:val="0"/>
          <w:w w:val="100"/>
          <w:position w:val="0"/>
        </w:rPr>
        <w:t>、费用</w:t>
      </w:r>
      <w:bookmarkEnd w:id="241"/>
      <w:bookmarkEnd w:id="242"/>
      <w:bookmarkEnd w:id="24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965"/>
        <w:gridCol w:w="1637"/>
        <w:gridCol w:w="1637"/>
        <w:gridCol w:w="1459"/>
        <w:gridCol w:w="39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255,880,890.45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316,596,455.82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705,317,935.07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789,392,040.49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-137,567,539.49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-249,144,465.00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财务费用本期较上年同期增长</w:t>
            </w:r>
            <w:r>
              <w:rPr>
                <w:rFonts w:ascii="Times New Roman" w:eastAsia="Times New Roman" w:hAnsi="Times New Roman" w:cs="Times New Roman"/>
                <w:color w:val="000000"/>
                <w:spacing w:val="0"/>
                <w:w w:val="100"/>
                <w:position w:val="0"/>
                <w:sz w:val="18"/>
                <w:szCs w:val="18"/>
              </w:rPr>
              <w:t>44.78%</w:t>
            </w:r>
            <w:r>
              <w:rPr>
                <w:color w:val="000000"/>
                <w:spacing w:val="0"/>
                <w:w w:val="100"/>
                <w:position w:val="0"/>
                <w:sz w:val="17"/>
                <w:szCs w:val="17"/>
              </w:rPr>
              <w:t xml:space="preserve">，主要系汇 兑损失较上期同期增加了 </w:t>
            </w:r>
            <w:r>
              <w:rPr>
                <w:rFonts w:ascii="Times New Roman" w:eastAsia="Times New Roman" w:hAnsi="Times New Roman" w:cs="Times New Roman"/>
                <w:color w:val="000000"/>
                <w:spacing w:val="0"/>
                <w:w w:val="100"/>
                <w:position w:val="0"/>
                <w:sz w:val="18"/>
                <w:szCs w:val="18"/>
              </w:rPr>
              <w:t>10226.48</w:t>
            </w:r>
            <w:r>
              <w:rPr>
                <w:color w:val="000000"/>
                <w:spacing w:val="0"/>
                <w:w w:val="100"/>
                <w:position w:val="0"/>
                <w:sz w:val="17"/>
                <w:szCs w:val="17"/>
              </w:rPr>
              <w:t>万所致。</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304,916,042.55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275,870,079.70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2"/>
        <w:keepNext/>
        <w:keepLines/>
        <w:widowControl w:val="0"/>
        <w:shd w:val="clear" w:color="auto" w:fill="auto"/>
        <w:bidi w:val="0"/>
        <w:spacing w:before="0" w:after="380" w:line="312" w:lineRule="exact"/>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4</w:t>
      </w:r>
      <w:bookmarkEnd w:id="247"/>
      <w:r>
        <w:rPr>
          <w:color w:val="000000"/>
          <w:spacing w:val="0"/>
          <w:w w:val="100"/>
          <w:position w:val="0"/>
        </w:rPr>
        <w:t>、研发投入</w:t>
      </w:r>
      <w:bookmarkEnd w:id="245"/>
      <w:bookmarkEnd w:id="246"/>
      <w:bookmarkEnd w:id="248"/>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0" w:right="0" w:firstLine="460"/>
        <w:jc w:val="left"/>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 本公司开发支出分为研究阶段和开发阶段，研发项目进入开发阶段开始资本化，本年末公司资 本化的项目均已进入开发阶段；</w:t>
      </w:r>
    </w:p>
    <w:p>
      <w:pPr>
        <w:pStyle w:val="Style35"/>
        <w:keepNext w:val="0"/>
        <w:keepLines w:val="0"/>
        <w:widowControl w:val="0"/>
        <w:shd w:val="clear" w:color="auto" w:fill="auto"/>
        <w:tabs>
          <w:tab w:pos="1040" w:val="left"/>
        </w:tabs>
        <w:bidi w:val="0"/>
        <w:spacing w:before="0" w:after="140" w:line="312" w:lineRule="exact"/>
        <w:ind w:left="0" w:right="0" w:firstLine="460"/>
        <w:jc w:val="left"/>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rPr>
        <w:t>2</w:t>
      </w:r>
      <w:r>
        <w:rPr>
          <w:color w:val="000000"/>
          <w:spacing w:val="0"/>
          <w:w w:val="100"/>
          <w:position w:val="0"/>
        </w:rPr>
        <w:t>）</w:t>
        <w:tab/>
        <w:t>公司研发支出主要用于自有软件产品的更新和新产品的研发，本期末通过公司内部研发形成的 无形资产占无形资产余额的比例</w:t>
      </w:r>
      <w:r>
        <w:rPr>
          <w:rFonts w:ascii="Times New Roman" w:eastAsia="Times New Roman" w:hAnsi="Times New Roman" w:cs="Times New Roman"/>
          <w:color w:val="000000"/>
          <w:spacing w:val="0"/>
          <w:w w:val="100"/>
          <w:position w:val="0"/>
        </w:rPr>
        <w:t>85</w:t>
      </w:r>
      <w:r>
        <w:rPr>
          <w:rFonts w:ascii="Times New Roman" w:eastAsia="Times New Roman" w:hAnsi="Times New Roman" w:cs="Times New Roman"/>
          <w:color w:val="000000"/>
          <w:spacing w:val="0"/>
          <w:w w:val="100"/>
          <w:position w:val="0"/>
          <w:sz w:val="22"/>
          <w:szCs w:val="22"/>
        </w:rPr>
        <w:t>.06</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35"/>
        <w:keepNext w:val="0"/>
        <w:keepLines w:val="0"/>
        <w:widowControl w:val="0"/>
        <w:shd w:val="clear" w:color="auto" w:fill="auto"/>
        <w:tabs>
          <w:tab w:pos="1045" w:val="left"/>
        </w:tabs>
        <w:bidi w:val="0"/>
        <w:spacing w:before="0" w:after="420" w:line="322" w:lineRule="exact"/>
        <w:ind w:left="0" w:right="0" w:firstLine="460"/>
        <w:jc w:val="left"/>
      </w:pPr>
      <w:bookmarkStart w:id="251" w:name="bookmark251"/>
      <w:r>
        <w:rPr>
          <w:color w:val="000000"/>
          <w:spacing w:val="0"/>
          <w:w w:val="100"/>
          <w:position w:val="0"/>
          <w:shd w:val="clear" w:color="auto" w:fill="FFFFFF"/>
        </w:rPr>
        <w:t>（</w:t>
      </w:r>
      <w:bookmarkEnd w:id="251"/>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年度公司发生多项资本化项目支出，详见本章节项目基本情况表以及本报告第十二节财务 报告：七、开发支出附注。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130"/>
        <w:gridCol w:w="2266"/>
        <w:gridCol w:w="2126"/>
        <w:gridCol w:w="206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647,685,782.58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557,582,954.36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335,575,721.82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281,712,874.66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80" w:line="240" w:lineRule="auto"/>
        <w:ind w:left="0" w:right="580" w:firstLine="0"/>
        <w:jc w:val="right"/>
      </w:pPr>
      <w:r>
        <w:rPr>
          <w:color w:val="000000"/>
          <w:spacing w:val="0"/>
          <w:w w:val="100"/>
          <w:position w:val="0"/>
        </w:rPr>
        <w:t>单位：元</w:t>
      </w:r>
    </w:p>
    <w:tbl>
      <w:tblPr>
        <w:tblOverlap w:val="never"/>
        <w:jc w:val="center"/>
        <w:tblLayout w:type="fixed"/>
      </w:tblPr>
      <w:tblGrid>
        <w:gridCol w:w="1003"/>
        <w:gridCol w:w="1272"/>
        <w:gridCol w:w="4819"/>
        <w:gridCol w:w="2491"/>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研发资本化金 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证件识别</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公安接口系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11,220,541.02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证件识别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公安接口系统，是一款提供酒店客人登记信息自动 同步公安旅业的系统。酒店可自动将客人信息填入</w:t>
            </w:r>
            <w:r>
              <w:rPr>
                <w:rFonts w:ascii="Times New Roman" w:eastAsia="Times New Roman" w:hAnsi="Times New Roman" w:cs="Times New Roman"/>
                <w:color w:val="000000"/>
                <w:spacing w:val="0"/>
                <w:w w:val="100"/>
                <w:position w:val="0"/>
                <w:sz w:val="18"/>
                <w:szCs w:val="18"/>
              </w:rPr>
              <w:t>PMS</w:t>
            </w:r>
            <w:r>
              <w:rPr>
                <w:color w:val="000000"/>
                <w:spacing w:val="0"/>
                <w:w w:val="100"/>
                <w:position w:val="0"/>
                <w:sz w:val="17"/>
                <w:szCs w:val="17"/>
              </w:rPr>
              <w:t>的客 人档案</w:t>
            </w:r>
            <w:r>
              <w:rPr>
                <w:color w:val="000000"/>
                <w:spacing w:val="0"/>
                <w:w w:val="100"/>
                <w:position w:val="0"/>
                <w:sz w:val="18"/>
                <w:szCs w:val="18"/>
              </w:rPr>
              <w:t>，</w:t>
            </w:r>
            <w:r>
              <w:rPr>
                <w:color w:val="000000"/>
                <w:spacing w:val="0"/>
                <w:w w:val="100"/>
                <w:position w:val="0"/>
                <w:sz w:val="17"/>
                <w:szCs w:val="17"/>
              </w:rPr>
              <w:t>同时将客人信息同步到公安旅业系统</w:t>
            </w:r>
            <w:r>
              <w:rPr>
                <w:color w:val="000000"/>
                <w:spacing w:val="0"/>
                <w:w w:val="100"/>
                <w:position w:val="0"/>
                <w:sz w:val="18"/>
                <w:szCs w:val="18"/>
              </w:rPr>
              <w:t>；</w:t>
            </w:r>
            <w:r>
              <w:rPr>
                <w:color w:val="000000"/>
                <w:spacing w:val="0"/>
                <w:w w:val="100"/>
                <w:position w:val="0"/>
                <w:sz w:val="17"/>
                <w:szCs w:val="17"/>
              </w:rPr>
              <w:t>同时</w:t>
            </w:r>
            <w:r>
              <w:rPr>
                <w:color w:val="000000"/>
                <w:spacing w:val="0"/>
                <w:w w:val="100"/>
                <w:position w:val="0"/>
                <w:sz w:val="18"/>
                <w:szCs w:val="18"/>
              </w:rPr>
              <w:t>，</w:t>
            </w:r>
            <w:r>
              <w:rPr>
                <w:color w:val="000000"/>
                <w:spacing w:val="0"/>
                <w:w w:val="100"/>
                <w:position w:val="0"/>
                <w:sz w:val="17"/>
                <w:szCs w:val="17"/>
              </w:rPr>
              <w:t xml:space="preserve">如果 </w:t>
            </w:r>
            <w:r>
              <w:rPr>
                <w:rFonts w:ascii="Times New Roman" w:eastAsia="Times New Roman" w:hAnsi="Times New Roman" w:cs="Times New Roman"/>
                <w:color w:val="000000"/>
                <w:spacing w:val="0"/>
                <w:w w:val="100"/>
                <w:position w:val="0"/>
                <w:sz w:val="18"/>
                <w:szCs w:val="18"/>
              </w:rPr>
              <w:t>PMS</w:t>
            </w:r>
            <w:r>
              <w:rPr>
                <w:color w:val="000000"/>
                <w:spacing w:val="0"/>
                <w:w w:val="100"/>
                <w:position w:val="0"/>
                <w:sz w:val="17"/>
                <w:szCs w:val="17"/>
              </w:rPr>
              <w:t>有对客人的离店或者换房操作</w:t>
            </w:r>
            <w:r>
              <w:rPr>
                <w:color w:val="000000"/>
                <w:spacing w:val="0"/>
                <w:w w:val="100"/>
                <w:position w:val="0"/>
                <w:sz w:val="18"/>
                <w:szCs w:val="18"/>
              </w:rPr>
              <w:t>，</w:t>
            </w:r>
            <w:r>
              <w:rPr>
                <w:color w:val="000000"/>
                <w:spacing w:val="0"/>
                <w:w w:val="100"/>
                <w:position w:val="0"/>
                <w:sz w:val="17"/>
                <w:szCs w:val="17"/>
              </w:rPr>
              <w:t>其变化也会自动同步到 公安旅业系统。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年研发已完成</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石基酒店会 员管理系统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6,721,814.14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适合酒店在会员管理方面的需要，特别是帮助酒店提高客户 满意度、节约人力资源管理成本、提高财务管理的准确性和 效率。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年研发已完成</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石基数字酒 店餐厅订位 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11,532,580.73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石基数字酒店餐厅订位管理系统是引进国外餐饮业信息管理 系统核心技术和现代管理理念，研制开发的餐厅订位系统， 通过餐厅楼面平面图界面，管理餐厅餐台、餐厅楼面运营以 及在线订位业务，整合会员档案，生成经营分析报告，有助 于餐厅提升服务水平及制定有效的营销方案。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年研发已完成</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石基数字酒</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店餐饮储值</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卡管理系统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7,052,463.33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石基数字酒店餐饮储值卡管理系统是一种</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sz w:val="17"/>
                <w:szCs w:val="17"/>
              </w:rPr>
              <w:t>平台下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一触 即发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及非接触性的支付系统，使用者只需拿着智能卡对着读 卡器，短短几秒钟后即可顺利完成整个支付过程。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年研发已完成</w:t>
            </w:r>
          </w:p>
        </w:tc>
      </w:tr>
      <w:tr>
        <w:trPr>
          <w:trHeight w:val="22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石基数字标 牌云系统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3,165,632.37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石基数字标牌云系统软件是一站式的信息显示管理平台，它 采用面向服务的架构，整合了多个信息显示管理模块于一体 如媒体播放、排队叫号、轮播信息、菜牌显示等。同时，它 具有灵活出色的扩展性，可应用于各种餐饮业态，满足从单 店经营的餐厅到跨国经营的连锁巨头的需求。石基数字标牌 云系统软件软件是一套系统结合多种功能</w:t>
            </w:r>
            <w:r>
              <w:rPr>
                <w:color w:val="000000"/>
                <w:spacing w:val="0"/>
                <w:w w:val="100"/>
                <w:position w:val="0"/>
                <w:sz w:val="18"/>
                <w:szCs w:val="18"/>
              </w:rPr>
              <w:t>，</w:t>
            </w:r>
            <w:r>
              <w:rPr>
                <w:color w:val="000000"/>
                <w:spacing w:val="0"/>
                <w:w w:val="100"/>
                <w:position w:val="0"/>
                <w:sz w:val="17"/>
                <w:szCs w:val="17"/>
              </w:rPr>
              <w:t>不需另购任何系 统</w:t>
            </w:r>
            <w:r>
              <w:rPr>
                <w:color w:val="000000"/>
                <w:spacing w:val="0"/>
                <w:w w:val="100"/>
                <w:position w:val="0"/>
                <w:sz w:val="18"/>
                <w:szCs w:val="18"/>
              </w:rPr>
              <w:t>，</w:t>
            </w:r>
            <w:r>
              <w:rPr>
                <w:color w:val="000000"/>
                <w:spacing w:val="0"/>
                <w:w w:val="100"/>
                <w:position w:val="0"/>
                <w:sz w:val="17"/>
                <w:szCs w:val="17"/>
              </w:rPr>
              <w:t>只需一次安装</w:t>
            </w:r>
            <w:r>
              <w:rPr>
                <w:color w:val="000000"/>
                <w:spacing w:val="0"/>
                <w:w w:val="100"/>
                <w:position w:val="0"/>
                <w:sz w:val="18"/>
                <w:szCs w:val="18"/>
              </w:rPr>
              <w:t>，</w:t>
            </w:r>
            <w:r>
              <w:rPr>
                <w:color w:val="000000"/>
                <w:spacing w:val="0"/>
                <w:w w:val="100"/>
                <w:position w:val="0"/>
                <w:sz w:val="17"/>
                <w:szCs w:val="17"/>
              </w:rPr>
              <w:t>只需学习一套系统</w:t>
            </w:r>
            <w:r>
              <w:rPr>
                <w:color w:val="000000"/>
                <w:spacing w:val="0"/>
                <w:w w:val="100"/>
                <w:position w:val="0"/>
                <w:sz w:val="18"/>
                <w:szCs w:val="18"/>
              </w:rPr>
              <w:t>，</w:t>
            </w:r>
            <w:r>
              <w:rPr>
                <w:color w:val="000000"/>
                <w:spacing w:val="0"/>
                <w:w w:val="100"/>
                <w:position w:val="0"/>
                <w:sz w:val="17"/>
                <w:szCs w:val="17"/>
              </w:rPr>
              <w:t>便可管理一间餐厅的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年研发已完成</w:t>
            </w:r>
          </w:p>
        </w:tc>
      </w:tr>
    </w:tbl>
    <w:p>
      <w:pPr>
        <w:spacing w:lineRule="exact" w:line="1"/>
        <w:rPr>
          <w:sz w:val="2"/>
          <w:szCs w:val="2"/>
        </w:rPr>
      </w:pPr>
      <w:r>
        <w:br w:type="page"/>
      </w:r>
    </w:p>
    <w:tbl>
      <w:tblPr>
        <w:tblOverlap w:val="never"/>
        <w:jc w:val="center"/>
        <w:tblLayout w:type="fixed"/>
      </w:tblPr>
      <w:tblGrid>
        <w:gridCol w:w="1003"/>
        <w:gridCol w:w="1272"/>
        <w:gridCol w:w="4819"/>
        <w:gridCol w:w="24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所有信息展示；只需一个平台便可管理餐厅的日常信息展示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而且一套系统有助数据管理，不需担心两个系统转换数据问 题，简化餐厅日常管理工作。</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石基显示控 制云系统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3,221,008.48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石基显示控制云系统是一款运行于云平台先进的显示屏管理 系统，通过配置不同的屏幕显示信息，方便厨房显示出菜信 息、餐厅员工掌握菜品处理状态。此系统适用于各类酒店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俱 乐部餐厅、中式餐厅、西式餐厅、日式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寿司餐厅、酒吧等场 合，大大简化了平时的询问菜品出品情况，提高了客户的管 理水平。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年研发已完成</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预先点单云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3,085,482.42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石基预先点单云系统是一款运行于云平台先进的客人自助式 点菜系统，客人可通过手机、平板设备、自助机等在餐前或 候位期间预先点菜，缩短入座后的点菜等菜时间，有助于餐 厅提升服务水平及提高翻台率。此预先点单系统适用于各类 酒店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俱乐部餐厅、中式餐厅、西式餐厅、日式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寿司餐厅、 酒吧等场合。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年研发已完成</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石基会员管 理云系统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3,522,656.78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石基会员管理云系统是基于云端系统开发出的一款会员信息 中央管理的系统。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年研发已完成</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石基数字酒 店早餐管理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10,879,511.26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石基数字酒店早餐管理系统是一款集成客户数据，智能化查 询，消费，抛账一体的云化软件。解决客户的餐饮类，券类 数据的查询、消费、抛账、管理方面的需求。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年研发已完成</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马拉卡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2,794,024.77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马拉卡系统主要用于企业内部产品管理、客户管理、销售合 同管理、安装单管理、</w:t>
            </w:r>
            <w:r>
              <w:rPr>
                <w:rFonts w:ascii="Times New Roman" w:eastAsia="Times New Roman" w:hAnsi="Times New Roman" w:cs="Times New Roman"/>
                <w:color w:val="000000"/>
                <w:spacing w:val="0"/>
                <w:w w:val="100"/>
                <w:position w:val="0"/>
                <w:sz w:val="18"/>
                <w:szCs w:val="18"/>
              </w:rPr>
              <w:t>License</w:t>
            </w:r>
            <w:r>
              <w:rPr>
                <w:color w:val="000000"/>
                <w:spacing w:val="0"/>
                <w:w w:val="100"/>
                <w:position w:val="0"/>
                <w:sz w:val="17"/>
                <w:szCs w:val="17"/>
              </w:rPr>
              <w:t>管理、用户、权限及日志等管 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已完成</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敏付无卡项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8,364,035.72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针对多频、小额行业提供更多样化的支付产品和服务进行无 卡项目平台的搭建。在便捷支付的基础上，更好的规避资金 风险，保证交易过程的流畅，数据保存完整、完全。根据监 管部门的要求实现交易流程化、透明化、系统化。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 上线运行。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305" w:lineRule="exact"/>
              <w:ind w:left="0" w:right="0" w:firstLine="0"/>
              <w:jc w:val="left"/>
              <w:rPr>
                <w:sz w:val="18"/>
                <w:szCs w:val="18"/>
              </w:rPr>
            </w:pPr>
            <w:r>
              <w:rPr>
                <w:color w:val="000000"/>
                <w:spacing w:val="0"/>
                <w:w w:val="100"/>
                <w:position w:val="0"/>
                <w:sz w:val="17"/>
                <w:szCs w:val="17"/>
              </w:rPr>
              <w:t>敏付跨境支 付系统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 称：</w:t>
            </w:r>
            <w:r>
              <w:rPr>
                <w:rFonts w:ascii="Times New Roman" w:eastAsia="Times New Roman" w:hAnsi="Times New Roman" w:cs="Times New Roman"/>
                <w:color w:val="000000"/>
                <w:spacing w:val="0"/>
                <w:w w:val="100"/>
                <w:position w:val="0"/>
                <w:sz w:val="18"/>
                <w:szCs w:val="18"/>
              </w:rPr>
              <w:t>MinPay</w:t>
            </w:r>
          </w:p>
          <w:p>
            <w:pPr>
              <w:pStyle w:val="Style20"/>
              <w:keepNext w:val="0"/>
              <w:keepLines w:val="0"/>
              <w:widowControl w:val="0"/>
              <w:shd w:val="clear" w:color="auto" w:fill="auto"/>
              <w:bidi w:val="0"/>
              <w:spacing w:before="0" w:after="0" w:line="353"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CPM］</w:t>
            </w:r>
            <w:r>
              <w:rPr>
                <w:color w:val="000000"/>
                <w:spacing w:val="0"/>
                <w:w w:val="100"/>
                <w:position w:val="0"/>
                <w:sz w:val="17"/>
                <w:szCs w:val="17"/>
              </w:rPr>
              <w:t>二期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1,568,293.17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敏付积极响应广西区政府及人民银行等监管部门的号召，为 改变目前边贸业务不利于监管部门统一监控和管理的现状， 为广西边境贸易提供量身定做的一款特色产品。能促进广西 口岸进行边境贸易的正规化和系统化，保障客户资金安全、 更好地满足广西边境企业多样化的业务需求。现该系统已推 广到广西区三个口岸十二个合作社。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9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敏付云闪付 收单前置系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703,535.87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基于银联推出的云闪付业务开发的系统，云闪付以小额高频 交易为主，该系统准确实时推送到内部系统进行处理清分， 避免账务等核心系统瘫痪导致的交易中断风险，能有效减轻 核心系统压力，在提升敏付通道收单能力与对外商户收单产 品能力的同时，保持交易稳定，保证商户交易时效性。</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年已上线运行。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石基数据中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10,966,276.79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石基</w:t>
            </w:r>
            <w:r>
              <w:rPr>
                <w:rFonts w:ascii="Times New Roman" w:eastAsia="Times New Roman" w:hAnsi="Times New Roman" w:cs="Times New Roman"/>
                <w:color w:val="000000"/>
                <w:spacing w:val="0"/>
                <w:w w:val="100"/>
                <w:position w:val="0"/>
                <w:sz w:val="18"/>
                <w:szCs w:val="18"/>
              </w:rPr>
              <w:t>SDP</w:t>
            </w:r>
            <w:r>
              <w:rPr>
                <w:color w:val="000000"/>
                <w:spacing w:val="0"/>
                <w:w w:val="100"/>
                <w:position w:val="0"/>
                <w:sz w:val="17"/>
                <w:szCs w:val="17"/>
              </w:rPr>
              <w:t>数据中台产品可以为用户提供一套完整的数据管理 体系，包括：模型构建、数据血缘关系、任务调度、数据清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已完成</w:t>
            </w:r>
          </w:p>
        </w:tc>
      </w:tr>
    </w:tbl>
    <w:p>
      <w:pPr>
        <w:spacing w:lineRule="exact" w:line="1"/>
        <w:rPr>
          <w:sz w:val="2"/>
          <w:szCs w:val="2"/>
        </w:rPr>
      </w:pPr>
      <w:r>
        <w:br w:type="page"/>
      </w:r>
    </w:p>
    <w:tbl>
      <w:tblPr>
        <w:tblOverlap w:val="never"/>
        <w:jc w:val="center"/>
        <w:tblLayout w:type="fixed"/>
      </w:tblPr>
      <w:tblGrid>
        <w:gridCol w:w="1003"/>
        <w:gridCol w:w="1272"/>
        <w:gridCol w:w="4819"/>
        <w:gridCol w:w="2491"/>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台产品</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洗、数据集构建，指标管理等。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酒店宾客自 助系统</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E-Journey</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2,246,104.88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酒店宾客自助系统是针对酒店客人推出的一款网页应用程 序。酒店客人可以通过网页方便快捷地实现自助选房、支付 预付款、入住、查看账单以及客房服务等操作。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r>
        <w:trPr>
          <w:trHeight w:val="50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西软餐饮服 务接口平台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1,481,456.71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主要功能：外卖数据能够自动进入餐饮系统，能够在系统营 业报表体现外卖数据，减少人工手工重复录入外卖数据。同 一酒店可以对接多个外卖商家账号，汇总各种外卖的收入数 据来体现一个完整的酒店营业收入；拆解剥离外卖的各种营 销费用，让营业日报上可以直观体现酒店的外卖实际收入， 对接外卖平台和酒店餐饮系统，将外卖平台上的数据接入到 酒店餐饮系统中，让酒店可以直接在餐饮系统中看到包含外 卖在内的所有营收数据。技术特点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、开发技术以</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React Native</w:t>
            </w:r>
            <w:r>
              <w:rPr>
                <w:color w:val="000000"/>
                <w:spacing w:val="0"/>
                <w:w w:val="100"/>
                <w:position w:val="0"/>
                <w:sz w:val="17"/>
                <w:szCs w:val="17"/>
              </w:rPr>
              <w:t>为主线；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、产品设计模块化、平台化；</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、服务端采用 </w:t>
            </w:r>
            <w:r>
              <w:rPr>
                <w:rFonts w:ascii="Times New Roman" w:eastAsia="Times New Roman" w:hAnsi="Times New Roman" w:cs="Times New Roman"/>
                <w:color w:val="000000"/>
                <w:spacing w:val="0"/>
                <w:w w:val="100"/>
                <w:position w:val="0"/>
                <w:sz w:val="18"/>
                <w:szCs w:val="18"/>
              </w:rPr>
              <w:t>tomcat</w:t>
            </w:r>
            <w:r>
              <w:rPr>
                <w:color w:val="000000"/>
                <w:spacing w:val="0"/>
                <w:w w:val="100"/>
                <w:position w:val="0"/>
                <w:sz w:val="17"/>
                <w:szCs w:val="17"/>
              </w:rPr>
              <w:t>为中间件进行部署，</w:t>
            </w:r>
            <w:r>
              <w:rPr>
                <w:rFonts w:ascii="Times New Roman" w:eastAsia="Times New Roman" w:hAnsi="Times New Roman" w:cs="Times New Roman"/>
                <w:color w:val="000000"/>
                <w:spacing w:val="0"/>
                <w:w w:val="100"/>
                <w:position w:val="0"/>
                <w:sz w:val="18"/>
                <w:szCs w:val="18"/>
              </w:rPr>
              <w:t>MySQL</w:t>
            </w:r>
            <w:r>
              <w:rPr>
                <w:color w:val="000000"/>
                <w:spacing w:val="0"/>
                <w:w w:val="100"/>
                <w:position w:val="0"/>
                <w:sz w:val="17"/>
                <w:szCs w:val="17"/>
              </w:rPr>
              <w:t>为数据存储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Redis</w:t>
            </w:r>
            <w:r>
              <w:rPr>
                <w:color w:val="000000"/>
                <w:spacing w:val="0"/>
                <w:w w:val="100"/>
                <w:position w:val="0"/>
                <w:sz w:val="17"/>
                <w:szCs w:val="17"/>
              </w:rPr>
              <w:t>为缓存 设施，以自研的文件服务器作为基础资源文件的存储；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、可 以在</w:t>
            </w:r>
            <w:r>
              <w:rPr>
                <w:rFonts w:ascii="Times New Roman" w:eastAsia="Times New Roman" w:hAnsi="Times New Roman" w:cs="Times New Roman"/>
                <w:color w:val="000000"/>
                <w:spacing w:val="0"/>
                <w:w w:val="100"/>
                <w:position w:val="0"/>
                <w:sz w:val="18"/>
                <w:szCs w:val="18"/>
              </w:rPr>
              <w:t>Andnod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iOS</w:t>
            </w:r>
            <w:r>
              <w:rPr>
                <w:color w:val="000000"/>
                <w:spacing w:val="0"/>
                <w:w w:val="100"/>
                <w:position w:val="0"/>
                <w:sz w:val="17"/>
                <w:szCs w:val="17"/>
              </w:rPr>
              <w:t>平台使用，可以离线安装也可以应用商店 安装，并支持更新；</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、产品无缝对接西软</w:t>
            </w:r>
            <w:r>
              <w:rPr>
                <w:rFonts w:ascii="Times New Roman" w:eastAsia="Times New Roman" w:hAnsi="Times New Roman" w:cs="Times New Roman"/>
                <w:color w:val="000000"/>
                <w:spacing w:val="0"/>
                <w:w w:val="100"/>
                <w:position w:val="0"/>
                <w:sz w:val="18"/>
                <w:szCs w:val="18"/>
              </w:rPr>
              <w:t>XMS</w:t>
            </w:r>
            <w:r>
              <w:rPr>
                <w:color w:val="000000"/>
                <w:spacing w:val="0"/>
                <w:w w:val="100"/>
                <w:position w:val="0"/>
                <w:sz w:val="17"/>
                <w:szCs w:val="17"/>
              </w:rPr>
              <w:t>系列</w:t>
            </w:r>
            <w:r>
              <w:rPr>
                <w:rFonts w:ascii="Times New Roman" w:eastAsia="Times New Roman" w:hAnsi="Times New Roman" w:cs="Times New Roman"/>
                <w:color w:val="000000"/>
                <w:spacing w:val="0"/>
                <w:w w:val="100"/>
                <w:position w:val="0"/>
                <w:sz w:val="18"/>
                <w:szCs w:val="18"/>
              </w:rPr>
              <w:t>PMS</w:t>
            </w:r>
            <w:r>
              <w:rPr>
                <w:color w:val="000000"/>
                <w:spacing w:val="0"/>
                <w:w w:val="100"/>
                <w:position w:val="0"/>
                <w:sz w:val="17"/>
                <w:szCs w:val="17"/>
              </w:rPr>
              <w:t>系 统；</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、对接饿了么的平台使用</w:t>
            </w:r>
            <w:r>
              <w:rPr>
                <w:rFonts w:ascii="Times New Roman" w:eastAsia="Times New Roman" w:hAnsi="Times New Roman" w:cs="Times New Roman"/>
                <w:color w:val="000000"/>
                <w:spacing w:val="0"/>
                <w:w w:val="100"/>
                <w:position w:val="0"/>
                <w:sz w:val="18"/>
                <w:szCs w:val="18"/>
              </w:rPr>
              <w:t>spnngboot</w:t>
            </w:r>
            <w:r>
              <w:rPr>
                <w:color w:val="000000"/>
                <w:spacing w:val="0"/>
                <w:w w:val="100"/>
                <w:position w:val="0"/>
                <w:sz w:val="17"/>
                <w:szCs w:val="17"/>
              </w:rPr>
              <w:t>开发，并部署在阿 里聚石塔内，通过阿里奇门接口来与外部通讯，来保证饿了 么的数据安全。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年已研发完成</w:t>
            </w:r>
          </w:p>
        </w:tc>
      </w:tr>
      <w:tr>
        <w:trPr>
          <w:trHeight w:val="47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西软云快捷 酒店管理软 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1,288,791.53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主要功能：该软件目前主要针对酒店软件体系中的前台入住 系统。主要功能是可以便捷的完成宾客的预订接待；在住宾 客的账务处理；对酒店的客房中心、房态图进行管理；对酒 店客房的的销售情况和销售人员的统计管理；酒店账务的审 核以及酒店经营指标和各种报表的查询。以及提供维护系统, 对酒店的各种配置、代码进行维护处理。本软件运用了新的 架构模式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云架构，可以支持在线下载安装，云架构使酒店管 理系统操作更加高效、便捷。软件在稳定性、可靠性、安全 性方面进行了优化；并且系统更具开放性、延伸性，提供了 移动互联的各种应用和微信、微博等移动互联接口。技术特 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、开发技术栈以</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Nodejs</w:t>
            </w:r>
            <w:r>
              <w:rPr>
                <w:color w:val="000000"/>
                <w:spacing w:val="0"/>
                <w:w w:val="100"/>
                <w:position w:val="0"/>
                <w:sz w:val="17"/>
                <w:szCs w:val="17"/>
              </w:rPr>
              <w:t>为主线；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、产品设计模 块化、平台化，分布式部署；</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、采用</w:t>
            </w:r>
            <w:r>
              <w:rPr>
                <w:rFonts w:ascii="Times New Roman" w:eastAsia="Times New Roman" w:hAnsi="Times New Roman" w:cs="Times New Roman"/>
                <w:color w:val="000000"/>
                <w:spacing w:val="0"/>
                <w:w w:val="100"/>
                <w:position w:val="0"/>
                <w:sz w:val="18"/>
                <w:szCs w:val="18"/>
              </w:rPr>
              <w:t>jboss/wildfly</w:t>
            </w:r>
            <w:r>
              <w:rPr>
                <w:color w:val="000000"/>
                <w:spacing w:val="0"/>
                <w:w w:val="100"/>
                <w:position w:val="0"/>
                <w:sz w:val="17"/>
                <w:szCs w:val="17"/>
              </w:rPr>
              <w:t>为中间件 进行部署，</w:t>
            </w:r>
            <w:r>
              <w:rPr>
                <w:rFonts w:ascii="Times New Roman" w:eastAsia="Times New Roman" w:hAnsi="Times New Roman" w:cs="Times New Roman"/>
                <w:color w:val="000000"/>
                <w:spacing w:val="0"/>
                <w:w w:val="100"/>
                <w:position w:val="0"/>
                <w:sz w:val="18"/>
                <w:szCs w:val="18"/>
              </w:rPr>
              <w:t>MySQL</w:t>
            </w:r>
            <w:r>
              <w:rPr>
                <w:color w:val="000000"/>
                <w:spacing w:val="0"/>
                <w:w w:val="100"/>
                <w:position w:val="0"/>
                <w:sz w:val="17"/>
                <w:szCs w:val="17"/>
              </w:rPr>
              <w:t>为数据存储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Redis</w:t>
            </w:r>
            <w:r>
              <w:rPr>
                <w:color w:val="000000"/>
                <w:spacing w:val="0"/>
                <w:w w:val="100"/>
                <w:position w:val="0"/>
                <w:sz w:val="17"/>
                <w:szCs w:val="17"/>
              </w:rPr>
              <w:t>为缓存设施；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、产品支 持按功能授权，角色授权，有助集团有效管理旗下品牌和分 店；</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、产品易安装、易培训、易操作。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年已取得软件著作权</w:t>
            </w:r>
          </w:p>
        </w:tc>
      </w:tr>
      <w:tr>
        <w:trPr>
          <w:trHeight w:val="255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西软扫码通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754,670.65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主要功能：该软件主要针对餐厅手机扫码点餐。主要功能是 提供微信、支付宝扫码后打开点餐界面，客人可以直接点餐、 查看点单明细、线上付款、查看历史订单的功能。移动后台 配置：系统配置、营业点、微信绑定、二维码管理等。技术 特点：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、开发技术栈以</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Nodejs</w:t>
            </w:r>
            <w:r>
              <w:rPr>
                <w:color w:val="000000"/>
                <w:spacing w:val="0"/>
                <w:w w:val="100"/>
                <w:position w:val="0"/>
                <w:sz w:val="17"/>
                <w:szCs w:val="17"/>
              </w:rPr>
              <w:t>为主线；</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、产品设计 模块化、平台化，分布式部署；</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、采用</w:t>
            </w:r>
            <w:r>
              <w:rPr>
                <w:rFonts w:ascii="Times New Roman" w:eastAsia="Times New Roman" w:hAnsi="Times New Roman" w:cs="Times New Roman"/>
                <w:color w:val="000000"/>
                <w:spacing w:val="0"/>
                <w:w w:val="100"/>
                <w:position w:val="0"/>
                <w:sz w:val="18"/>
                <w:szCs w:val="18"/>
              </w:rPr>
              <w:t>jboss/wildfly</w:t>
            </w:r>
            <w:r>
              <w:rPr>
                <w:color w:val="000000"/>
                <w:spacing w:val="0"/>
                <w:w w:val="100"/>
                <w:position w:val="0"/>
                <w:sz w:val="17"/>
                <w:szCs w:val="17"/>
              </w:rPr>
              <w:t>为中间 件进行部署，</w:t>
            </w:r>
            <w:r>
              <w:rPr>
                <w:rFonts w:ascii="Times New Roman" w:eastAsia="Times New Roman" w:hAnsi="Times New Roman" w:cs="Times New Roman"/>
                <w:color w:val="000000"/>
                <w:spacing w:val="0"/>
                <w:w w:val="100"/>
                <w:position w:val="0"/>
                <w:sz w:val="18"/>
                <w:szCs w:val="18"/>
              </w:rPr>
              <w:t>MySQL</w:t>
            </w:r>
            <w:r>
              <w:rPr>
                <w:color w:val="000000"/>
                <w:spacing w:val="0"/>
                <w:w w:val="100"/>
                <w:position w:val="0"/>
                <w:sz w:val="17"/>
                <w:szCs w:val="17"/>
              </w:rPr>
              <w:t>为数据存储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Redis</w:t>
            </w:r>
            <w:r>
              <w:rPr>
                <w:color w:val="000000"/>
                <w:spacing w:val="0"/>
                <w:w w:val="100"/>
                <w:position w:val="0"/>
                <w:sz w:val="17"/>
                <w:szCs w:val="17"/>
              </w:rPr>
              <w:t>为缓存设施；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、产品 支持按功能授权，角色授权，有助集团有效管理旗下品牌和</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年已取得软件著作权</w:t>
            </w:r>
          </w:p>
        </w:tc>
      </w:tr>
    </w:tbl>
    <w:p>
      <w:pPr>
        <w:spacing w:lineRule="exact" w:line="1"/>
        <w:rPr>
          <w:sz w:val="2"/>
          <w:szCs w:val="2"/>
        </w:rPr>
      </w:pPr>
      <w:r>
        <w:br w:type="page"/>
      </w:r>
    </w:p>
    <w:tbl>
      <w:tblPr>
        <w:tblOverlap w:val="never"/>
        <w:jc w:val="center"/>
        <w:tblLayout w:type="fixed"/>
      </w:tblPr>
      <w:tblGrid>
        <w:gridCol w:w="1003"/>
        <w:gridCol w:w="1272"/>
        <w:gridCol w:w="4819"/>
        <w:gridCol w:w="24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分店；</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昆仑综合管 控平台</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KCC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3,686,735.32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KCC</w:t>
            </w:r>
            <w:r>
              <w:rPr>
                <w:color w:val="000000"/>
                <w:spacing w:val="0"/>
                <w:w w:val="100"/>
                <w:position w:val="0"/>
                <w:sz w:val="17"/>
                <w:szCs w:val="17"/>
              </w:rPr>
              <w:t>景区综合管控系统的开发，让景区可以通过数据中心查 看景区内的票务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餐饮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零售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一卡通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停车场以及线上售票渠道 的各类消费统计，可以在大屏，</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7"/>
                <w:szCs w:val="17"/>
              </w:rPr>
              <w:t>或者</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上进行</w:t>
            </w:r>
            <w:r>
              <w:rPr>
                <w:rFonts w:ascii="Times New Roman" w:eastAsia="Times New Roman" w:hAnsi="Times New Roman" w:cs="Times New Roman"/>
                <w:color w:val="000000"/>
                <w:spacing w:val="0"/>
                <w:w w:val="100"/>
                <w:position w:val="0"/>
                <w:sz w:val="18"/>
                <w:szCs w:val="18"/>
              </w:rPr>
              <w:t>BI</w:t>
            </w:r>
            <w:r>
              <w:rPr>
                <w:color w:val="000000"/>
                <w:spacing w:val="0"/>
                <w:w w:val="100"/>
                <w:position w:val="0"/>
                <w:sz w:val="17"/>
                <w:szCs w:val="17"/>
              </w:rPr>
              <w:t>查看; 可以通过监管中心可以进行景区地图管理，告警管理，安防 监管，环境监管；通过运维中心可以进行系统设置，运维管 理，组织机构管理，数据资源管理；通过上面三大模块让客 户对景区进行全面的掌握。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已完成，申请软件著作权中</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目的地分销 业务平台</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Clota V3.1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4,708,313.92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目的地分销业务平台是一款适用于各类旅游目的地的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营 销管控产品，具有所有</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 xml:space="preserve">软件的通用特点。作为旅游目的 地分销管控平台，集中管理票、冰雪、卡类、房类、剧院等 各业态产品定义、价格定义、销售控制、库存管理等，同时 支持跨业态产品打包，支持景区全域化发展战略规划。通过 不同的平台入口，以及接口对接，实现官网、官微、旅行社、 </w:t>
            </w:r>
            <w:r>
              <w:rPr>
                <w:rFonts w:ascii="Times New Roman" w:eastAsia="Times New Roman" w:hAnsi="Times New Roman" w:cs="Times New Roman"/>
                <w:color w:val="000000"/>
                <w:spacing w:val="0"/>
                <w:w w:val="100"/>
                <w:position w:val="0"/>
                <w:sz w:val="18"/>
                <w:szCs w:val="18"/>
              </w:rPr>
              <w:t>OTA</w:t>
            </w:r>
            <w:r>
              <w:rPr>
                <w:color w:val="000000"/>
                <w:spacing w:val="0"/>
                <w:w w:val="100"/>
                <w:position w:val="0"/>
                <w:sz w:val="17"/>
                <w:szCs w:val="17"/>
              </w:rPr>
              <w:t>、</w:t>
            </w:r>
            <w:r>
              <w:rPr>
                <w:color w:val="000000"/>
                <w:spacing w:val="0"/>
                <w:w w:val="100"/>
                <w:position w:val="0"/>
                <w:sz w:val="17"/>
                <w:szCs w:val="17"/>
              </w:rPr>
              <w:t>扫码购、大客户等各销售渠道的产品售卖和管控。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已完成，申请软件著作权中</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目的地</w:t>
            </w:r>
            <w:r>
              <w:rPr>
                <w:rFonts w:ascii="Times New Roman" w:eastAsia="Times New Roman" w:hAnsi="Times New Roman" w:cs="Times New Roman"/>
                <w:color w:val="000000"/>
                <w:spacing w:val="0"/>
                <w:w w:val="100"/>
                <w:position w:val="0"/>
                <w:sz w:val="18"/>
                <w:szCs w:val="18"/>
              </w:rPr>
              <w:t xml:space="preserve">OTA </w:t>
            </w:r>
            <w:r>
              <w:rPr>
                <w:color w:val="000000"/>
                <w:spacing w:val="0"/>
                <w:w w:val="100"/>
                <w:position w:val="0"/>
                <w:sz w:val="17"/>
                <w:szCs w:val="17"/>
              </w:rPr>
              <w:t>预定</w:t>
            </w:r>
            <w:r>
              <w:rPr>
                <w:rFonts w:ascii="Times New Roman" w:eastAsia="Times New Roman" w:hAnsi="Times New Roman" w:cs="Times New Roman"/>
                <w:color w:val="000000"/>
                <w:spacing w:val="0"/>
                <w:w w:val="100"/>
                <w:position w:val="0"/>
                <w:sz w:val="18"/>
                <w:szCs w:val="18"/>
              </w:rPr>
              <w:t xml:space="preserve">Switch </w:t>
            </w:r>
            <w:r>
              <w:rPr>
                <w:color w:val="000000"/>
                <w:spacing w:val="0"/>
                <w:w w:val="100"/>
                <w:position w:val="0"/>
                <w:sz w:val="17"/>
                <w:szCs w:val="17"/>
              </w:rPr>
              <w:t xml:space="preserve">系统 </w:t>
            </w:r>
            <w:r>
              <w:rPr>
                <w:rFonts w:ascii="Times New Roman" w:eastAsia="Times New Roman" w:hAnsi="Times New Roman" w:cs="Times New Roman"/>
                <w:color w:val="000000"/>
                <w:spacing w:val="0"/>
                <w:w w:val="100"/>
                <w:position w:val="0"/>
                <w:sz w:val="18"/>
                <w:szCs w:val="18"/>
              </w:rPr>
              <w:t>C-Switch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2,226,013.56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目的地</w:t>
            </w:r>
            <w:r>
              <w:rPr>
                <w:rFonts w:ascii="Times New Roman" w:eastAsia="Times New Roman" w:hAnsi="Times New Roman" w:cs="Times New Roman"/>
                <w:color w:val="000000"/>
                <w:spacing w:val="0"/>
                <w:w w:val="100"/>
                <w:position w:val="0"/>
                <w:sz w:val="18"/>
                <w:szCs w:val="18"/>
              </w:rPr>
              <w:t>OTA</w:t>
            </w:r>
            <w:r>
              <w:rPr>
                <w:color w:val="000000"/>
                <w:spacing w:val="0"/>
                <w:w w:val="100"/>
                <w:position w:val="0"/>
                <w:sz w:val="17"/>
                <w:szCs w:val="17"/>
              </w:rPr>
              <w:t>预定</w:t>
            </w:r>
            <w:r>
              <w:rPr>
                <w:rFonts w:ascii="Times New Roman" w:eastAsia="Times New Roman" w:hAnsi="Times New Roman" w:cs="Times New Roman"/>
                <w:color w:val="000000"/>
                <w:spacing w:val="0"/>
                <w:w w:val="100"/>
                <w:position w:val="0"/>
                <w:sz w:val="18"/>
                <w:szCs w:val="18"/>
              </w:rPr>
              <w:t>Switch</w:t>
            </w:r>
            <w:r>
              <w:rPr>
                <w:color w:val="000000"/>
                <w:spacing w:val="0"/>
                <w:w w:val="100"/>
                <w:position w:val="0"/>
                <w:sz w:val="17"/>
                <w:szCs w:val="17"/>
              </w:rPr>
              <w:t>系统为各旅游目的地平台对接</w:t>
            </w:r>
            <w:r>
              <w:rPr>
                <w:rFonts w:ascii="Times New Roman" w:eastAsia="Times New Roman" w:hAnsi="Times New Roman" w:cs="Times New Roman"/>
                <w:color w:val="000000"/>
                <w:spacing w:val="0"/>
                <w:w w:val="100"/>
                <w:position w:val="0"/>
                <w:sz w:val="18"/>
                <w:szCs w:val="18"/>
              </w:rPr>
              <w:t xml:space="preserve">OTA </w:t>
            </w:r>
            <w:r>
              <w:rPr>
                <w:color w:val="000000"/>
                <w:spacing w:val="0"/>
                <w:w w:val="100"/>
                <w:position w:val="0"/>
                <w:sz w:val="17"/>
                <w:szCs w:val="17"/>
              </w:rPr>
              <w:t>提供一致性操作，</w:t>
            </w:r>
            <w:r>
              <w:rPr>
                <w:rFonts w:ascii="Times New Roman" w:eastAsia="Times New Roman" w:hAnsi="Times New Roman" w:cs="Times New Roman"/>
                <w:color w:val="000000"/>
                <w:spacing w:val="0"/>
                <w:w w:val="100"/>
                <w:position w:val="0"/>
                <w:sz w:val="18"/>
                <w:szCs w:val="18"/>
              </w:rPr>
              <w:t>OTA Switch</w:t>
            </w:r>
            <w:r>
              <w:rPr>
                <w:color w:val="000000"/>
                <w:spacing w:val="0"/>
                <w:w w:val="100"/>
                <w:position w:val="0"/>
                <w:sz w:val="17"/>
                <w:szCs w:val="17"/>
              </w:rPr>
              <w:t>系统屏蔽了各</w:t>
            </w:r>
            <w:r>
              <w:rPr>
                <w:rFonts w:ascii="Times New Roman" w:eastAsia="Times New Roman" w:hAnsi="Times New Roman" w:cs="Times New Roman"/>
                <w:color w:val="000000"/>
                <w:spacing w:val="0"/>
                <w:w w:val="100"/>
                <w:position w:val="0"/>
                <w:sz w:val="18"/>
                <w:szCs w:val="18"/>
              </w:rPr>
              <w:t>OTA</w:t>
            </w:r>
            <w:r>
              <w:rPr>
                <w:color w:val="000000"/>
                <w:spacing w:val="0"/>
                <w:w w:val="100"/>
                <w:position w:val="0"/>
                <w:sz w:val="17"/>
                <w:szCs w:val="17"/>
              </w:rPr>
              <w:t>接口定义、 调用方式、数据结构的差异，为旅游目的地平台提供统一对 接接口。通过与该</w:t>
            </w:r>
            <w:r>
              <w:rPr>
                <w:rFonts w:ascii="Times New Roman" w:eastAsia="Times New Roman" w:hAnsi="Times New Roman" w:cs="Times New Roman"/>
                <w:color w:val="000000"/>
                <w:spacing w:val="0"/>
                <w:w w:val="100"/>
                <w:position w:val="0"/>
                <w:sz w:val="18"/>
                <w:szCs w:val="18"/>
              </w:rPr>
              <w:t>OTA Switch</w:t>
            </w:r>
            <w:r>
              <w:rPr>
                <w:color w:val="000000"/>
                <w:spacing w:val="0"/>
                <w:w w:val="100"/>
                <w:position w:val="0"/>
                <w:sz w:val="17"/>
                <w:szCs w:val="17"/>
              </w:rPr>
              <w:t>接口对接，旅游目的地平台（如 分销平台，或其他第三方系统）可轻松实现景区产品在</w:t>
            </w:r>
            <w:r>
              <w:rPr>
                <w:rFonts w:ascii="Times New Roman" w:eastAsia="Times New Roman" w:hAnsi="Times New Roman" w:cs="Times New Roman"/>
                <w:color w:val="000000"/>
                <w:spacing w:val="0"/>
                <w:w w:val="100"/>
                <w:position w:val="0"/>
                <w:sz w:val="18"/>
                <w:szCs w:val="18"/>
              </w:rPr>
              <w:t xml:space="preserve">OTA </w:t>
            </w:r>
            <w:r>
              <w:rPr>
                <w:color w:val="000000"/>
                <w:spacing w:val="0"/>
                <w:w w:val="100"/>
                <w:position w:val="0"/>
                <w:sz w:val="17"/>
                <w:szCs w:val="17"/>
              </w:rPr>
              <w:t>渠道的售卖。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已完成，申请软件著作权中</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旅行社预订 系统</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TA-WBE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2,613,806.34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旅行社预订系统为旅游目的地合作伙伴旅行社及大客户搭建 的产品售卖及分销系统，通过与旅游目的地建立合作协议， 旅行社可登陆该平台，查看可购买的各景区各业态产品信息， 并根据需要预定产品，并可在系统内查看订单状态。支持定 存、到付、在线实时支付等多种支付方式。旅行社可维护自 己的员工信息、导游信息、司机信息等。旅行社可在平台上 在线充值预存金到景区。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已完成，申请软件著作权中</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目的地常客 及年卡系统</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C-Member</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2,935,432.67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目的地常客及年卡系统是一款适用于各类旅游目的地的常客 管理系统，该平台提供常客信息管理、卡管理、积分、储值、 折扣、优惠券等功能，该系统对外提供标准接口，各消费系 统（如票务系统、餐商系统等）通过接口形式对接实现储值 消费、消费积分、折扣及优惠券使用等。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已完成，申请软件著作权中</w:t>
            </w:r>
          </w:p>
        </w:tc>
      </w:tr>
      <w:tr>
        <w:trPr>
          <w:trHeight w:val="28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智慧门店</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18,048,582.43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4046" w:val="left"/>
              </w:tabs>
              <w:bidi w:val="0"/>
              <w:spacing w:before="0" w:after="0" w:line="313" w:lineRule="exact"/>
              <w:ind w:left="0" w:right="0" w:firstLine="0"/>
              <w:jc w:val="both"/>
              <w:rPr>
                <w:sz w:val="17"/>
                <w:szCs w:val="17"/>
              </w:rPr>
            </w:pPr>
            <w:r>
              <w:rPr>
                <w:color w:val="000000"/>
                <w:spacing w:val="0"/>
                <w:w w:val="100"/>
                <w:position w:val="0"/>
                <w:sz w:val="17"/>
                <w:szCs w:val="17"/>
              </w:rPr>
              <w:t>智慧门店系统是以移动设备为载体、配套核心</w:t>
            </w:r>
            <w:r>
              <w:rPr>
                <w:rFonts w:ascii="Times New Roman" w:eastAsia="Times New Roman" w:hAnsi="Times New Roman" w:cs="Times New Roman"/>
                <w:color w:val="000000"/>
                <w:spacing w:val="0"/>
                <w:w w:val="100"/>
                <w:position w:val="0"/>
                <w:sz w:val="18"/>
                <w:szCs w:val="18"/>
              </w:rPr>
              <w:t>ERP</w:t>
              <w:tab/>
            </w:r>
            <w:r>
              <w:rPr>
                <w:color w:val="000000"/>
                <w:spacing w:val="0"/>
                <w:w w:val="100"/>
                <w:position w:val="0"/>
                <w:sz w:val="17"/>
                <w:szCs w:val="17"/>
              </w:rPr>
              <w:t>（含商超</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w:t>
            </w:r>
            <w:r>
              <w:rPr>
                <w:color w:val="000000"/>
                <w:spacing w:val="0"/>
                <w:w w:val="100"/>
                <w:position w:val="0"/>
                <w:sz w:val="17"/>
                <w:szCs w:val="17"/>
              </w:rPr>
              <w:t>百购</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w:t>
            </w:r>
            <w:r>
              <w:rPr>
                <w:color w:val="000000"/>
                <w:spacing w:val="0"/>
                <w:w w:val="100"/>
                <w:position w:val="0"/>
                <w:sz w:val="17"/>
                <w:szCs w:val="17"/>
              </w:rPr>
              <w:t>的门店终端作业管理系统。该系统以后台大 数据、智能策略引擎和任务调度引擎为基础，以智能设备为 载体，为门店作业人员提供工作指引和行动最佳路径，直观 地给业务人员工作做指导，以提高工作效率和工作质量。智 慧门店系统是零售</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系统的重要组成部分，是新零售实现 门店数字化、智能化的必备系统。智慧门店</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系统主要是 在原有云门店</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的基础上增加后台大数据、智能策略引擎和 任务引擎，原有</w:t>
            </w:r>
            <w:r>
              <w:rPr>
                <w:rFonts w:ascii="Times New Roman" w:eastAsia="Times New Roman" w:hAnsi="Times New Roman" w:cs="Times New Roman"/>
                <w:color w:val="000000"/>
                <w:spacing w:val="0"/>
                <w:w w:val="100"/>
                <w:position w:val="0"/>
                <w:sz w:val="18"/>
                <w:szCs w:val="18"/>
              </w:rPr>
              <w:t>PC Web</w:t>
            </w:r>
            <w:r>
              <w:rPr>
                <w:color w:val="000000"/>
                <w:spacing w:val="0"/>
                <w:w w:val="100"/>
                <w:position w:val="0"/>
                <w:sz w:val="17"/>
                <w:szCs w:val="17"/>
              </w:rPr>
              <w:t>程序的完善，增加智能设备支持，实</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年基本完成后台大数据、 智能策略引擎和任务引擎的开 发，完成门店移动作业系统的 第一个版本，并在一家商超企 业开始试点。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年主要是与 最新的商超</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ROC</w:t>
            </w:r>
            <w:r>
              <w:rPr>
                <w:color w:val="000000"/>
                <w:spacing w:val="0"/>
                <w:w w:val="100"/>
                <w:position w:val="0"/>
                <w:sz w:val="17"/>
                <w:szCs w:val="17"/>
              </w:rPr>
              <w:t>进行 产品集成，形成整体解决方案； 完善移动作业智能设备功能； 完成试点客户的全面推广；完</w:t>
            </w:r>
          </w:p>
        </w:tc>
      </w:tr>
    </w:tbl>
    <w:p>
      <w:pPr>
        <w:spacing w:lineRule="exact" w:line="1"/>
        <w:rPr>
          <w:sz w:val="2"/>
          <w:szCs w:val="2"/>
        </w:rPr>
      </w:pPr>
      <w:r>
        <w:br w:type="page"/>
      </w:r>
    </w:p>
    <w:tbl>
      <w:tblPr>
        <w:tblOverlap w:val="never"/>
        <w:jc w:val="center"/>
        <w:tblLayout w:type="fixed"/>
      </w:tblPr>
      <w:tblGrid>
        <w:gridCol w:w="1003"/>
        <w:gridCol w:w="1272"/>
        <w:gridCol w:w="4819"/>
        <w:gridCol w:w="24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现门店作业移动化、智能化，并完善产品文档和实施文档。</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善产品文档，完成相关实施文 档配套；建立产品支持团队， 支持产品推广。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全渠道会员 营销产品标</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准化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4,827,292.55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全渠道会员营销标准版解决方案，为流通企业提供高效的会 员营销管理平台，满足流通行业信息整体规划、分步实现的 信息建设进化过程，提供更多更丰富的功能，包括招募、触 达、运营、分析等各个方面的增强，与此同时整个产品在开 发、部署、交付、售后等各个方面实现真正的标准化的管理 与运营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智慧空间分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4,866,789.81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利用可视化、大数据，管理者通过直观对卖场进行分析，制 定营销策略。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品牌专卖系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4,757,992.67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增强总部管控能力，从货品、营销、财务对门店进行标准化 管理。增强合伙人管理，建立完善的引进及淘汰制度；通过 会员大数据分析，提供精准营销及门店选址的依据全渠道的 资源融合，实现传统门店和各大平台无缝对接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机场商业综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4,533,962.97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机场商业管理模式比较独特，与传统百货、购物中心业态的 不同体现在结算模式、商铺管理模式、信息采集方式、与外 部系统数据接口、海关监管、分析报表、全渠道运营等。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百购智能</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POSvl.0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2,796,106.59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百购智能</w:t>
            </w:r>
            <w:r>
              <w:rPr>
                <w:rFonts w:ascii="Times New Roman" w:eastAsia="Times New Roman" w:hAnsi="Times New Roman" w:cs="Times New Roman"/>
                <w:color w:val="000000"/>
                <w:spacing w:val="0"/>
                <w:w w:val="100"/>
                <w:position w:val="0"/>
                <w:sz w:val="18"/>
                <w:szCs w:val="18"/>
              </w:rPr>
              <w:t>POSV1.0</w:t>
            </w:r>
            <w:r>
              <w:rPr>
                <w:color w:val="000000"/>
                <w:spacing w:val="0"/>
                <w:w w:val="100"/>
                <w:position w:val="0"/>
                <w:sz w:val="17"/>
                <w:szCs w:val="17"/>
              </w:rPr>
              <w:t>终端统一接口服务、终端缓存服务、商品 服务、价格服务、会员服务、支付服务、订单服务、辅助功 能服务。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客群运营平</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台 </w:t>
            </w:r>
            <w:r>
              <w:rPr>
                <w:rFonts w:ascii="Times New Roman" w:eastAsia="Times New Roman" w:hAnsi="Times New Roman" w:cs="Times New Roman"/>
                <w:color w:val="000000"/>
                <w:spacing w:val="0"/>
                <w:w w:val="100"/>
                <w:position w:val="0"/>
                <w:sz w:val="18"/>
                <w:szCs w:val="18"/>
              </w:rPr>
              <w:t>vl.0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3,840,908.26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富基信息客群运营平台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产品的研发企在为零售企业提 供分客群的运营方案，为不同特点的客群提供针对性的运维 方案和精准性的营销方案，使企业精细化顾客运营落到实处, 提升企业的新客转化率、老客运维效率、以及精准营销转化 率；同时提升富基信息在顾客经营方面的应用能力和产品竞 争力。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连锁超市促</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547,141.70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采用微服务架构，摒弃以往的数据传输机制，减少数据传输 带来的不一致性、非时效性，减轻运维负担。采用</w:t>
            </w:r>
            <w:r>
              <w:rPr>
                <w:rFonts w:ascii="Times New Roman" w:eastAsia="Times New Roman" w:hAnsi="Times New Roman" w:cs="Times New Roman"/>
                <w:color w:val="000000"/>
                <w:spacing w:val="0"/>
                <w:w w:val="100"/>
                <w:position w:val="0"/>
                <w:sz w:val="18"/>
                <w:szCs w:val="18"/>
              </w:rPr>
              <w:t>B/S</w:t>
            </w:r>
            <w:r>
              <w:rPr>
                <w:color w:val="000000"/>
                <w:spacing w:val="0"/>
                <w:w w:val="100"/>
                <w:position w:val="0"/>
                <w:sz w:val="17"/>
                <w:szCs w:val="17"/>
              </w:rPr>
              <w:t>架构， 浏览器访问，减轻部署工作量。</w:t>
            </w:r>
            <w:r>
              <w:rPr>
                <w:color w:val="000000"/>
                <w:spacing w:val="0"/>
                <w:w w:val="100"/>
                <w:position w:val="0"/>
                <w:sz w:val="18"/>
                <w:szCs w:val="18"/>
              </w:rPr>
              <w:t>？</w:t>
            </w:r>
            <w:r>
              <w:rPr>
                <w:color w:val="000000"/>
                <w:spacing w:val="0"/>
                <w:w w:val="100"/>
                <w:position w:val="0"/>
                <w:sz w:val="17"/>
                <w:szCs w:val="17"/>
              </w:rPr>
              <w:t>采用促销引擎集中计算，相 比以往的各个终端计算机制，可以更能保障计算的一致性和 准确性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302" w:lineRule="exact"/>
              <w:ind w:left="0" w:right="0" w:firstLine="0"/>
              <w:jc w:val="left"/>
              <w:rPr>
                <w:sz w:val="17"/>
                <w:szCs w:val="17"/>
              </w:rPr>
            </w:pPr>
            <w:r>
              <w:rPr>
                <w:color w:val="000000"/>
                <w:spacing w:val="0"/>
                <w:w w:val="100"/>
                <w:position w:val="0"/>
                <w:sz w:val="17"/>
                <w:szCs w:val="17"/>
              </w:rPr>
              <w:t>新零售运营 中心（商超</w:t>
            </w:r>
          </w:p>
          <w:p>
            <w:pPr>
              <w:pStyle w:val="Style20"/>
              <w:keepNext w:val="0"/>
              <w:keepLines w:val="0"/>
              <w:widowControl w:val="0"/>
              <w:shd w:val="clear" w:color="auto" w:fill="auto"/>
              <w:bidi w:val="0"/>
              <w:spacing w:before="0" w:after="0" w:line="35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ROC</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10,227,739.65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本产品适用于连锁化经营的规模企业；借助于</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w:t>
            </w:r>
            <w:r>
              <w:rPr>
                <w:color w:val="000000"/>
                <w:spacing w:val="0"/>
                <w:w w:val="100"/>
                <w:position w:val="0"/>
                <w:sz w:val="17"/>
                <w:szCs w:val="17"/>
              </w:rPr>
              <w:t>移动互联 网、大数据、人工智能等新技术，帮助零售企业重塑零售流 程，再造业态结构和生态圈；聚焦多应用场景的建设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 xml:space="preserve">POS </w:t>
            </w:r>
            <w:r>
              <w:rPr>
                <w:color w:val="000000"/>
                <w:spacing w:val="0"/>
                <w:w w:val="100"/>
                <w:position w:val="0"/>
                <w:sz w:val="17"/>
                <w:szCs w:val="17"/>
              </w:rPr>
              <w:t>（商 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7,817,676.02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 xml:space="preserve">POS </w:t>
            </w:r>
            <w:r>
              <w:rPr>
                <w:color w:val="000000"/>
                <w:spacing w:val="0"/>
                <w:w w:val="100"/>
                <w:position w:val="0"/>
                <w:sz w:val="17"/>
                <w:szCs w:val="17"/>
              </w:rPr>
              <w:t>（商超）系统，基于微服务架构，以商超客户为主， 能一体化的支持</w:t>
            </w:r>
            <w:r>
              <w:rPr>
                <w:rFonts w:ascii="Times New Roman" w:eastAsia="Times New Roman" w:hAnsi="Times New Roman" w:cs="Times New Roman"/>
                <w:color w:val="000000"/>
                <w:spacing w:val="0"/>
                <w:w w:val="100"/>
                <w:position w:val="0"/>
                <w:sz w:val="18"/>
                <w:szCs w:val="18"/>
              </w:rPr>
              <w:t>PCPOS</w:t>
            </w:r>
            <w:r>
              <w:rPr>
                <w:color w:val="000000"/>
                <w:spacing w:val="0"/>
                <w:w w:val="100"/>
                <w:position w:val="0"/>
                <w:sz w:val="17"/>
                <w:szCs w:val="17"/>
              </w:rPr>
              <w:t>、</w:t>
            </w:r>
            <w:r>
              <w:rPr>
                <w:color w:val="000000"/>
                <w:spacing w:val="0"/>
                <w:w w:val="100"/>
                <w:position w:val="0"/>
                <w:sz w:val="17"/>
                <w:szCs w:val="17"/>
              </w:rPr>
              <w:t>触屏</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、双屏</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w:t>
            </w:r>
            <w:r>
              <w:rPr>
                <w:color w:val="000000"/>
                <w:spacing w:val="0"/>
                <w:w w:val="100"/>
                <w:position w:val="0"/>
                <w:sz w:val="17"/>
                <w:szCs w:val="17"/>
              </w:rPr>
              <w:t>自助</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 xml:space="preserve">、 </w:t>
            </w:r>
            <w:r>
              <w:rPr>
                <w:color w:val="000000"/>
                <w:spacing w:val="0"/>
                <w:w w:val="100"/>
                <w:position w:val="0"/>
                <w:sz w:val="17"/>
                <w:szCs w:val="17"/>
              </w:rPr>
              <w:t>收银一体秤、扫码购等各种端及场景。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商友购</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4,502,432.36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商友购</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平台，是石基为商场提供的一个</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化线上 购物平台。帮助商家快速搭建线上商城，并打通线上线下商 品、库存、订单、会员等，实现线上线下一体化经营。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bl>
    <w:p>
      <w:pPr>
        <w:spacing w:lineRule="exact" w:line="1"/>
        <w:rPr>
          <w:sz w:val="2"/>
          <w:szCs w:val="2"/>
        </w:rPr>
      </w:pPr>
      <w:r>
        <w:br w:type="page"/>
      </w:r>
    </w:p>
    <w:tbl>
      <w:tblPr>
        <w:tblOverlap w:val="never"/>
        <w:jc w:val="center"/>
        <w:tblLayout w:type="fixed"/>
      </w:tblPr>
      <w:tblGrid>
        <w:gridCol w:w="1003"/>
        <w:gridCol w:w="1272"/>
        <w:gridCol w:w="4819"/>
        <w:gridCol w:w="2491"/>
      </w:tblGrid>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新零售消费 业务中台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1,693,756.08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业务中台是将所有零售业务中可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需共享的业务服务进行集 成，并向各种系统、场景（服务消费者）提供服务的平台， 通过数据处理、清洗、标准化对核心业务进行原子化制造， 打通业务中台与石基大商集团旗下子公司</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U51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MYSHOP</w:t>
            </w:r>
            <w:r>
              <w:rPr>
                <w:color w:val="000000"/>
                <w:spacing w:val="0"/>
                <w:w w:val="100"/>
                <w:position w:val="0"/>
                <w:sz w:val="17"/>
                <w:szCs w:val="17"/>
              </w:rPr>
              <w:t>、商友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ROC</w:t>
            </w:r>
            <w:r>
              <w:rPr>
                <w:color w:val="000000"/>
                <w:spacing w:val="0"/>
                <w:w w:val="100"/>
                <w:position w:val="0"/>
                <w:sz w:val="17"/>
                <w:szCs w:val="17"/>
              </w:rPr>
              <w:t>等产品线，实现对零售企业前、 后端全链路数据层的闭环管理，通过集成、路由业务中台服 务层，为前端云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w:t>
            </w:r>
            <w:r>
              <w:rPr>
                <w:color w:val="000000"/>
                <w:spacing w:val="0"/>
                <w:w w:val="100"/>
                <w:position w:val="0"/>
                <w:sz w:val="17"/>
                <w:szCs w:val="17"/>
              </w:rPr>
              <w:t>云门店、</w:t>
            </w:r>
            <w:r>
              <w:rPr>
                <w:rFonts w:ascii="Times New Roman" w:eastAsia="Times New Roman" w:hAnsi="Times New Roman" w:cs="Times New Roman"/>
                <w:color w:val="000000"/>
                <w:spacing w:val="0"/>
                <w:w w:val="100"/>
                <w:position w:val="0"/>
                <w:sz w:val="18"/>
                <w:szCs w:val="18"/>
              </w:rPr>
              <w:t>O2O</w:t>
            </w:r>
            <w:r>
              <w:rPr>
                <w:color w:val="000000"/>
                <w:spacing w:val="0"/>
                <w:w w:val="100"/>
                <w:position w:val="0"/>
                <w:sz w:val="17"/>
                <w:szCs w:val="17"/>
              </w:rPr>
              <w:t>等提供统一标准化共享 原子服务，同时为后端的供应链执行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货的管理提供数字化支 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石基零售基</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础系统框架</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1,457,517.49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本产品是以研发中心原系统框架产品的升级立项项目，在继 承原产品的设计的基础上，进一步加强基于微服务框架技术 的分区分片技术、引入审批流应用集成、多种开发工具集成、 </w:t>
            </w:r>
            <w:r>
              <w:rPr>
                <w:rFonts w:ascii="Times New Roman" w:eastAsia="Times New Roman" w:hAnsi="Times New Roman" w:cs="Times New Roman"/>
                <w:color w:val="000000"/>
                <w:spacing w:val="0"/>
                <w:w w:val="100"/>
                <w:position w:val="0"/>
                <w:sz w:val="18"/>
                <w:szCs w:val="18"/>
              </w:rPr>
              <w:t>Portal</w:t>
            </w:r>
            <w:r>
              <w:rPr>
                <w:color w:val="000000"/>
                <w:spacing w:val="0"/>
                <w:w w:val="100"/>
                <w:position w:val="0"/>
                <w:sz w:val="17"/>
                <w:szCs w:val="17"/>
              </w:rPr>
              <w:t>权限框架集成、统一监控产品研发及基础框架完善。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年已完结</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环企餐商后 台系统开发 系统研发项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830,568.41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通过环企餐商后台系统研发项目的开发，让景区管理提升对 游客的服务体验，提高口碑，减少人工人力，达到科技创新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已开始在生产环境测试，已在</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月开始进行规模部署</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新一代大数 据分析技术 在云客房管 理系统中的 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742,950.45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 xml:space="preserve">为公司云平台集团化高端产品提供数据分析的终台，其中为 </w:t>
            </w:r>
            <w:r>
              <w:rPr>
                <w:rFonts w:ascii="Times New Roman" w:eastAsia="Times New Roman" w:hAnsi="Times New Roman" w:cs="Times New Roman"/>
                <w:color w:val="000000"/>
                <w:spacing w:val="0"/>
                <w:w w:val="100"/>
                <w:position w:val="0"/>
                <w:sz w:val="18"/>
                <w:szCs w:val="18"/>
              </w:rPr>
              <w:t>IPMS</w:t>
            </w:r>
            <w:r>
              <w:rPr>
                <w:color w:val="000000"/>
                <w:spacing w:val="0"/>
                <w:w w:val="100"/>
                <w:position w:val="0"/>
                <w:sz w:val="17"/>
                <w:szCs w:val="17"/>
              </w:rPr>
              <w:t>提供数据产品需要。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年已结项完成研发</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基于云计算 的云餐饮成 本应用研发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275,437.32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作为公司云平台集团化高端产品的研发，解决公司集团客户 对集中采购、集中的库存管理相关需求。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年已结项完成研发</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环企酒店加 景区门票</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（酒加景） 预定分销系 统研发项目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285,519.14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满足环企分销预订系统的规范要求，可以与千里马系统进行 对接，达到科技创新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年下半年开始测试部署</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正品贵德</w:t>
            </w:r>
          </w:p>
          <w:p>
            <w:pPr>
              <w:pStyle w:val="Style20"/>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进销 存系统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2,576,548.11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进销存系统</w:t>
            </w:r>
            <w:r>
              <w:rPr>
                <w:rFonts w:ascii="Times New Roman" w:eastAsia="Times New Roman" w:hAnsi="Times New Roman" w:cs="Times New Roman"/>
                <w:color w:val="000000"/>
                <w:spacing w:val="0"/>
                <w:w w:val="100"/>
                <w:position w:val="0"/>
                <w:sz w:val="18"/>
                <w:szCs w:val="18"/>
              </w:rPr>
              <w:t>V2.0</w:t>
            </w:r>
            <w:r>
              <w:rPr>
                <w:color w:val="000000"/>
                <w:spacing w:val="0"/>
                <w:w w:val="100"/>
                <w:position w:val="0"/>
                <w:sz w:val="17"/>
                <w:szCs w:val="17"/>
              </w:rPr>
              <w:t>是专门针对大、中型连锁餐饮企业研 发的软件服务平台，满足了大、中型连锁餐饮企业集中采购、 销售、配送、管控的业务需要，为连锁餐饮企业量身打造了 一个低成本、全方位、无死角、三位一体的综合办公平台， 降低餐饮企业在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资源及相关设施上的投入，以帮助餐饮企 业实现利益最大化、成本最小化。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已研发完成</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正品贵德微 信会员管理 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432,692.34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微信会员管理软件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强调建立以客户为中心的现代企业， 以客户价值来判定市场需求，对于正在转变战略从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产品中心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过渡的企业无疑是一拍即合。正是基于此，正品 贵德开发了自己的</w:t>
            </w:r>
            <w:r>
              <w:rPr>
                <w:rFonts w:ascii="Times New Roman" w:eastAsia="Times New Roman" w:hAnsi="Times New Roman" w:cs="Times New Roman"/>
                <w:color w:val="000000"/>
                <w:spacing w:val="0"/>
                <w:w w:val="100"/>
                <w:position w:val="0"/>
                <w:sz w:val="18"/>
                <w:szCs w:val="18"/>
              </w:rPr>
              <w:t xml:space="preserve">CRM </w:t>
            </w:r>
            <w:r>
              <w:rPr>
                <w:color w:val="000000"/>
                <w:spacing w:val="0"/>
                <w:w w:val="100"/>
                <w:position w:val="0"/>
                <w:sz w:val="17"/>
                <w:szCs w:val="17"/>
              </w:rPr>
              <w:t>管理系统。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已研发完成</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HT616</w:t>
            </w:r>
            <w:r>
              <w:rPr>
                <w:color w:val="000000"/>
                <w:spacing w:val="0"/>
                <w:w w:val="100"/>
                <w:position w:val="0"/>
                <w:sz w:val="17"/>
                <w:szCs w:val="17"/>
              </w:rPr>
              <w:t>收银</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一体秤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1,903,990.66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延续</w:t>
            </w:r>
            <w:r>
              <w:rPr>
                <w:rFonts w:ascii="Times New Roman" w:eastAsia="Times New Roman" w:hAnsi="Times New Roman" w:cs="Times New Roman"/>
                <w:color w:val="000000"/>
                <w:spacing w:val="0"/>
                <w:w w:val="100"/>
                <w:position w:val="0"/>
                <w:sz w:val="18"/>
                <w:szCs w:val="18"/>
              </w:rPr>
              <w:t>luna</w:t>
            </w:r>
            <w:r>
              <w:rPr>
                <w:color w:val="000000"/>
                <w:spacing w:val="0"/>
                <w:w w:val="100"/>
                <w:position w:val="0"/>
                <w:sz w:val="17"/>
                <w:szCs w:val="17"/>
              </w:rPr>
              <w:t>系列家族式外观，安卓版本、模块化组合；高度集 成一体化设计；高效精准的取重设计；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bl>
    <w:p>
      <w:pPr>
        <w:spacing w:lineRule="exact" w:line="1"/>
        <w:rPr>
          <w:sz w:val="2"/>
          <w:szCs w:val="2"/>
        </w:rPr>
      </w:pPr>
      <w:r>
        <w:br w:type="page"/>
      </w:r>
    </w:p>
    <w:tbl>
      <w:tblPr>
        <w:tblOverlap w:val="never"/>
        <w:jc w:val="center"/>
        <w:tblLayout w:type="fixed"/>
      </w:tblPr>
      <w:tblGrid>
        <w:gridCol w:w="1003"/>
        <w:gridCol w:w="1272"/>
        <w:gridCol w:w="4819"/>
        <w:gridCol w:w="2491"/>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商品识别平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718,733.27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使用</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商品识别算法，提高收银效率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HT618</w:t>
            </w:r>
            <w:r>
              <w:rPr>
                <w:color w:val="000000"/>
                <w:spacing w:val="0"/>
                <w:w w:val="100"/>
                <w:position w:val="0"/>
                <w:sz w:val="17"/>
                <w:szCs w:val="17"/>
              </w:rPr>
              <w:t>收银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一体秤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887,381.92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延续</w:t>
            </w:r>
            <w:r>
              <w:rPr>
                <w:rFonts w:ascii="Times New Roman" w:eastAsia="Times New Roman" w:hAnsi="Times New Roman" w:cs="Times New Roman"/>
                <w:color w:val="000000"/>
                <w:spacing w:val="0"/>
                <w:w w:val="100"/>
                <w:position w:val="0"/>
                <w:sz w:val="18"/>
                <w:szCs w:val="18"/>
              </w:rPr>
              <w:t>luna</w:t>
            </w:r>
            <w:r>
              <w:rPr>
                <w:color w:val="000000"/>
                <w:spacing w:val="0"/>
                <w:w w:val="100"/>
                <w:position w:val="0"/>
                <w:sz w:val="17"/>
                <w:szCs w:val="17"/>
              </w:rPr>
              <w:t>系列家族式外观，微软版本、模块化组合；高度集 成一体化设计；高效精准的取重设计；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HS210V</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RK3399 </w:t>
            </w:r>
            <w:r>
              <w:rPr>
                <w:color w:val="000000"/>
                <w:spacing w:val="0"/>
                <w:w w:val="100"/>
                <w:position w:val="0"/>
                <w:sz w:val="17"/>
                <w:szCs w:val="17"/>
              </w:rPr>
              <w:t>项</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891,343.60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21.5</w:t>
            </w:r>
            <w:r>
              <w:rPr>
                <w:color w:val="000000"/>
                <w:spacing w:val="0"/>
                <w:w w:val="100"/>
                <w:position w:val="0"/>
                <w:sz w:val="17"/>
                <w:szCs w:val="17"/>
              </w:rPr>
              <w:t>寸大屏自助</w:t>
            </w:r>
            <w:r>
              <w:rPr>
                <w:rFonts w:ascii="Times New Roman" w:eastAsia="Times New Roman" w:hAnsi="Times New Roman" w:cs="Times New Roman"/>
                <w:color w:val="000000"/>
                <w:spacing w:val="0"/>
                <w:w w:val="100"/>
                <w:position w:val="0"/>
                <w:sz w:val="18"/>
                <w:szCs w:val="18"/>
              </w:rPr>
              <w:t>RK3399</w:t>
            </w:r>
            <w:r>
              <w:rPr>
                <w:color w:val="000000"/>
                <w:spacing w:val="0"/>
                <w:w w:val="100"/>
                <w:position w:val="0"/>
                <w:sz w:val="17"/>
                <w:szCs w:val="17"/>
              </w:rPr>
              <w:t>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HT3000 </w:t>
            </w:r>
            <w:r>
              <w:rPr>
                <w:color w:val="000000"/>
                <w:spacing w:val="0"/>
                <w:w w:val="100"/>
                <w:position w:val="0"/>
                <w:sz w:val="17"/>
                <w:szCs w:val="17"/>
              </w:rPr>
              <w:t>淘 鲜达便利店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502,932.90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基于阿里便利店业态数字化运营要求，重新定义产品形态， 适用于淘鲜达便利店定制化桌面自助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人工收银一体功能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HS210M </w:t>
            </w:r>
            <w:r>
              <w:rPr>
                <w:color w:val="000000"/>
                <w:spacing w:val="0"/>
                <w:w w:val="100"/>
                <w:position w:val="0"/>
                <w:sz w:val="17"/>
                <w:szCs w:val="17"/>
              </w:rPr>
              <w:t>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743,207.56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依据国际市场需求开发</w:t>
            </w:r>
            <w:r>
              <w:rPr>
                <w:rFonts w:ascii="Times New Roman" w:eastAsia="Times New Roman" w:hAnsi="Times New Roman" w:cs="Times New Roman"/>
                <w:color w:val="000000"/>
                <w:spacing w:val="0"/>
                <w:w w:val="100"/>
                <w:position w:val="0"/>
                <w:sz w:val="18"/>
                <w:szCs w:val="18"/>
              </w:rPr>
              <w:t>21.5</w:t>
            </w:r>
            <w:r>
              <w:rPr>
                <w:color w:val="000000"/>
                <w:spacing w:val="0"/>
                <w:w w:val="100"/>
                <w:position w:val="0"/>
                <w:sz w:val="17"/>
                <w:szCs w:val="17"/>
              </w:rPr>
              <w:t>寸大屏自助的</w:t>
            </w:r>
            <w:r>
              <w:rPr>
                <w:rFonts w:ascii="Times New Roman" w:eastAsia="Times New Roman" w:hAnsi="Times New Roman" w:cs="Times New Roman"/>
                <w:color w:val="000000"/>
                <w:spacing w:val="0"/>
                <w:w w:val="100"/>
                <w:position w:val="0"/>
                <w:sz w:val="18"/>
                <w:szCs w:val="18"/>
              </w:rPr>
              <w:t>i3</w:t>
            </w:r>
            <w:r>
              <w:rPr>
                <w:color w:val="000000"/>
                <w:spacing w:val="0"/>
                <w:w w:val="100"/>
                <w:position w:val="0"/>
                <w:sz w:val="17"/>
                <w:szCs w:val="17"/>
              </w:rPr>
              <w:t>版本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HS520V </w:t>
            </w:r>
            <w:r>
              <w:rPr>
                <w:color w:val="000000"/>
                <w:spacing w:val="0"/>
                <w:w w:val="100"/>
                <w:position w:val="0"/>
                <w:sz w:val="17"/>
                <w:szCs w:val="17"/>
              </w:rPr>
              <w:t>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2,151,000.97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大连锁餐饮客户自助点餐设备，具有</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寸大屏自助点餐、窄 边框超薄机身、定制系统、远程管理等功能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HK670V </w:t>
            </w:r>
            <w:r>
              <w:rPr>
                <w:color w:val="000000"/>
                <w:spacing w:val="0"/>
                <w:w w:val="100"/>
                <w:position w:val="0"/>
                <w:sz w:val="17"/>
                <w:szCs w:val="17"/>
              </w:rPr>
              <w:t>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1,298,309.86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定位中高端连锁便利设计开发的一款全新的人工收银产品， 识别度高、高科技感的产品、功能模块丰富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HK316/HK5</w:t>
            </w:r>
          </w:p>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变更指 纹模组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海外市场需求与各零售软件高度匹配，调整指纹模组的产品 研发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HK670J </w:t>
            </w:r>
            <w:r>
              <w:rPr>
                <w:color w:val="000000"/>
                <w:spacing w:val="0"/>
                <w:w w:val="100"/>
                <w:position w:val="0"/>
                <w:sz w:val="17"/>
                <w:szCs w:val="17"/>
              </w:rPr>
              <w:t>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1,307,249.45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定位日系连锁、区域性连锁新业态便利设计开发的一款全新 的人工收银产品，识别度高、高科技感的产品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B2B</w:t>
            </w:r>
            <w:r>
              <w:rPr>
                <w:color w:val="000000"/>
                <w:spacing w:val="0"/>
                <w:w w:val="100"/>
                <w:position w:val="0"/>
                <w:sz w:val="17"/>
                <w:szCs w:val="17"/>
              </w:rPr>
              <w:t>协同平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1,526,859.92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面向新零售风潮下的连锁零售企业，特别是针对小店大连锁 管理模式为主的连锁零售行业，重点对企业组织、门店、商 品、库存、结算等业务管理。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系统验证阶段，预计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月完工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聚客云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CRM</w:t>
            </w:r>
            <w:r>
              <w:rPr>
                <w:color w:val="000000"/>
                <w:spacing w:val="0"/>
                <w:w w:val="100"/>
                <w:position w:val="0"/>
                <w:sz w:val="17"/>
                <w:szCs w:val="17"/>
              </w:rPr>
              <w:t>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1,110,942.35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面相母婴、连锁便超等重点发展业态，建设配套的会员管理 系统，增强微信、支付宝平台功能，建设标签体系与精准的 营销等功能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HS530R </w:t>
            </w:r>
            <w:r>
              <w:rPr>
                <w:color w:val="000000"/>
                <w:spacing w:val="0"/>
                <w:w w:val="100"/>
                <w:position w:val="0"/>
                <w:sz w:val="17"/>
                <w:szCs w:val="17"/>
              </w:rPr>
              <w:t>苏 宁大屏自助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926,666.10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为传统商超与便利店新型业态研制</w:t>
            </w:r>
            <w:r>
              <w:rPr>
                <w:rFonts w:ascii="Times New Roman" w:eastAsia="Times New Roman" w:hAnsi="Times New Roman" w:cs="Times New Roman"/>
                <w:color w:val="000000"/>
                <w:spacing w:val="0"/>
                <w:w w:val="100"/>
                <w:position w:val="0"/>
                <w:sz w:val="18"/>
                <w:szCs w:val="18"/>
              </w:rPr>
              <w:t>23.8</w:t>
            </w:r>
            <w:r>
              <w:rPr>
                <w:color w:val="000000"/>
                <w:spacing w:val="0"/>
                <w:w w:val="100"/>
                <w:position w:val="0"/>
                <w:sz w:val="17"/>
                <w:szCs w:val="17"/>
              </w:rPr>
              <w:t>尺寸大屏自助收银机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HS310E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866,528.84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针对拓展二三线城市的连锁便利、专卖店、商超大卖场，提 高产品竞争力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全渠道中台</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486,995.08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为前段销售点提供统一服务，使其能快速支持多样化的收银 方式，为线上线下渠道融合提供快速实现接入通道和作业服 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慧收银项目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575,465.01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针对大中小型连锁零售企业，具体面向门店中收银机商户， 用于完成门店零售收款业务，并同时支持移动版与自助版模 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经济型自助</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项目</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-HS310R</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544,183.28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针对拓展二三线城市的连锁便利、专卖店、商超大卖场，提 高产品竞争力</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bl>
    <w:p>
      <w:pPr>
        <w:spacing w:lineRule="exact" w:line="1"/>
        <w:rPr>
          <w:sz w:val="2"/>
          <w:szCs w:val="2"/>
        </w:rPr>
      </w:pPr>
      <w:r>
        <w:br w:type="page"/>
      </w:r>
    </w:p>
    <w:tbl>
      <w:tblPr>
        <w:tblOverlap w:val="never"/>
        <w:jc w:val="center"/>
        <w:tblLayout w:type="fixed"/>
      </w:tblPr>
      <w:tblGrid>
        <w:gridCol w:w="1003"/>
        <w:gridCol w:w="1272"/>
        <w:gridCol w:w="4819"/>
        <w:gridCol w:w="2491"/>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海信全渠道</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中台</w:t>
            </w:r>
            <w:r>
              <w:rPr>
                <w:rFonts w:ascii="Times New Roman" w:eastAsia="Times New Roman" w:hAnsi="Times New Roman" w:cs="Times New Roman"/>
                <w:color w:val="000000"/>
                <w:spacing w:val="0"/>
                <w:w w:val="100"/>
                <w:position w:val="0"/>
                <w:sz w:val="18"/>
                <w:szCs w:val="18"/>
              </w:rPr>
              <w:t>-AIP4.1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353,985.00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为前段销售点提供统一服务，使其能快速支持多样化的收银 方式，为线上线下渠道融合提供快速实现接入通道和作业服 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HK760J/M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342,978.54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满足海外市场</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sz w:val="17"/>
                <w:szCs w:val="17"/>
              </w:rPr>
              <w:t>操作系统需求与各零售软件高度匹 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全渠道中台</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-API4.1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263,802.09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为前段销售点提供统一服务，使其能快速支持多样化的收银 方式，为线上线下渠道融合提供快速实现接入通道和作业服 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商务助手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77,444.20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统一商务助手产品，支持</w:t>
            </w:r>
            <w:r>
              <w:rPr>
                <w:rFonts w:ascii="Times New Roman" w:eastAsia="Times New Roman" w:hAnsi="Times New Roman" w:cs="Times New Roman"/>
                <w:color w:val="000000"/>
                <w:spacing w:val="0"/>
                <w:w w:val="100"/>
                <w:position w:val="0"/>
                <w:sz w:val="18"/>
                <w:szCs w:val="18"/>
              </w:rPr>
              <w:t>CMP5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CMP6</w:t>
            </w:r>
            <w:r>
              <w:rPr>
                <w:color w:val="000000"/>
                <w:spacing w:val="0"/>
                <w:w w:val="100"/>
                <w:position w:val="0"/>
                <w:sz w:val="17"/>
                <w:szCs w:val="17"/>
              </w:rPr>
              <w:t>、纵横</w:t>
            </w:r>
            <w:r>
              <w:rPr>
                <w:rFonts w:ascii="Times New Roman" w:eastAsia="Times New Roman" w:hAnsi="Times New Roman" w:cs="Times New Roman"/>
                <w:color w:val="000000"/>
                <w:spacing w:val="0"/>
                <w:w w:val="100"/>
                <w:position w:val="0"/>
                <w:sz w:val="18"/>
                <w:szCs w:val="18"/>
              </w:rPr>
              <w:t>MSSQL</w:t>
            </w:r>
            <w:r>
              <w:rPr>
                <w:color w:val="000000"/>
                <w:spacing w:val="0"/>
                <w:w w:val="100"/>
                <w:position w:val="0"/>
                <w:sz w:val="17"/>
                <w:szCs w:val="17"/>
              </w:rPr>
              <w:t>版本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微信 支付宝平台 应用</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124,192.69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面向海信</w:t>
            </w:r>
            <w:r>
              <w:rPr>
                <w:rFonts w:ascii="Times New Roman" w:eastAsia="Times New Roman" w:hAnsi="Times New Roman" w:cs="Times New Roman"/>
                <w:color w:val="000000"/>
                <w:spacing w:val="0"/>
                <w:w w:val="100"/>
                <w:position w:val="0"/>
                <w:sz w:val="18"/>
                <w:szCs w:val="18"/>
              </w:rPr>
              <w:t>CRM6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sz w:val="17"/>
                <w:szCs w:val="17"/>
              </w:rPr>
              <w:t>客户，建设配套的微信支付宝平台 应用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319" w:lineRule="exact"/>
              <w:ind w:left="0" w:right="0" w:firstLine="0"/>
              <w:jc w:val="left"/>
              <w:rPr>
                <w:sz w:val="17"/>
                <w:szCs w:val="17"/>
              </w:rPr>
            </w:pPr>
            <w:r>
              <w:rPr>
                <w:color w:val="000000"/>
                <w:spacing w:val="0"/>
                <w:w w:val="100"/>
                <w:position w:val="0"/>
                <w:sz w:val="17"/>
                <w:szCs w:val="17"/>
              </w:rPr>
              <w:t>海信</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7"/>
                <w:szCs w:val="17"/>
              </w:rPr>
              <w:t>微信支付宝 平台应用</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54,210.92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面向海信</w:t>
            </w:r>
            <w:r>
              <w:rPr>
                <w:rFonts w:ascii="Times New Roman" w:eastAsia="Times New Roman" w:hAnsi="Times New Roman" w:cs="Times New Roman"/>
                <w:color w:val="000000"/>
                <w:spacing w:val="0"/>
                <w:w w:val="100"/>
                <w:position w:val="0"/>
                <w:sz w:val="18"/>
                <w:szCs w:val="18"/>
              </w:rPr>
              <w:t>CRM6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sz w:val="17"/>
                <w:szCs w:val="17"/>
              </w:rPr>
              <w:t>客户，建设配套的微信支付宝平台 应用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已完工</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美食通</w:t>
            </w:r>
            <w:r>
              <w:rPr>
                <w:rFonts w:ascii="Times New Roman" w:eastAsia="Times New Roman" w:hAnsi="Times New Roman" w:cs="Times New Roman"/>
                <w:color w:val="000000"/>
                <w:spacing w:val="0"/>
                <w:w w:val="100"/>
                <w:position w:val="0"/>
                <w:sz w:val="18"/>
                <w:szCs w:val="18"/>
              </w:rPr>
              <w:t>V1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19,415,004.33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美食通是高端酒店市场的餐饮管理应用解决方案，考虑高端 酒店的管理特性和规律，一套适合国内市场同时符合国际品 牌酒店管理要求的餐饮管理系统。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已完成</w:t>
            </w:r>
          </w:p>
        </w:tc>
      </w:tr>
    </w:tbl>
    <w:p>
      <w:pPr>
        <w:pStyle w:val="Style3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本公司内部研究开发项目的支出分为研究阶段支出与开发阶段支出。</w:t>
      </w:r>
    </w:p>
    <w:p>
      <w:pPr>
        <w:pStyle w:val="Style3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研究阶段的支出，于发生时计入当期损益。</w:t>
      </w:r>
    </w:p>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开发阶段的支出同时满足下列条件的，确认为无形资产，不能满足下述条件的开发阶段的支出计入当 </w:t>
      </w:r>
      <w:r>
        <w:rPr>
          <w:color w:val="000000"/>
          <w:spacing w:val="0"/>
          <w:w w:val="100"/>
          <w:position w:val="0"/>
        </w:rPr>
        <w:t>期损益：</w:t>
      </w:r>
    </w:p>
    <w:p>
      <w:pPr>
        <w:pStyle w:val="Style35"/>
        <w:keepNext w:val="0"/>
        <w:keepLines w:val="0"/>
        <w:widowControl w:val="0"/>
        <w:shd w:val="clear" w:color="auto" w:fill="auto"/>
        <w:tabs>
          <w:tab w:pos="928" w:val="left"/>
        </w:tabs>
        <w:bidi w:val="0"/>
        <w:spacing w:before="0" w:after="0" w:line="326" w:lineRule="exact"/>
        <w:ind w:left="0" w:right="0" w:firstLine="440"/>
        <w:jc w:val="left"/>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5"/>
        <w:keepNext w:val="0"/>
        <w:keepLines w:val="0"/>
        <w:widowControl w:val="0"/>
        <w:shd w:val="clear" w:color="auto" w:fill="auto"/>
        <w:tabs>
          <w:tab w:pos="928" w:val="left"/>
        </w:tabs>
        <w:bidi w:val="0"/>
        <w:spacing w:before="0" w:after="0" w:line="326" w:lineRule="exact"/>
        <w:ind w:left="0" w:right="0" w:firstLine="440"/>
        <w:jc w:val="left"/>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5"/>
        <w:keepNext w:val="0"/>
        <w:keepLines w:val="0"/>
        <w:widowControl w:val="0"/>
        <w:shd w:val="clear" w:color="auto" w:fill="auto"/>
        <w:tabs>
          <w:tab w:pos="987" w:val="left"/>
        </w:tabs>
        <w:bidi w:val="0"/>
        <w:spacing w:before="0" w:after="0" w:line="326" w:lineRule="exact"/>
        <w:ind w:left="0" w:right="0" w:firstLine="440"/>
        <w:jc w:val="both"/>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35"/>
        <w:keepNext w:val="0"/>
        <w:keepLines w:val="0"/>
        <w:widowControl w:val="0"/>
        <w:shd w:val="clear" w:color="auto" w:fill="auto"/>
        <w:bidi w:val="0"/>
        <w:spacing w:before="0" w:after="0" w:line="312" w:lineRule="exact"/>
        <w:ind w:left="0" w:right="0" w:firstLine="440"/>
        <w:jc w:val="both"/>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rPr>
        <w:t>4</w:t>
      </w:r>
      <w:r>
        <w:rPr>
          <w:color w:val="000000"/>
          <w:spacing w:val="0"/>
          <w:w w:val="100"/>
          <w:position w:val="0"/>
        </w:rPr>
        <w:t>） 有足够的技术、财务资源和其他资源支持，以完成该无形资产的开发，并有能力使用或出售该 无形资产；</w:t>
      </w:r>
    </w:p>
    <w:p>
      <w:pPr>
        <w:pStyle w:val="Style35"/>
        <w:keepNext w:val="0"/>
        <w:keepLines w:val="0"/>
        <w:widowControl w:val="0"/>
        <w:shd w:val="clear" w:color="auto" w:fill="auto"/>
        <w:tabs>
          <w:tab w:pos="928" w:val="left"/>
        </w:tabs>
        <w:bidi w:val="0"/>
        <w:spacing w:before="0" w:after="0" w:line="312" w:lineRule="exact"/>
        <w:ind w:left="0" w:right="0" w:firstLine="440"/>
        <w:jc w:val="left"/>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5"/>
        <w:keepNext w:val="0"/>
        <w:keepLines w:val="0"/>
        <w:widowControl w:val="0"/>
        <w:shd w:val="clear" w:color="auto" w:fill="auto"/>
        <w:bidi w:val="0"/>
        <w:spacing w:before="0" w:after="440" w:line="312" w:lineRule="exact"/>
        <w:ind w:left="0" w:right="0" w:firstLine="440"/>
        <w:jc w:val="left"/>
      </w:pPr>
      <w:r>
        <w:rPr>
          <w:color w:val="000000"/>
          <w:spacing w:val="0"/>
          <w:w w:val="100"/>
          <w:position w:val="0"/>
        </w:rPr>
        <w:t>无法区分研究阶段支出和开发阶段支出的，将发生的研发支出全部计入当期损益。</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341"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5</w:t>
      </w:r>
      <w:bookmarkEnd w:id="259"/>
      <w:r>
        <w:rPr>
          <w:color w:val="000000"/>
          <w:spacing w:val="0"/>
          <w:w w:val="100"/>
          <w:position w:val="0"/>
        </w:rPr>
        <w:t>、现金流</w:t>
      </w:r>
      <w:bookmarkEnd w:id="257"/>
      <w:bookmarkEnd w:id="258"/>
      <w:bookmarkEnd w:id="2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410"/>
        <w:gridCol w:w="2270"/>
        <w:gridCol w:w="2064"/>
      </w:tblGrid>
      <w:tr>
        <w:trPr>
          <w:trHeight w:val="41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3,685,862,520.34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4,142,940,764.63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r>
    </w:tbl>
    <w:tbl>
      <w:tblPr>
        <w:tblOverlap w:val="never"/>
        <w:jc w:val="center"/>
        <w:tblLayout w:type="fixed"/>
      </w:tblPr>
      <w:tblGrid>
        <w:gridCol w:w="2842"/>
        <w:gridCol w:w="2410"/>
        <w:gridCol w:w="2270"/>
        <w:gridCol w:w="2064"/>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3,481,915,463.20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3,614,873,787.48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203,947,057.14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528,066,977.15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5,199,951,110.74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1,591,934,734.88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6,607,119,259.47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4,129,886,074.18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-1,407,168,148.73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-2,537,951,339.30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45,930,417.42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87,342,830.51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71,578,180.48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215,350,378.39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-25,647,763.06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-128,007,547.88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-1,289,860,468.45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-2,097,697,626.87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603" w:val="left"/>
        </w:tabs>
        <w:bidi w:val="0"/>
        <w:spacing w:before="0" w:after="0" w:line="322" w:lineRule="exact"/>
        <w:ind w:left="0" w:right="0" w:firstLine="0"/>
        <w:jc w:val="left"/>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1</w:t>
      </w:r>
      <w:r>
        <w:rPr>
          <w:color w:val="000000"/>
          <w:spacing w:val="0"/>
          <w:w w:val="100"/>
          <w:position w:val="0"/>
        </w:rPr>
        <w:t>）</w:t>
        <w:tab/>
        <w:t>经营活动产生的现金流量净额本期较上年同期下降</w:t>
      </w:r>
      <w:r>
        <w:rPr>
          <w:rFonts w:ascii="Times New Roman" w:eastAsia="Times New Roman" w:hAnsi="Times New Roman" w:cs="Times New Roman"/>
          <w:color w:val="000000"/>
          <w:spacing w:val="0"/>
          <w:w w:val="100"/>
          <w:position w:val="0"/>
        </w:rPr>
        <w:t>61.38%</w:t>
      </w:r>
      <w:r>
        <w:rPr>
          <w:color w:val="000000"/>
          <w:spacing w:val="0"/>
          <w:w w:val="100"/>
          <w:position w:val="0"/>
        </w:rPr>
        <w:t>，主要系本期受疫情影响，业绩下降，及 客户的回款周期较长所致。</w:t>
      </w:r>
    </w:p>
    <w:p>
      <w:pPr>
        <w:pStyle w:val="Style35"/>
        <w:keepNext w:val="0"/>
        <w:keepLines w:val="0"/>
        <w:widowControl w:val="0"/>
        <w:shd w:val="clear" w:color="auto" w:fill="auto"/>
        <w:tabs>
          <w:tab w:pos="603" w:val="left"/>
        </w:tabs>
        <w:bidi w:val="0"/>
        <w:spacing w:before="0" w:after="0" w:line="326" w:lineRule="exact"/>
        <w:ind w:left="0" w:right="0" w:firstLine="0"/>
        <w:jc w:val="left"/>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2</w:t>
      </w:r>
      <w:r>
        <w:rPr>
          <w:color w:val="000000"/>
          <w:spacing w:val="0"/>
          <w:w w:val="100"/>
          <w:position w:val="0"/>
        </w:rPr>
        <w:t>）</w:t>
        <w:tab/>
        <w:t>投资活动现金流入小计较上年同期增长</w:t>
      </w:r>
      <w:r>
        <w:rPr>
          <w:rFonts w:ascii="Times New Roman" w:eastAsia="Times New Roman" w:hAnsi="Times New Roman" w:cs="Times New Roman"/>
          <w:color w:val="000000"/>
          <w:spacing w:val="0"/>
          <w:w w:val="100"/>
          <w:position w:val="0"/>
        </w:rPr>
        <w:t>226.64%</w:t>
      </w:r>
      <w:r>
        <w:rPr>
          <w:color w:val="000000"/>
          <w:spacing w:val="0"/>
          <w:w w:val="100"/>
          <w:position w:val="0"/>
        </w:rPr>
        <w:t>,主要系本期收回的结构性存款本金较上年同期增加 较多所致</w:t>
      </w:r>
    </w:p>
    <w:p>
      <w:pPr>
        <w:pStyle w:val="Style35"/>
        <w:keepNext w:val="0"/>
        <w:keepLines w:val="0"/>
        <w:widowControl w:val="0"/>
        <w:shd w:val="clear" w:color="auto" w:fill="auto"/>
        <w:tabs>
          <w:tab w:pos="603" w:val="left"/>
        </w:tabs>
        <w:bidi w:val="0"/>
        <w:spacing w:before="0" w:after="0" w:line="326" w:lineRule="exact"/>
        <w:ind w:left="0" w:right="0" w:firstLine="0"/>
        <w:jc w:val="left"/>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3</w:t>
      </w:r>
      <w:r>
        <w:rPr>
          <w:color w:val="000000"/>
          <w:spacing w:val="0"/>
          <w:w w:val="100"/>
          <w:position w:val="0"/>
        </w:rPr>
        <w:t>）</w:t>
        <w:tab/>
        <w:t>投资活动现金流出小计本期较上年同期增长</w:t>
      </w:r>
      <w:r>
        <w:rPr>
          <w:rFonts w:ascii="Times New Roman" w:eastAsia="Times New Roman" w:hAnsi="Times New Roman" w:cs="Times New Roman"/>
          <w:color w:val="000000"/>
          <w:spacing w:val="0"/>
          <w:w w:val="100"/>
          <w:position w:val="0"/>
        </w:rPr>
        <w:t>59.98%</w:t>
      </w:r>
      <w:r>
        <w:rPr>
          <w:color w:val="000000"/>
          <w:spacing w:val="0"/>
          <w:w w:val="100"/>
          <w:position w:val="0"/>
        </w:rPr>
        <w:t>，主要系本期购买的结构性存款较上年同期增加 较多所致；</w:t>
      </w:r>
    </w:p>
    <w:p>
      <w:pPr>
        <w:pStyle w:val="Style35"/>
        <w:keepNext w:val="0"/>
        <w:keepLines w:val="0"/>
        <w:widowControl w:val="0"/>
        <w:shd w:val="clear" w:color="auto" w:fill="auto"/>
        <w:tabs>
          <w:tab w:pos="603" w:val="left"/>
        </w:tabs>
        <w:bidi w:val="0"/>
        <w:spacing w:before="0" w:after="0" w:line="326" w:lineRule="exact"/>
        <w:ind w:left="0" w:right="0" w:firstLine="0"/>
        <w:jc w:val="left"/>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4</w:t>
      </w:r>
      <w:r>
        <w:rPr>
          <w:color w:val="000000"/>
          <w:spacing w:val="0"/>
          <w:w w:val="100"/>
          <w:position w:val="0"/>
        </w:rPr>
        <w:t>）</w:t>
        <w:tab/>
        <w:t>投资活动产生的现金流量净额本期较上年同期增长</w:t>
      </w:r>
      <w:r>
        <w:rPr>
          <w:rFonts w:ascii="Times New Roman" w:eastAsia="Times New Roman" w:hAnsi="Times New Roman" w:cs="Times New Roman"/>
          <w:color w:val="000000"/>
          <w:spacing w:val="0"/>
          <w:w w:val="100"/>
          <w:position w:val="0"/>
        </w:rPr>
        <w:t>44.55%</w:t>
      </w:r>
      <w:r>
        <w:rPr>
          <w:color w:val="000000"/>
          <w:spacing w:val="0"/>
          <w:w w:val="100"/>
          <w:position w:val="0"/>
        </w:rPr>
        <w:t>，主要系本期较上年同期收回的结构性存 款本金较多所致。</w:t>
      </w:r>
    </w:p>
    <w:p>
      <w:pPr>
        <w:pStyle w:val="Style35"/>
        <w:keepNext w:val="0"/>
        <w:keepLines w:val="0"/>
        <w:widowControl w:val="0"/>
        <w:shd w:val="clear" w:color="auto" w:fill="auto"/>
        <w:tabs>
          <w:tab w:pos="603" w:val="left"/>
        </w:tabs>
        <w:bidi w:val="0"/>
        <w:spacing w:before="0" w:after="0" w:line="331" w:lineRule="exact"/>
        <w:ind w:left="0" w:right="0" w:firstLine="0"/>
        <w:jc w:val="left"/>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5</w:t>
      </w:r>
      <w:r>
        <w:rPr>
          <w:color w:val="000000"/>
          <w:spacing w:val="0"/>
          <w:w w:val="100"/>
          <w:position w:val="0"/>
        </w:rPr>
        <w:t>）</w:t>
        <w:tab/>
        <w:t>筹资活动现金流入小计本期较上年同期下降</w:t>
      </w:r>
      <w:r>
        <w:rPr>
          <w:rFonts w:ascii="Times New Roman" w:eastAsia="Times New Roman" w:hAnsi="Times New Roman" w:cs="Times New Roman"/>
          <w:color w:val="000000"/>
          <w:spacing w:val="0"/>
          <w:w w:val="100"/>
          <w:position w:val="0"/>
        </w:rPr>
        <w:t>47.41%</w:t>
      </w:r>
      <w:r>
        <w:rPr>
          <w:color w:val="000000"/>
          <w:spacing w:val="0"/>
          <w:w w:val="100"/>
          <w:position w:val="0"/>
        </w:rPr>
        <w:t>，主要系本期收到的股权激励款较上年同期较少 所致。</w:t>
      </w:r>
    </w:p>
    <w:p>
      <w:pPr>
        <w:pStyle w:val="Style35"/>
        <w:keepNext w:val="0"/>
        <w:keepLines w:val="0"/>
        <w:widowControl w:val="0"/>
        <w:shd w:val="clear" w:color="auto" w:fill="auto"/>
        <w:tabs>
          <w:tab w:pos="603" w:val="left"/>
        </w:tabs>
        <w:bidi w:val="0"/>
        <w:spacing w:before="0" w:after="0" w:line="326" w:lineRule="exact"/>
        <w:ind w:left="0" w:right="0" w:firstLine="0"/>
        <w:jc w:val="left"/>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6</w:t>
      </w:r>
      <w:r>
        <w:rPr>
          <w:color w:val="000000"/>
          <w:spacing w:val="0"/>
          <w:w w:val="100"/>
          <w:position w:val="0"/>
        </w:rPr>
        <w:t>）</w:t>
        <w:tab/>
        <w:t>筹资活动现金流出小计本期较上年同期下降</w:t>
      </w:r>
      <w:r>
        <w:rPr>
          <w:rFonts w:ascii="Times New Roman" w:eastAsia="Times New Roman" w:hAnsi="Times New Roman" w:cs="Times New Roman"/>
          <w:color w:val="000000"/>
          <w:spacing w:val="0"/>
          <w:w w:val="100"/>
          <w:position w:val="0"/>
        </w:rPr>
        <w:t>66.76%</w:t>
      </w:r>
      <w:r>
        <w:rPr>
          <w:color w:val="000000"/>
          <w:spacing w:val="0"/>
          <w:w w:val="100"/>
          <w:position w:val="0"/>
        </w:rPr>
        <w:t>，主要系本期较上年同期分配股利较少，及购买 少数股权较少共同所致。</w:t>
      </w:r>
    </w:p>
    <w:p>
      <w:pPr>
        <w:pStyle w:val="Style35"/>
        <w:keepNext w:val="0"/>
        <w:keepLines w:val="0"/>
        <w:widowControl w:val="0"/>
        <w:shd w:val="clear" w:color="auto" w:fill="auto"/>
        <w:tabs>
          <w:tab w:pos="603" w:val="left"/>
        </w:tabs>
        <w:bidi w:val="0"/>
        <w:spacing w:before="0" w:after="0" w:line="326" w:lineRule="exact"/>
        <w:ind w:left="0" w:right="0" w:firstLine="0"/>
        <w:jc w:val="left"/>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7</w:t>
      </w:r>
      <w:r>
        <w:rPr>
          <w:color w:val="000000"/>
          <w:spacing w:val="0"/>
          <w:w w:val="100"/>
          <w:position w:val="0"/>
        </w:rPr>
        <w:t>）</w:t>
        <w:tab/>
        <w:t>筹资活动产生的现金流量净额本期较上年同期增长</w:t>
      </w:r>
      <w:r>
        <w:rPr>
          <w:rFonts w:ascii="Times New Roman" w:eastAsia="Times New Roman" w:hAnsi="Times New Roman" w:cs="Times New Roman"/>
          <w:color w:val="000000"/>
          <w:spacing w:val="0"/>
          <w:w w:val="100"/>
          <w:position w:val="0"/>
        </w:rPr>
        <w:t>79.96%</w:t>
      </w:r>
      <w:r>
        <w:rPr>
          <w:color w:val="000000"/>
          <w:spacing w:val="0"/>
          <w:w w:val="100"/>
          <w:position w:val="0"/>
        </w:rPr>
        <w:t>，主要系本期较上年同期分配股利较少， 及购买少数股权较少共同所致。</w:t>
      </w:r>
    </w:p>
    <w:p>
      <w:pPr>
        <w:pStyle w:val="Style35"/>
        <w:keepNext w:val="0"/>
        <w:keepLines w:val="0"/>
        <w:widowControl w:val="0"/>
        <w:shd w:val="clear" w:color="auto" w:fill="auto"/>
        <w:tabs>
          <w:tab w:pos="598" w:val="left"/>
        </w:tabs>
        <w:bidi w:val="0"/>
        <w:spacing w:before="0" w:after="440" w:line="326" w:lineRule="exact"/>
        <w:ind w:left="0" w:right="0" w:firstLine="0"/>
        <w:jc w:val="left"/>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8</w:t>
      </w:r>
      <w:r>
        <w:rPr>
          <w:color w:val="000000"/>
          <w:spacing w:val="0"/>
          <w:w w:val="100"/>
          <w:position w:val="0"/>
        </w:rPr>
        <w:t>）</w:t>
        <w:tab/>
        <w:t>现金及现金等价物净增加额本期较上年同期增长</w:t>
      </w:r>
      <w:r>
        <w:rPr>
          <w:rFonts w:ascii="Times New Roman" w:eastAsia="Times New Roman" w:hAnsi="Times New Roman" w:cs="Times New Roman"/>
          <w:color w:val="000000"/>
          <w:spacing w:val="0"/>
          <w:w w:val="100"/>
          <w:position w:val="0"/>
        </w:rPr>
        <w:t>38.51%</w:t>
      </w:r>
      <w:r>
        <w:rPr>
          <w:color w:val="000000"/>
          <w:spacing w:val="0"/>
          <w:w w:val="100"/>
          <w:position w:val="0"/>
        </w:rPr>
        <w:t>，主要系本期较上年同期收购事项大幅减少， 导致现金及现金等价物增加较多所致。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主要系本期净利润受到本期处置</w:t>
      </w:r>
      <w:r>
        <w:rPr>
          <w:rFonts w:ascii="Times New Roman" w:eastAsia="Times New Roman" w:hAnsi="Times New Roman" w:cs="Times New Roman"/>
          <w:color w:val="000000"/>
          <w:spacing w:val="0"/>
          <w:w w:val="100"/>
          <w:position w:val="0"/>
          <w:sz w:val="18"/>
          <w:szCs w:val="18"/>
        </w:rPr>
        <w:t>S tayNTouch</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股权产生的投资损失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亿元的影响所致。</w:t>
      </w:r>
    </w:p>
    <w:p>
      <w:pPr>
        <w:pStyle w:val="Style24"/>
        <w:keepNext/>
        <w:keepLines/>
        <w:widowControl w:val="0"/>
        <w:shd w:val="clear" w:color="auto" w:fill="auto"/>
        <w:bidi w:val="0"/>
        <w:spacing w:before="0" w:after="38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三</w:t>
      </w:r>
      <w:bookmarkEnd w:id="271"/>
      <w:r>
        <w:rPr>
          <w:color w:val="000000"/>
          <w:spacing w:val="0"/>
          <w:w w:val="100"/>
          <w:position w:val="0"/>
        </w:rPr>
        <w:t>、非主营业务分析</w:t>
      </w:r>
      <w:bookmarkEnd w:id="269"/>
      <w:bookmarkEnd w:id="270"/>
      <w:bookmarkEnd w:id="27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555"/>
        <w:gridCol w:w="1560"/>
        <w:gridCol w:w="2923"/>
        <w:gridCol w:w="226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是否具有可持续性</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-159,857,836.69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主要系本期处置子公司</w:t>
            </w:r>
            <w:r>
              <w:rPr>
                <w:rFonts w:ascii="Times New Roman" w:eastAsia="Times New Roman" w:hAnsi="Times New Roman" w:cs="Times New Roman"/>
                <w:color w:val="000000"/>
                <w:spacing w:val="0"/>
                <w:w w:val="100"/>
                <w:position w:val="0"/>
                <w:sz w:val="18"/>
                <w:szCs w:val="18"/>
              </w:rPr>
              <w:t xml:space="preserve">StayNTouch </w:t>
            </w:r>
            <w:r>
              <w:rPr>
                <w:color w:val="000000"/>
                <w:spacing w:val="0"/>
                <w:w w:val="100"/>
                <w:position w:val="0"/>
                <w:sz w:val="17"/>
                <w:szCs w:val="17"/>
              </w:rPr>
              <w:t>产生的投资损失</w:t>
            </w:r>
            <w:r>
              <w:rPr>
                <w:rFonts w:ascii="Times New Roman" w:eastAsia="Times New Roman" w:hAnsi="Times New Roman" w:cs="Times New Roman"/>
                <w:color w:val="000000"/>
                <w:spacing w:val="0"/>
                <w:w w:val="100"/>
                <w:position w:val="0"/>
                <w:sz w:val="18"/>
                <w:szCs w:val="18"/>
              </w:rPr>
              <w:t>16894.74</w:t>
            </w:r>
            <w:r>
              <w:rPr>
                <w:color w:val="000000"/>
                <w:spacing w:val="0"/>
                <w:w w:val="100"/>
                <w:position w:val="0"/>
                <w:sz w:val="17"/>
                <w:szCs w:val="17"/>
              </w:rPr>
              <w:t>万元所致。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否，该影响为一次性影响</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四</w:t>
      </w:r>
      <w:bookmarkEnd w:id="275"/>
      <w:r>
        <w:rPr>
          <w:color w:val="000000"/>
          <w:spacing w:val="0"/>
          <w:w w:val="100"/>
          <w:position w:val="0"/>
        </w:rPr>
        <w:t>、资产及负债状况分析</w:t>
      </w:r>
      <w:bookmarkEnd w:id="273"/>
      <w:bookmarkEnd w:id="274"/>
      <w:bookmarkEnd w:id="276"/>
    </w:p>
    <w:p>
      <w:pPr>
        <w:pStyle w:val="Style32"/>
        <w:keepNext/>
        <w:keepLines/>
        <w:widowControl w:val="0"/>
        <w:shd w:val="clear" w:color="auto" w:fill="auto"/>
        <w:bidi w:val="0"/>
        <w:spacing w:before="0" w:after="36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、资产构成重大变动情况</w:t>
      </w:r>
      <w:bookmarkEnd w:id="277"/>
      <w:bookmarkEnd w:id="278"/>
      <w:bookmarkEnd w:id="28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560"/>
        <w:gridCol w:w="1416"/>
        <w:gridCol w:w="1416"/>
        <w:gridCol w:w="1277"/>
        <w:gridCol w:w="994"/>
        <w:gridCol w:w="1354"/>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重大变动说明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占总资产比例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5,117,735,900.08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5,210,811,357.28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670,464,267.88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633,550,699.14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318,912,484.59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382,458,302.48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47,633,836.58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52,083,686.00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377,494,874.96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329,117,638.50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301,956,677.50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314,750,501.46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125,554,516.83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57,201,377.72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105,140,502.29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193,888,486.21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45,488,256.61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104,125,590.22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29,626,394.65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270,135,262.33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87,335,744.51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2,182,232.13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1,375,498.56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10,417,833.07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15,486,807.62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258,727,290.03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170,428,305.68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260,776,098.04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375,406,923.59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36,443,392.91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1,476,664.33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、以公允价值计量的资产和负债</w:t>
      </w:r>
      <w:bookmarkEnd w:id="281"/>
      <w:bookmarkEnd w:id="282"/>
      <w:bookmarkEnd w:id="284"/>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99"/>
        <w:gridCol w:w="1094"/>
        <w:gridCol w:w="1219"/>
        <w:gridCol w:w="850"/>
        <w:gridCol w:w="422"/>
        <w:gridCol w:w="1277"/>
        <w:gridCol w:w="1277"/>
        <w:gridCol w:w="1133"/>
        <w:gridCol w:w="1214"/>
      </w:tblGrid>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本期公允价值 变动损益</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 的累计公 允价值变</w:t>
            </w:r>
          </w:p>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本期 计提 的减</w:t>
            </w:r>
          </w:p>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8"/>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57,201,377.72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205,791.49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409,403,050.00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354,575,480.00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3,024,070.11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111,849,076.92</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57,201,377.72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205,791.49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409,403,050.00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354,575,480.00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3,024,070.11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111,849,076.92</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57,201,377.72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205,791.49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409,403,050.00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354,575,480.00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3,024,070.11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111,849,076.92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11,051,721.39</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其他变动主要系累计的投资收益。</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3</w:t>
      </w:r>
      <w:bookmarkEnd w:id="287"/>
      <w:r>
        <w:rPr>
          <w:color w:val="000000"/>
          <w:spacing w:val="0"/>
          <w:w w:val="100"/>
          <w:position w:val="0"/>
        </w:rPr>
        <w:t>、截至报告期末的资产权利受限情况</w:t>
      </w:r>
      <w:bookmarkEnd w:id="285"/>
      <w:bookmarkEnd w:id="286"/>
      <w:bookmarkEnd w:id="288"/>
    </w:p>
    <w:p>
      <w:pPr>
        <w:pStyle w:val="Style35"/>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rPr>
        <w:t>所有权或使用权受到限制的资产</w:t>
      </w:r>
    </w:p>
    <w:tbl>
      <w:tblPr>
        <w:tblOverlap w:val="never"/>
        <w:jc w:val="center"/>
        <w:tblLayout w:type="fixed"/>
      </w:tblPr>
      <w:tblGrid>
        <w:gridCol w:w="2506"/>
        <w:gridCol w:w="3173"/>
        <w:gridCol w:w="3696"/>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年末账面价值（元）</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受限原因</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15,764,726.76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诉讼财产冻结</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3,483,053.23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维修基金账户</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3,125,349.92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银行承兑汇票保证金</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1,789,637.74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履约保函保证金</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1,509,118.87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支付业务保证金</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7,567,771.19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抵押担保</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33,239,657.71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五</w:t>
      </w:r>
      <w:bookmarkEnd w:id="291"/>
      <w:r>
        <w:rPr>
          <w:color w:val="000000"/>
          <w:spacing w:val="0"/>
          <w:w w:val="100"/>
          <w:position w:val="0"/>
        </w:rPr>
        <w:t>、投资状况分析</w:t>
      </w:r>
      <w:bookmarkEnd w:id="289"/>
      <w:bookmarkEnd w:id="290"/>
      <w:bookmarkEnd w:id="292"/>
    </w:p>
    <w:p>
      <w:pPr>
        <w:pStyle w:val="Style32"/>
        <w:keepNext/>
        <w:keepLines/>
        <w:widowControl w:val="0"/>
        <w:shd w:val="clear" w:color="auto" w:fill="auto"/>
        <w:bidi w:val="0"/>
        <w:spacing w:before="0" w:after="36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、总体情况</w:t>
      </w:r>
      <w:bookmarkEnd w:id="293"/>
      <w:bookmarkEnd w:id="294"/>
      <w:bookmarkEnd w:id="29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1,591,637.48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1,051,864,394.84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、报告期内获取的重大的股权投资情况</w:t>
      </w:r>
      <w:bookmarkEnd w:id="297"/>
      <w:bookmarkEnd w:id="298"/>
      <w:bookmarkEnd w:id="30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3</w:t>
      </w:r>
      <w:bookmarkEnd w:id="303"/>
      <w:r>
        <w:rPr>
          <w:color w:val="000000"/>
          <w:spacing w:val="0"/>
          <w:w w:val="100"/>
          <w:position w:val="0"/>
        </w:rPr>
        <w:t>、</w:t>
        <w:tab/>
        <w:t>报告期内正在进行的重大的非股权投资情况</w:t>
      </w:r>
      <w:bookmarkEnd w:id="301"/>
      <w:bookmarkEnd w:id="302"/>
      <w:bookmarkEnd w:id="30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4</w:t>
      </w:r>
      <w:bookmarkEnd w:id="307"/>
      <w:r>
        <w:rPr>
          <w:color w:val="000000"/>
          <w:spacing w:val="0"/>
          <w:w w:val="100"/>
          <w:position w:val="0"/>
        </w:rPr>
        <w:t>、</w:t>
        <w:tab/>
        <w:t>金融资产投资</w:t>
      </w:r>
      <w:bookmarkEnd w:id="305"/>
      <w:bookmarkEnd w:id="306"/>
      <w:bookmarkEnd w:id="308"/>
    </w:p>
    <w:p>
      <w:pPr>
        <w:pStyle w:val="Style32"/>
        <w:keepNext/>
        <w:keepLines/>
        <w:widowControl w:val="0"/>
        <w:numPr>
          <w:ilvl w:val="0"/>
          <w:numId w:val="13"/>
        </w:numPr>
        <w:shd w:val="clear" w:color="auto" w:fill="auto"/>
        <w:tabs>
          <w:tab w:pos="493" w:val="left"/>
        </w:tabs>
        <w:bidi w:val="0"/>
        <w:spacing w:before="0" w:after="380" w:line="240" w:lineRule="auto"/>
        <w:ind w:left="0" w:right="0" w:firstLine="0"/>
        <w:jc w:val="left"/>
      </w:pPr>
      <w:bookmarkStart w:id="305" w:name="bookmark305"/>
      <w:bookmarkStart w:id="306" w:name="bookmark306"/>
      <w:bookmarkStart w:id="309" w:name="bookmark309"/>
      <w:bookmarkStart w:id="310" w:name="bookmark310"/>
      <w:bookmarkEnd w:id="309"/>
      <w:r>
        <w:rPr>
          <w:color w:val="000000"/>
          <w:spacing w:val="0"/>
          <w:w w:val="100"/>
          <w:position w:val="0"/>
        </w:rPr>
        <w:t>证券投资情况</w:t>
      </w:r>
      <w:bookmarkEnd w:id="305"/>
      <w:bookmarkEnd w:id="306"/>
      <w:bookmarkEnd w:id="31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2"/>
        <w:keepNext/>
        <w:keepLines/>
        <w:widowControl w:val="0"/>
        <w:numPr>
          <w:ilvl w:val="0"/>
          <w:numId w:val="13"/>
        </w:numPr>
        <w:shd w:val="clear" w:color="auto" w:fill="auto"/>
        <w:tabs>
          <w:tab w:pos="493" w:val="left"/>
        </w:tabs>
        <w:bidi w:val="0"/>
        <w:spacing w:before="0" w:after="380" w:line="240" w:lineRule="auto"/>
        <w:ind w:left="0" w:right="0" w:firstLine="0"/>
        <w:jc w:val="left"/>
      </w:pPr>
      <w:bookmarkStart w:id="311" w:name="bookmark311"/>
      <w:bookmarkStart w:id="312" w:name="bookmark312"/>
      <w:bookmarkStart w:id="313" w:name="bookmark313"/>
      <w:bookmarkStart w:id="314" w:name="bookmark314"/>
      <w:bookmarkEnd w:id="313"/>
      <w:r>
        <w:rPr>
          <w:color w:val="000000"/>
          <w:spacing w:val="0"/>
          <w:w w:val="100"/>
          <w:position w:val="0"/>
        </w:rPr>
        <w:t>衍生品投资情况</w:t>
      </w:r>
      <w:bookmarkEnd w:id="311"/>
      <w:bookmarkEnd w:id="312"/>
      <w:bookmarkEnd w:id="31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5</w:t>
      </w:r>
      <w:bookmarkEnd w:id="317"/>
      <w:r>
        <w:rPr>
          <w:color w:val="000000"/>
          <w:spacing w:val="0"/>
          <w:w w:val="100"/>
          <w:position w:val="0"/>
        </w:rPr>
        <w:t>、</w:t>
        <w:tab/>
        <w:t>募集资金使用情况</w:t>
      </w:r>
      <w:bookmarkEnd w:id="315"/>
      <w:bookmarkEnd w:id="316"/>
      <w:bookmarkEnd w:id="31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bidi w:val="0"/>
        <w:spacing w:before="0" w:after="38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六</w:t>
      </w:r>
      <w:bookmarkEnd w:id="321"/>
      <w:r>
        <w:rPr>
          <w:color w:val="000000"/>
          <w:spacing w:val="0"/>
          <w:w w:val="100"/>
          <w:position w:val="0"/>
        </w:rPr>
        <w:t>、重大资产和股权出售</w:t>
      </w:r>
      <w:bookmarkEnd w:id="319"/>
      <w:bookmarkEnd w:id="320"/>
      <w:bookmarkEnd w:id="322"/>
    </w:p>
    <w:p>
      <w:pPr>
        <w:pStyle w:val="Style32"/>
        <w:keepNext/>
        <w:keepLines/>
        <w:widowControl w:val="0"/>
        <w:shd w:val="clear" w:color="auto" w:fill="auto"/>
        <w:bidi w:val="0"/>
        <w:spacing w:before="0" w:after="38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、出售重大资产情况</w:t>
      </w:r>
      <w:bookmarkEnd w:id="323"/>
      <w:bookmarkEnd w:id="324"/>
      <w:bookmarkEnd w:id="32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8" w:right="778" w:bottom="1436" w:left="878" w:header="0" w:footer="3" w:gutter="0"/>
          <w:cols w:space="720"/>
          <w:noEndnote/>
          <w:rtlGutter w:val="0"/>
          <w:docGrid w:linePitch="360"/>
        </w:sectPr>
      </w:pPr>
      <w:r>
        <w:rPr>
          <w:color w:val="000000"/>
          <w:spacing w:val="0"/>
          <w:w w:val="100"/>
          <w:position w:val="0"/>
        </w:rPr>
        <w:t>公司报告期未出售重大资产。</w:t>
      </w:r>
    </w:p>
    <w:p>
      <w:pPr>
        <w:pStyle w:val="Style32"/>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、出售重大股权情况</w:t>
      </w:r>
      <w:bookmarkEnd w:id="327"/>
      <w:bookmarkEnd w:id="328"/>
      <w:bookmarkEnd w:id="33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571"/>
        <w:gridCol w:w="566"/>
        <w:gridCol w:w="989"/>
        <w:gridCol w:w="1138"/>
        <w:gridCol w:w="2026"/>
        <w:gridCol w:w="998"/>
        <w:gridCol w:w="518"/>
        <w:gridCol w:w="427"/>
        <w:gridCol w:w="850"/>
        <w:gridCol w:w="710"/>
        <w:gridCol w:w="1272"/>
        <w:gridCol w:w="566"/>
        <w:gridCol w:w="2659"/>
      </w:tblGrid>
      <w:tr>
        <w:trPr>
          <w:trHeight w:val="196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交易对 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被出 售股 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出售</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交易价格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本期初起至 出售日该股 权为上市公 司贡献的净 利润（万元）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出售对公司的影响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股权出售为 上市公司贡 献的净利润 占净利润总 额的比例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股权 出售 定价 原则</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 为关 联交 易</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与交易对 方的关联 关系</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所涉及 的股权 是否已 全部过 户</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是否按计划如 期实施，如未按 计划实施，应当</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说明原因及公 司已采取的措 施</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披露 日期</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384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MCR</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 s LLC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StayN</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Touch,</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Inc100</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9,506.96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公司处置</w:t>
            </w:r>
            <w:r>
              <w:rPr>
                <w:rFonts w:ascii="Times New Roman" w:eastAsia="Times New Roman" w:hAnsi="Times New Roman" w:cs="Times New Roman"/>
                <w:color w:val="000000"/>
                <w:spacing w:val="0"/>
                <w:w w:val="100"/>
                <w:position w:val="0"/>
                <w:sz w:val="18"/>
                <w:szCs w:val="18"/>
              </w:rPr>
              <w:t>StayNTouch</w:t>
            </w:r>
            <w:r>
              <w:rPr>
                <w:color w:val="000000"/>
                <w:spacing w:val="0"/>
                <w:w w:val="100"/>
                <w:position w:val="0"/>
                <w:sz w:val="17"/>
                <w:szCs w:val="17"/>
              </w:rPr>
              <w:t>公 司股权系遵守美国政府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行政命令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延期协 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StayNTouch </w:t>
            </w:r>
            <w:r>
              <w:rPr>
                <w:color w:val="000000"/>
                <w:spacing w:val="0"/>
                <w:w w:val="100"/>
                <w:position w:val="0"/>
                <w:sz w:val="17"/>
                <w:szCs w:val="17"/>
              </w:rPr>
              <w:t xml:space="preserve">一直独 立运营，本次 </w:t>
            </w:r>
            <w:r>
              <w:rPr>
                <w:rFonts w:ascii="Times New Roman" w:eastAsia="Times New Roman" w:hAnsi="Times New Roman" w:cs="Times New Roman"/>
                <w:color w:val="000000"/>
                <w:spacing w:val="0"/>
                <w:w w:val="100"/>
                <w:position w:val="0"/>
                <w:sz w:val="18"/>
                <w:szCs w:val="18"/>
              </w:rPr>
              <w:t>StayNTouch</w:t>
            </w:r>
            <w:r>
              <w:rPr>
                <w:color w:val="000000"/>
                <w:spacing w:val="0"/>
                <w:w w:val="100"/>
                <w:position w:val="0"/>
                <w:sz w:val="17"/>
                <w:szCs w:val="17"/>
              </w:rPr>
              <w:t>股权转让给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年度造成约 </w:t>
            </w:r>
            <w:r>
              <w:rPr>
                <w:rFonts w:ascii="Times New Roman" w:eastAsia="Times New Roman" w:hAnsi="Times New Roman" w:cs="Times New Roman"/>
                <w:color w:val="000000"/>
                <w:spacing w:val="0"/>
                <w:w w:val="100"/>
                <w:position w:val="0"/>
                <w:sz w:val="18"/>
                <w:szCs w:val="18"/>
              </w:rPr>
              <w:t>16894.74</w:t>
            </w:r>
            <w:r>
              <w:rPr>
                <w:color w:val="000000"/>
                <w:spacing w:val="0"/>
                <w:w w:val="100"/>
                <w:position w:val="0"/>
                <w:sz w:val="17"/>
                <w:szCs w:val="17"/>
              </w:rPr>
              <w:t>万元人民币损 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协商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日刊登于《中 国证券报》、《上海证券报》及巨 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的</w:t>
            </w:r>
          </w:p>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《关于公司拟处置 </w:t>
            </w:r>
            <w:r>
              <w:rPr>
                <w:rFonts w:ascii="Times New Roman" w:eastAsia="Times New Roman" w:hAnsi="Times New Roman" w:cs="Times New Roman"/>
                <w:color w:val="000000"/>
                <w:spacing w:val="0"/>
                <w:w w:val="100"/>
                <w:position w:val="0"/>
                <w:sz w:val="18"/>
                <w:szCs w:val="18"/>
              </w:rPr>
              <w:t>StayNtouch100%</w:t>
            </w:r>
            <w:r>
              <w:rPr>
                <w:color w:val="000000"/>
                <w:spacing w:val="0"/>
                <w:w w:val="100"/>
                <w:position w:val="0"/>
                <w:sz w:val="17"/>
                <w:szCs w:val="17"/>
              </w:rPr>
              <w:t>股权进展的公告</w:t>
            </w:r>
          </w:p>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（二）》</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2020-29 </w:t>
            </w:r>
            <w:r>
              <w:rPr>
                <w:color w:val="000000"/>
                <w:spacing w:val="0"/>
                <w:w w:val="100"/>
                <w:position w:val="0"/>
                <w:sz w:val="17"/>
                <w:szCs w:val="17"/>
              </w:rPr>
              <w:t xml:space="preserve">）与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日刊登于《中国证券报》、《上 海证券报》及巨潮资讯网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 xml:space="preserve">《关于 </w:t>
            </w:r>
            <w:r>
              <w:rPr>
                <w:rFonts w:ascii="Times New Roman" w:eastAsia="Times New Roman" w:hAnsi="Times New Roman" w:cs="Times New Roman"/>
                <w:color w:val="000000"/>
                <w:spacing w:val="0"/>
                <w:w w:val="100"/>
                <w:position w:val="0"/>
                <w:sz w:val="18"/>
                <w:szCs w:val="18"/>
              </w:rPr>
              <w:t xml:space="preserve">StayNTouch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股权处置交割 完成并获得</w:t>
            </w:r>
            <w:r>
              <w:rPr>
                <w:rFonts w:ascii="Times New Roman" w:eastAsia="Times New Roman" w:hAnsi="Times New Roman" w:cs="Times New Roman"/>
                <w:color w:val="000000"/>
                <w:spacing w:val="0"/>
                <w:w w:val="100"/>
                <w:position w:val="0"/>
                <w:sz w:val="18"/>
                <w:szCs w:val="18"/>
              </w:rPr>
              <w:t>CFIUS</w:t>
            </w:r>
            <w:r>
              <w:rPr>
                <w:color w:val="000000"/>
                <w:spacing w:val="0"/>
                <w:w w:val="100"/>
                <w:position w:val="0"/>
                <w:sz w:val="17"/>
                <w:szCs w:val="17"/>
              </w:rPr>
              <w:t>确认的进展公 告》（</w:t>
            </w:r>
            <w:r>
              <w:rPr>
                <w:rFonts w:ascii="Times New Roman" w:eastAsia="Times New Roman" w:hAnsi="Times New Roman" w:cs="Times New Roman"/>
                <w:color w:val="000000"/>
                <w:spacing w:val="0"/>
                <w:w w:val="100"/>
                <w:position w:val="0"/>
                <w:sz w:val="18"/>
                <w:szCs w:val="18"/>
              </w:rPr>
              <w:t>2020-33</w:t>
            </w:r>
            <w:r>
              <w:rPr>
                <w:color w:val="000000"/>
                <w:spacing w:val="0"/>
                <w:w w:val="100"/>
                <w:position w:val="0"/>
                <w:sz w:val="17"/>
                <w:szCs w:val="17"/>
              </w:rPr>
              <w:t>）。</w:t>
            </w:r>
          </w:p>
        </w:tc>
      </w:tr>
    </w:tbl>
    <w:p>
      <w:pPr>
        <w:sectPr>
          <w:headerReference w:type="default" r:id="rId9"/>
          <w:footerReference w:type="default" r:id="rId10"/>
          <w:footnotePr>
            <w:pos w:val="pageBottom"/>
            <w:numFmt w:val="decimal"/>
            <w:numRestart w:val="continuous"/>
          </w:footnotePr>
          <w:pgSz w:w="16840" w:h="11900" w:orient="landscape"/>
          <w:pgMar w:top="1158" w:right="1403" w:bottom="1158" w:left="1422" w:header="0" w:footer="3" w:gutter="0"/>
          <w:cols w:space="720"/>
          <w:noEndnote/>
          <w:rtlGutter w:val="0"/>
          <w:docGrid w:linePitch="360"/>
        </w:sectPr>
      </w:pPr>
    </w:p>
    <w:p>
      <w:pPr>
        <w:pStyle w:val="Style24"/>
        <w:keepNext/>
        <w:keepLines/>
        <w:widowControl w:val="0"/>
        <w:shd w:val="clear" w:color="auto" w:fill="auto"/>
        <w:bidi w:val="0"/>
        <w:spacing w:before="80" w:after="3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七</w:t>
      </w:r>
      <w:bookmarkEnd w:id="333"/>
      <w:r>
        <w:rPr>
          <w:color w:val="000000"/>
          <w:spacing w:val="0"/>
          <w:w w:val="100"/>
          <w:position w:val="0"/>
        </w:rPr>
        <w:t>、主要控股参股公司分析</w:t>
      </w:r>
      <w:bookmarkEnd w:id="331"/>
      <w:bookmarkEnd w:id="332"/>
      <w:bookmarkEnd w:id="33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422"/>
        <w:gridCol w:w="1277"/>
        <w:gridCol w:w="566"/>
        <w:gridCol w:w="1277"/>
        <w:gridCol w:w="1277"/>
        <w:gridCol w:w="1133"/>
        <w:gridCol w:w="1133"/>
        <w:gridCol w:w="1214"/>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 类型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注册 资本</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净利润</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1000 </w:t>
            </w:r>
            <w:r>
              <w:rPr>
                <w:color w:val="000000"/>
                <w:spacing w:val="0"/>
                <w:w w:val="100"/>
                <w:position w:val="0"/>
                <w:sz w:val="16"/>
                <w:szCs w:val="16"/>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893,739,937.84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411,088,556.54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69,046.96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2,962,939.84</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2,963,618.19</w:t>
            </w:r>
          </w:p>
        </w:tc>
      </w:tr>
      <w:tr>
        <w:trPr>
          <w:trHeight w:val="26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上海石基信息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6"/>
                <w:szCs w:val="16"/>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132,644,701.69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-7,168,046.33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40,723,301.41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2,208,238.81</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2,321,340.21</w:t>
            </w:r>
          </w:p>
        </w:tc>
      </w:tr>
      <w:tr>
        <w:trPr>
          <w:trHeight w:val="26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北海石基信息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3,581,262,364.19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1,768,742,286.91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386,212,937.93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280,724,356.95</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255,120,075.74</w:t>
            </w:r>
          </w:p>
        </w:tc>
      </w:tr>
      <w:tr>
        <w:trPr>
          <w:trHeight w:val="26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支付系统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杭州西软科技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1970 </w:t>
            </w:r>
            <w:r>
              <w:rPr>
                <w:color w:val="000000"/>
                <w:spacing w:val="0"/>
                <w:w w:val="100"/>
                <w:position w:val="0"/>
                <w:sz w:val="16"/>
                <w:szCs w:val="16"/>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260,957,673.30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160,651,674.82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91,735,114.24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9,232,895.20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9,907,781.50</w:t>
            </w:r>
          </w:p>
        </w:tc>
      </w:tr>
      <w:tr>
        <w:trPr>
          <w:trHeight w:val="25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石基昆仑软件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428</w:t>
            </w:r>
            <w:r>
              <w:rPr>
                <w:color w:val="000000"/>
                <w:spacing w:val="0"/>
                <w:w w:val="100"/>
                <w:position w:val="0"/>
                <w:sz w:val="16"/>
                <w:szCs w:val="16"/>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149,106,217.18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101,094,805.79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50,026,762.52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24,131,598.14</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22,252,963.55</w:t>
            </w:r>
          </w:p>
        </w:tc>
      </w:tr>
      <w:tr>
        <w:trPr>
          <w:trHeight w:val="26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93093.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投资业务</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w:t>
            </w:r>
            <w:r>
              <w:rPr>
                <w:color w:val="000000"/>
                <w:spacing w:val="0"/>
                <w:w w:val="100"/>
                <w:position w:val="0"/>
                <w:sz w:val="16"/>
                <w:szCs w:val="16"/>
              </w:rPr>
              <w:t>万元</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4,698,873,364.58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3,634,311,778.09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719,677,547.61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-395,951,461.49</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-387,323,554.58</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Retail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Information</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商业流通管理</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1,618,844,904.40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1,482,302,990.28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314,336,885.34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110,319,708.88</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104,113,409.06</w:t>
            </w:r>
          </w:p>
        </w:tc>
      </w:tr>
      <w:tr>
        <w:trPr>
          <w:trHeight w:val="22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Co.</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上海正品贵德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餐饮信息管理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525</w:t>
            </w:r>
            <w:r>
              <w:rPr>
                <w:color w:val="000000"/>
                <w:spacing w:val="0"/>
                <w:w w:val="100"/>
                <w:position w:val="0"/>
                <w:sz w:val="16"/>
                <w:szCs w:val="16"/>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23,418,902.64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11,376,715.90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11,937,079.62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-5,496,714.10</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-4,482,009.94</w:t>
            </w:r>
          </w:p>
        </w:tc>
      </w:tr>
      <w:tr>
        <w:trPr>
          <w:trHeight w:val="25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中国电子器件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19403.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1,190,521,056.1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757,225,688.00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558,001,041.80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3,850,851.59</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3,148,814.18</w:t>
            </w:r>
          </w:p>
        </w:tc>
      </w:tr>
      <w:tr>
        <w:trPr>
          <w:trHeight w:val="26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深圳市思迅软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商业流通管理</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件股份有限公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342,883,798.25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287,722,920.70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317,385,892.19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135,819,441.01</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123,696,462.10</w:t>
            </w:r>
          </w:p>
        </w:tc>
      </w:tr>
      <w:tr>
        <w:trPr>
          <w:trHeight w:val="418"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百望金税科技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5000 </w:t>
            </w:r>
            <w:r>
              <w:rPr>
                <w:color w:val="000000"/>
                <w:spacing w:val="0"/>
                <w:w w:val="100"/>
                <w:position w:val="0"/>
                <w:sz w:val="16"/>
                <w:szCs w:val="16"/>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23,485,347.40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20,831,072.09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8,557,607.55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5,755,446.19</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5,238,460.83</w:t>
            </w:r>
          </w:p>
        </w:tc>
      </w:tr>
      <w:tr>
        <w:trPr>
          <w:trHeight w:val="26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北京航信华仪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6"/>
                <w:szCs w:val="16"/>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软件技术有限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488,113.13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-787,867.67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1,747,987.48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101,673.26</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107,527.04</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石基商用信息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商业流通管理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987,840,481.08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283,997,944.07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474,707,542.49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43,124,172.76</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41,517,453.65</w:t>
            </w:r>
          </w:p>
        </w:tc>
      </w:tr>
      <w:tr>
        <w:trPr>
          <w:trHeight w:val="26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敏付科技有限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144,684,099.10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112,066,583.40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11,642,640.77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-4,159,423.27</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-3,917,790.00</w:t>
            </w:r>
          </w:p>
        </w:tc>
      </w:tr>
      <w:tr>
        <w:trPr>
          <w:trHeight w:val="269"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万元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StayNTouch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产生投资损失</w:t>
            </w:r>
            <w:r>
              <w:rPr>
                <w:rFonts w:ascii="Times New Roman" w:eastAsia="Times New Roman" w:hAnsi="Times New Roman" w:cs="Times New Roman"/>
                <w:color w:val="000000"/>
                <w:spacing w:val="0"/>
                <w:w w:val="100"/>
                <w:position w:val="0"/>
                <w:sz w:val="18"/>
                <w:szCs w:val="18"/>
              </w:rPr>
              <w:t>16894.74</w:t>
            </w:r>
            <w:r>
              <w:rPr>
                <w:color w:val="000000"/>
                <w:spacing w:val="0"/>
                <w:w w:val="100"/>
                <w:position w:val="0"/>
                <w:sz w:val="17"/>
                <w:szCs w:val="17"/>
              </w:rPr>
              <w:t>万元。</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5"/>
        <w:keepNext w:val="0"/>
        <w:keepLines w:val="0"/>
        <w:widowControl w:val="0"/>
        <w:shd w:val="clear" w:color="auto" w:fill="auto"/>
        <w:tabs>
          <w:tab w:pos="933" w:val="left"/>
        </w:tabs>
        <w:bidi w:val="0"/>
        <w:spacing w:before="0" w:after="0" w:line="326" w:lineRule="exact"/>
        <w:ind w:left="0" w:right="0" w:firstLine="440"/>
        <w:jc w:val="left"/>
      </w:pPr>
      <w:bookmarkStart w:id="335" w:name="bookmark335"/>
      <w:r>
        <w:rPr>
          <w:b/>
          <w:bCs/>
          <w:color w:val="000000"/>
          <w:spacing w:val="0"/>
          <w:w w:val="100"/>
          <w:position w:val="0"/>
        </w:rPr>
        <w:t>（</w:t>
      </w:r>
      <w:bookmarkEnd w:id="33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北京中长石基软件有限公司</w:t>
      </w:r>
    </w:p>
    <w:p>
      <w:pPr>
        <w:pStyle w:val="Style3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北京中长石基软件有限公司为本公司全资子公司，成立于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万元，主要业务 为软件研发、销售和技术咨询。</w:t>
      </w:r>
    </w:p>
    <w:p>
      <w:pPr>
        <w:pStyle w:val="Style35"/>
        <w:keepNext w:val="0"/>
        <w:keepLines w:val="0"/>
        <w:widowControl w:val="0"/>
        <w:shd w:val="clear" w:color="auto" w:fill="auto"/>
        <w:tabs>
          <w:tab w:pos="933" w:val="left"/>
        </w:tabs>
        <w:bidi w:val="0"/>
        <w:spacing w:before="0" w:after="0" w:line="326" w:lineRule="exact"/>
        <w:ind w:left="0" w:right="0" w:firstLine="440"/>
        <w:jc w:val="both"/>
      </w:pPr>
      <w:bookmarkStart w:id="336" w:name="bookmark336"/>
      <w:r>
        <w:rPr>
          <w:b/>
          <w:bCs/>
          <w:color w:val="000000"/>
          <w:spacing w:val="0"/>
          <w:w w:val="100"/>
          <w:position w:val="0"/>
        </w:rPr>
        <w:t>（</w:t>
      </w:r>
      <w:bookmarkEnd w:id="33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上海石基信息技术有限公司</w:t>
      </w:r>
    </w:p>
    <w:p>
      <w:pPr>
        <w:pStyle w:val="Style3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上海石基信息技术有限公司为本公司的全资子公司，注册资本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万元，主要负责本公司的技术支 持与维护业务。</w:t>
      </w:r>
    </w:p>
    <w:p>
      <w:pPr>
        <w:pStyle w:val="Style35"/>
        <w:keepNext w:val="0"/>
        <w:keepLines w:val="0"/>
        <w:widowControl w:val="0"/>
        <w:shd w:val="clear" w:color="auto" w:fill="auto"/>
        <w:tabs>
          <w:tab w:pos="933" w:val="left"/>
        </w:tabs>
        <w:bidi w:val="0"/>
        <w:spacing w:before="0" w:after="0" w:line="316" w:lineRule="exact"/>
        <w:ind w:left="0" w:right="0" w:firstLine="440"/>
        <w:jc w:val="both"/>
      </w:pPr>
      <w:bookmarkStart w:id="337" w:name="bookmark337"/>
      <w:r>
        <w:rPr>
          <w:b/>
          <w:bCs/>
          <w:color w:val="000000"/>
          <w:spacing w:val="0"/>
          <w:w w:val="100"/>
          <w:position w:val="0"/>
        </w:rPr>
        <w:t>（</w:t>
      </w:r>
      <w:bookmarkEnd w:id="33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北海石基信息技术有限公司</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北海石基信息技术有限公司为本公司的全资子公司，成立于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万元，主要业 务是计算机软件开发、销售及相关的系统集成、技术服务；电子产品、网络设备、网络技术的研究开发、 销售及服务（以上项目不含互联网信息服务）。</w:t>
      </w:r>
    </w:p>
    <w:p>
      <w:pPr>
        <w:pStyle w:val="Style35"/>
        <w:keepNext w:val="0"/>
        <w:keepLines w:val="0"/>
        <w:widowControl w:val="0"/>
        <w:shd w:val="clear" w:color="auto" w:fill="auto"/>
        <w:tabs>
          <w:tab w:pos="933" w:val="left"/>
        </w:tabs>
        <w:bidi w:val="0"/>
        <w:spacing w:before="0" w:after="0" w:line="317" w:lineRule="exact"/>
        <w:ind w:left="0" w:right="0" w:firstLine="440"/>
        <w:jc w:val="both"/>
      </w:pPr>
      <w:bookmarkStart w:id="338" w:name="bookmark338"/>
      <w:r>
        <w:rPr>
          <w:b/>
          <w:bCs/>
          <w:color w:val="000000"/>
          <w:spacing w:val="0"/>
          <w:w w:val="100"/>
          <w:position w:val="0"/>
        </w:rPr>
        <w:t>（</w:t>
      </w:r>
      <w:bookmarkEnd w:id="33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杭州西软科技有限公司</w:t>
      </w:r>
    </w:p>
    <w:p>
      <w:pPr>
        <w:pStyle w:val="Style35"/>
        <w:keepNext w:val="0"/>
        <w:keepLines w:val="0"/>
        <w:widowControl w:val="0"/>
        <w:shd w:val="clear" w:color="auto" w:fill="auto"/>
        <w:tabs>
          <w:tab w:pos="8720" w:val="left"/>
        </w:tabs>
        <w:bidi w:val="0"/>
        <w:spacing w:before="0" w:after="0" w:line="317" w:lineRule="exact"/>
        <w:ind w:left="0" w:right="0" w:firstLine="440"/>
        <w:jc w:val="both"/>
      </w:pPr>
      <w:r>
        <w:rPr>
          <w:color w:val="000000"/>
          <w:spacing w:val="0"/>
          <w:w w:val="100"/>
          <w:position w:val="0"/>
        </w:rPr>
        <w:t>杭州西软科技有限公司，成立于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日，注册资本为</w:t>
      </w:r>
      <w:r>
        <w:rPr>
          <w:rFonts w:ascii="Times New Roman" w:eastAsia="Times New Roman" w:hAnsi="Times New Roman" w:cs="Times New Roman"/>
          <w:color w:val="000000"/>
          <w:spacing w:val="0"/>
          <w:w w:val="100"/>
          <w:position w:val="0"/>
        </w:rPr>
        <w:t>1,970.00</w:t>
      </w:r>
      <w:r>
        <w:rPr>
          <w:color w:val="000000"/>
          <w:spacing w:val="0"/>
          <w:w w:val="100"/>
          <w:position w:val="0"/>
        </w:rPr>
        <w:t>万元人民币，为公司全资子公司。 该公司主要从事开发销售计算机软硬件及外围设备，西软科技拥有包括</w:t>
      </w:r>
      <w:r>
        <w:rPr>
          <w:rFonts w:ascii="Times New Roman" w:eastAsia="Times New Roman" w:hAnsi="Times New Roman" w:cs="Times New Roman"/>
          <w:color w:val="000000"/>
          <w:spacing w:val="0"/>
          <w:w w:val="100"/>
          <w:position w:val="0"/>
        </w:rPr>
        <w:t>“</w:t>
      </w:r>
      <w:r>
        <w:rPr>
          <w:color w:val="000000"/>
          <w:spacing w:val="0"/>
          <w:w w:val="100"/>
          <w:position w:val="0"/>
        </w:rPr>
        <w:t>西软</w:t>
      </w:r>
      <w:r>
        <w:rPr>
          <w:rFonts w:ascii="Times New Roman" w:eastAsia="Times New Roman" w:hAnsi="Times New Roman" w:cs="Times New Roman"/>
          <w:color w:val="000000"/>
          <w:spacing w:val="0"/>
          <w:w w:val="100"/>
          <w:position w:val="0"/>
        </w:rPr>
        <w:t>X5”</w:t>
      </w:r>
      <w:r>
        <w:rPr>
          <w:color w:val="000000"/>
          <w:spacing w:val="0"/>
          <w:w w:val="100"/>
          <w:position w:val="0"/>
        </w:rPr>
        <w:t>、</w:t>
      </w:r>
      <w:r>
        <w:rPr>
          <w:rFonts w:ascii="Times New Roman" w:eastAsia="Times New Roman" w:hAnsi="Times New Roman" w:cs="Times New Roman"/>
          <w:color w:val="000000"/>
          <w:spacing w:val="0"/>
          <w:w w:val="100"/>
          <w:position w:val="0"/>
        </w:rPr>
        <w:t>“FOXHIS</w:t>
        <w:tab/>
      </w:r>
      <w:r>
        <w:rPr>
          <w:rFonts w:ascii="Times New Roman" w:eastAsia="Times New Roman" w:hAnsi="Times New Roman" w:cs="Times New Roman"/>
          <w:color w:val="000000"/>
          <w:spacing w:val="0"/>
          <w:w w:val="100"/>
          <w:position w:val="0"/>
        </w:rPr>
        <w:t>V</w:t>
      </w:r>
      <w:r>
        <w:rPr>
          <w:color w:val="000000"/>
          <w:spacing w:val="0"/>
          <w:w w:val="100"/>
          <w:position w:val="0"/>
        </w:rPr>
        <w:t>系列''、</w:t>
      </w:r>
    </w:p>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“Smart”</w:t>
      </w:r>
      <w:r>
        <w:rPr>
          <w:color w:val="000000"/>
          <w:spacing w:val="0"/>
          <w:w w:val="100"/>
          <w:position w:val="0"/>
        </w:rPr>
        <w:t>等针对不同档次酒店用户需求的较为完整的产品序列。</w:t>
      </w:r>
    </w:p>
    <w:p>
      <w:pPr>
        <w:pStyle w:val="Style35"/>
        <w:keepNext w:val="0"/>
        <w:keepLines w:val="0"/>
        <w:widowControl w:val="0"/>
        <w:shd w:val="clear" w:color="auto" w:fill="auto"/>
        <w:tabs>
          <w:tab w:pos="933" w:val="left"/>
        </w:tabs>
        <w:bidi w:val="0"/>
        <w:spacing w:before="0" w:after="0" w:line="316" w:lineRule="exact"/>
        <w:ind w:left="0" w:right="0" w:firstLine="440"/>
        <w:jc w:val="both"/>
      </w:pPr>
      <w:bookmarkStart w:id="339" w:name="bookmark339"/>
      <w:r>
        <w:rPr>
          <w:b/>
          <w:bCs/>
          <w:color w:val="000000"/>
          <w:spacing w:val="0"/>
          <w:w w:val="100"/>
          <w:position w:val="0"/>
        </w:rPr>
        <w:t>（</w:t>
      </w:r>
      <w:bookmarkEnd w:id="33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北京石基昆仑软件有限公司</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北京石基昆仑软件有限公司为本公司控股子公司。成立于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日，注册资本</w:t>
      </w:r>
      <w:r>
        <w:rPr>
          <w:rFonts w:ascii="Times New Roman" w:eastAsia="Times New Roman" w:hAnsi="Times New Roman" w:cs="Times New Roman"/>
          <w:color w:val="000000"/>
          <w:spacing w:val="0"/>
          <w:w w:val="100"/>
          <w:position w:val="0"/>
        </w:rPr>
        <w:t>428.00</w:t>
      </w:r>
      <w:r>
        <w:rPr>
          <w:color w:val="000000"/>
          <w:spacing w:val="0"/>
          <w:w w:val="100"/>
          <w:position w:val="0"/>
        </w:rPr>
        <w:t>万元。本公 司持有石基昆仑</w:t>
      </w:r>
      <w:r>
        <w:rPr>
          <w:rFonts w:ascii="Times New Roman" w:eastAsia="Times New Roman" w:hAnsi="Times New Roman" w:cs="Times New Roman"/>
          <w:color w:val="000000"/>
          <w:spacing w:val="0"/>
          <w:w w:val="100"/>
          <w:position w:val="0"/>
        </w:rPr>
        <w:t>82.40%</w:t>
      </w:r>
      <w:r>
        <w:rPr>
          <w:color w:val="000000"/>
          <w:spacing w:val="0"/>
          <w:w w:val="100"/>
          <w:position w:val="0"/>
        </w:rPr>
        <w:t>的股权。石基昆仑的主要业务开发和实施酒店</w:t>
      </w:r>
      <w:r>
        <w:rPr>
          <w:rFonts w:ascii="Times New Roman" w:eastAsia="Times New Roman" w:hAnsi="Times New Roman" w:cs="Times New Roman"/>
          <w:color w:val="000000"/>
          <w:spacing w:val="0"/>
          <w:w w:val="100"/>
          <w:position w:val="0"/>
        </w:rPr>
        <w:t xml:space="preserve">CRM </w:t>
      </w:r>
      <w:r>
        <w:rPr>
          <w:color w:val="000000"/>
          <w:spacing w:val="0"/>
          <w:w w:val="100"/>
          <w:position w:val="0"/>
        </w:rPr>
        <w:t>（客户关系管理系统）、</w:t>
      </w:r>
      <w:r>
        <w:rPr>
          <w:rFonts w:ascii="Times New Roman" w:eastAsia="Times New Roman" w:hAnsi="Times New Roman" w:cs="Times New Roman"/>
          <w:color w:val="000000"/>
          <w:spacing w:val="0"/>
          <w:w w:val="100"/>
          <w:position w:val="0"/>
        </w:rPr>
        <w:t xml:space="preserve">LPS </w:t>
      </w:r>
      <w:r>
        <w:rPr>
          <w:color w:val="000000"/>
          <w:spacing w:val="0"/>
          <w:w w:val="100"/>
          <w:position w:val="0"/>
        </w:rPr>
        <w:t>（会 员积分和管理系统）和</w:t>
      </w:r>
      <w:r>
        <w:rPr>
          <w:rFonts w:ascii="Times New Roman" w:eastAsia="Times New Roman" w:hAnsi="Times New Roman" w:cs="Times New Roman"/>
          <w:color w:val="000000"/>
          <w:spacing w:val="0"/>
          <w:w w:val="100"/>
          <w:position w:val="0"/>
        </w:rPr>
        <w:t xml:space="preserve">CRS </w:t>
      </w:r>
      <w:r>
        <w:rPr>
          <w:color w:val="000000"/>
          <w:spacing w:val="0"/>
          <w:w w:val="100"/>
          <w:position w:val="0"/>
        </w:rPr>
        <w:t>（集团酒店中央预订系统），配合石基数字酒店信息系统提供中国本地酒店集 团化解决方案。</w:t>
      </w:r>
    </w:p>
    <w:p>
      <w:pPr>
        <w:pStyle w:val="Style35"/>
        <w:keepNext w:val="0"/>
        <w:keepLines w:val="0"/>
        <w:widowControl w:val="0"/>
        <w:shd w:val="clear" w:color="auto" w:fill="auto"/>
        <w:tabs>
          <w:tab w:pos="933" w:val="left"/>
        </w:tabs>
        <w:bidi w:val="0"/>
        <w:spacing w:before="0" w:after="0" w:line="316" w:lineRule="exact"/>
        <w:ind w:left="0" w:right="0" w:firstLine="440"/>
        <w:jc w:val="both"/>
      </w:pPr>
      <w:bookmarkStart w:id="340" w:name="bookmark340"/>
      <w:r>
        <w:rPr>
          <w:b/>
          <w:bCs/>
          <w:color w:val="000000"/>
          <w:spacing w:val="0"/>
          <w:w w:val="100"/>
          <w:position w:val="0"/>
        </w:rPr>
        <w:t>（</w:t>
      </w:r>
      <w:bookmarkEnd w:id="340"/>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石基（香港）有限公司</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石基（香港）有限公司为本公司的全资子公司，注册资本为</w:t>
      </w:r>
      <w:r>
        <w:rPr>
          <w:rFonts w:ascii="Times New Roman" w:eastAsia="Times New Roman" w:hAnsi="Times New Roman" w:cs="Times New Roman"/>
          <w:color w:val="000000"/>
          <w:spacing w:val="0"/>
          <w:w w:val="100"/>
          <w:position w:val="0"/>
        </w:rPr>
        <w:t>93093.35</w:t>
      </w:r>
      <w:r>
        <w:rPr>
          <w:color w:val="000000"/>
          <w:spacing w:val="0"/>
          <w:w w:val="100"/>
          <w:position w:val="0"/>
        </w:rPr>
        <w:t>万，</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日在中国香港 成立，主要从事酒店、餐饮及零售信息管理系统相关投资业务。</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Shiji Retail Information Technology Co. Ltd.</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石基零售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日在英属开曼群岛 成立，由</w:t>
      </w:r>
      <w:r>
        <w:rPr>
          <w:rFonts w:ascii="Times New Roman" w:eastAsia="Times New Roman" w:hAnsi="Times New Roman" w:cs="Times New Roman"/>
          <w:color w:val="000000"/>
          <w:spacing w:val="0"/>
          <w:w w:val="100"/>
          <w:position w:val="0"/>
        </w:rPr>
        <w:t>eFuture Holding Inc.</w:t>
      </w:r>
      <w:r>
        <w:rPr>
          <w:color w:val="000000"/>
          <w:spacing w:val="0"/>
          <w:w w:val="100"/>
          <w:position w:val="0"/>
        </w:rPr>
        <w:t>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月更名而成，</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月通过被收购成为石基（香港）控股子公司，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月成为石基（香港）全资子公司，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月初石基（香港）完成将石基零售</w:t>
      </w:r>
      <w:r>
        <w:rPr>
          <w:rFonts w:ascii="Times New Roman" w:eastAsia="Times New Roman" w:hAnsi="Times New Roman" w:cs="Times New Roman"/>
          <w:color w:val="000000"/>
          <w:spacing w:val="0"/>
          <w:w w:val="100"/>
          <w:position w:val="0"/>
        </w:rPr>
        <w:t>38%</w:t>
      </w:r>
      <w:r>
        <w:rPr>
          <w:color w:val="000000"/>
          <w:spacing w:val="0"/>
          <w:w w:val="100"/>
          <w:position w:val="0"/>
        </w:rPr>
        <w:t xml:space="preserve">股权出售给阿里 </w:t>
      </w:r>
      <w:r>
        <w:rPr>
          <w:rFonts w:ascii="Times New Roman" w:eastAsia="Times New Roman" w:hAnsi="Times New Roman" w:cs="Times New Roman"/>
          <w:color w:val="000000"/>
          <w:spacing w:val="0"/>
          <w:w w:val="100"/>
          <w:position w:val="0"/>
        </w:rPr>
        <w:t>SJ</w:t>
      </w:r>
      <w:r>
        <w:rPr>
          <w:color w:val="000000"/>
          <w:spacing w:val="0"/>
          <w:w w:val="100"/>
          <w:position w:val="0"/>
        </w:rPr>
        <w:t>投资的全部交割手续，石基（香港）持有石基零售</w:t>
      </w:r>
      <w:r>
        <w:rPr>
          <w:rFonts w:ascii="Times New Roman" w:eastAsia="Times New Roman" w:hAnsi="Times New Roman" w:cs="Times New Roman"/>
          <w:color w:val="000000"/>
          <w:spacing w:val="0"/>
          <w:w w:val="100"/>
          <w:position w:val="0"/>
        </w:rPr>
        <w:t>62%</w:t>
      </w:r>
      <w:r>
        <w:rPr>
          <w:color w:val="000000"/>
          <w:spacing w:val="0"/>
          <w:w w:val="100"/>
          <w:position w:val="0"/>
        </w:rPr>
        <w:t>股权。通过公司内部重组，截至本报告期末，石 基零售主要通过旗下控股子公司长益科技、富基信息、上海时运、广州合光，以及参股子公司科传控股从 事规模化零售信息系统业务。</w:t>
      </w:r>
    </w:p>
    <w:p>
      <w:pPr>
        <w:pStyle w:val="Style35"/>
        <w:keepNext w:val="0"/>
        <w:keepLines w:val="0"/>
        <w:widowControl w:val="0"/>
        <w:shd w:val="clear" w:color="auto" w:fill="auto"/>
        <w:tabs>
          <w:tab w:pos="933" w:val="left"/>
        </w:tabs>
        <w:bidi w:val="0"/>
        <w:spacing w:before="0" w:after="0" w:line="316" w:lineRule="exact"/>
        <w:ind w:left="0" w:right="0" w:firstLine="440"/>
        <w:jc w:val="both"/>
      </w:pPr>
      <w:bookmarkStart w:id="341" w:name="bookmark341"/>
      <w:r>
        <w:rPr>
          <w:b/>
          <w:bCs/>
          <w:color w:val="000000"/>
          <w:spacing w:val="0"/>
          <w:w w:val="100"/>
          <w:position w:val="0"/>
        </w:rPr>
        <w:t>（</w:t>
      </w:r>
      <w:bookmarkEnd w:id="341"/>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上海正品贵德软件有限公司</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上海正品贵德软件有限公司为本公司控股子公司，成立于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日，注册资本</w:t>
      </w:r>
      <w:r>
        <w:rPr>
          <w:rFonts w:ascii="Times New Roman" w:eastAsia="Times New Roman" w:hAnsi="Times New Roman" w:cs="Times New Roman"/>
          <w:color w:val="000000"/>
          <w:spacing w:val="0"/>
          <w:w w:val="100"/>
          <w:position w:val="0"/>
        </w:rPr>
        <w:t>525</w:t>
      </w:r>
      <w:r>
        <w:rPr>
          <w:color w:val="000000"/>
          <w:spacing w:val="0"/>
          <w:w w:val="100"/>
          <w:position w:val="0"/>
        </w:rPr>
        <w:t>万元，本公 司持有正品贵德</w:t>
      </w:r>
      <w:r>
        <w:rPr>
          <w:rFonts w:ascii="Times New Roman" w:eastAsia="Times New Roman" w:hAnsi="Times New Roman" w:cs="Times New Roman"/>
          <w:color w:val="000000"/>
          <w:spacing w:val="0"/>
          <w:w w:val="100"/>
          <w:position w:val="0"/>
        </w:rPr>
        <w:t>68.57%</w:t>
      </w:r>
      <w:r>
        <w:rPr>
          <w:color w:val="000000"/>
          <w:spacing w:val="0"/>
          <w:w w:val="100"/>
          <w:position w:val="0"/>
        </w:rPr>
        <w:t>的股权。正品贵德主要从事餐饮信息系统的研发及销售，拥有连锁餐饮、大型中餐 餐饮、西餐咖啡厅、酒店、会所等众多业态信息化管理软件系列产品。</w:t>
      </w:r>
    </w:p>
    <w:p>
      <w:pPr>
        <w:pStyle w:val="Style35"/>
        <w:keepNext w:val="0"/>
        <w:keepLines w:val="0"/>
        <w:widowControl w:val="0"/>
        <w:shd w:val="clear" w:color="auto" w:fill="auto"/>
        <w:tabs>
          <w:tab w:pos="933" w:val="left"/>
        </w:tabs>
        <w:bidi w:val="0"/>
        <w:spacing w:before="0" w:after="0" w:line="316" w:lineRule="exact"/>
        <w:ind w:left="0" w:right="0" w:firstLine="440"/>
        <w:jc w:val="both"/>
      </w:pPr>
      <w:bookmarkStart w:id="342" w:name="bookmark342"/>
      <w:r>
        <w:rPr>
          <w:b/>
          <w:bCs/>
          <w:color w:val="000000"/>
          <w:spacing w:val="0"/>
          <w:w w:val="100"/>
          <w:position w:val="0"/>
        </w:rPr>
        <w:t>（</w:t>
      </w:r>
      <w:bookmarkEnd w:id="342"/>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中国电子器件工业有限公司</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中国电子器件工业有限公司为本公司的全资子公司，成立于</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日，注册资本</w:t>
      </w:r>
      <w:r>
        <w:rPr>
          <w:rFonts w:ascii="Times New Roman" w:eastAsia="Times New Roman" w:hAnsi="Times New Roman" w:cs="Times New Roman"/>
          <w:color w:val="000000"/>
          <w:spacing w:val="0"/>
          <w:w w:val="100"/>
          <w:position w:val="0"/>
        </w:rPr>
        <w:t>19,403.80</w:t>
      </w:r>
      <w:r>
        <w:rPr>
          <w:color w:val="000000"/>
          <w:spacing w:val="0"/>
          <w:w w:val="100"/>
          <w:position w:val="0"/>
        </w:rPr>
        <w:t>万元。 中电器件主要从事电子设备的销售等业务。自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5"/>
        <w:keepNext w:val="0"/>
        <w:keepLines w:val="0"/>
        <w:widowControl w:val="0"/>
        <w:shd w:val="clear" w:color="auto" w:fill="auto"/>
        <w:tabs>
          <w:tab w:pos="933" w:val="left"/>
        </w:tabs>
        <w:bidi w:val="0"/>
        <w:spacing w:before="0" w:after="0" w:line="316" w:lineRule="exact"/>
        <w:ind w:left="0" w:right="0" w:firstLine="440"/>
        <w:jc w:val="both"/>
      </w:pPr>
      <w:bookmarkStart w:id="343" w:name="bookmark343"/>
      <w:r>
        <w:rPr>
          <w:b/>
          <w:bCs/>
          <w:color w:val="000000"/>
          <w:spacing w:val="0"/>
          <w:w w:val="100"/>
          <w:position w:val="0"/>
        </w:rPr>
        <w:t>（</w:t>
      </w:r>
      <w:bookmarkEnd w:id="343"/>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深圳市思迅软件股份有限公司</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深圳市思迅软件股份有限公司为本公司控股子公司，成立于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日，注册资本</w:t>
      </w:r>
      <w:r>
        <w:rPr>
          <w:rFonts w:ascii="Times New Roman" w:eastAsia="Times New Roman" w:hAnsi="Times New Roman" w:cs="Times New Roman"/>
          <w:color w:val="000000"/>
          <w:spacing w:val="0"/>
          <w:w w:val="100"/>
          <w:position w:val="0"/>
        </w:rPr>
        <w:t>10,450</w:t>
      </w:r>
      <w:r>
        <w:rPr>
          <w:color w:val="000000"/>
          <w:spacing w:val="0"/>
          <w:w w:val="100"/>
          <w:position w:val="0"/>
        </w:rPr>
        <w:t xml:space="preserve">万元，深 </w:t>
      </w:r>
      <w:r>
        <w:rPr>
          <w:color w:val="000000"/>
          <w:spacing w:val="0"/>
          <w:w w:val="100"/>
          <w:position w:val="0"/>
        </w:rPr>
        <w:t>圳市思迅软件股份有限公司主要从事商业流通系统软件业务。自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 截止本报告披露日，公司及思迅软件原股东合计向上海云鑫投资有限公司出售持有的思迅软件</w:t>
      </w:r>
      <w:r>
        <w:rPr>
          <w:rFonts w:ascii="Times New Roman" w:eastAsia="Times New Roman" w:hAnsi="Times New Roman" w:cs="Times New Roman"/>
          <w:color w:val="000000"/>
          <w:spacing w:val="0"/>
          <w:w w:val="100"/>
          <w:position w:val="0"/>
        </w:rPr>
        <w:t>10%</w:t>
      </w:r>
      <w:r>
        <w:rPr>
          <w:color w:val="000000"/>
          <w:spacing w:val="0"/>
          <w:w w:val="100"/>
          <w:position w:val="0"/>
        </w:rPr>
        <w:t>的 股权，该交易办理完毕交割手续之后，公司将持有思迅软件</w:t>
      </w:r>
      <w:r>
        <w:rPr>
          <w:rFonts w:ascii="Times New Roman" w:eastAsia="Times New Roman" w:hAnsi="Times New Roman" w:cs="Times New Roman"/>
          <w:color w:val="000000"/>
          <w:spacing w:val="0"/>
          <w:w w:val="100"/>
          <w:position w:val="0"/>
        </w:rPr>
        <w:t>68.21%</w:t>
      </w:r>
      <w:r>
        <w:rPr>
          <w:color w:val="000000"/>
          <w:spacing w:val="0"/>
          <w:w w:val="100"/>
          <w:position w:val="0"/>
        </w:rPr>
        <w:t>的股权。</w:t>
      </w:r>
    </w:p>
    <w:p>
      <w:pPr>
        <w:pStyle w:val="Style35"/>
        <w:keepNext w:val="0"/>
        <w:keepLines w:val="0"/>
        <w:widowControl w:val="0"/>
        <w:shd w:val="clear" w:color="auto" w:fill="auto"/>
        <w:tabs>
          <w:tab w:pos="923" w:val="left"/>
        </w:tabs>
        <w:bidi w:val="0"/>
        <w:spacing w:before="0" w:after="0" w:line="317" w:lineRule="exact"/>
        <w:ind w:left="0" w:right="0" w:firstLine="360"/>
        <w:jc w:val="both"/>
      </w:pPr>
      <w:bookmarkStart w:id="344" w:name="bookmark344"/>
      <w:r>
        <w:rPr>
          <w:b/>
          <w:bCs/>
          <w:color w:val="000000"/>
          <w:spacing w:val="0"/>
          <w:w w:val="100"/>
          <w:position w:val="0"/>
        </w:rPr>
        <w:t>（</w:t>
      </w:r>
      <w:bookmarkEnd w:id="344"/>
      <w:r>
        <w:rPr>
          <w:rFonts w:ascii="Times New Roman" w:eastAsia="Times New Roman" w:hAnsi="Times New Roman" w:cs="Times New Roman"/>
          <w:b/>
          <w:bCs/>
          <w:color w:val="000000"/>
          <w:spacing w:val="0"/>
          <w:w w:val="100"/>
          <w:position w:val="0"/>
        </w:rPr>
        <w:t>10</w:t>
      </w:r>
      <w:r>
        <w:rPr>
          <w:b/>
          <w:bCs/>
          <w:color w:val="000000"/>
          <w:spacing w:val="0"/>
          <w:w w:val="100"/>
          <w:position w:val="0"/>
        </w:rPr>
        <w:t>）</w:t>
        <w:tab/>
        <w:t>百望金税科技有限公司</w:t>
      </w:r>
    </w:p>
    <w:p>
      <w:pPr>
        <w:pStyle w:val="Style3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百望金税科技有限公司为本公司控股子公司</w:t>
      </w:r>
      <w:r>
        <w:rPr>
          <w:color w:val="000000"/>
          <w:spacing w:val="0"/>
          <w:w w:val="100"/>
          <w:position w:val="0"/>
        </w:rPr>
        <w:t>，</w:t>
      </w:r>
      <w:r>
        <w:rPr>
          <w:color w:val="000000"/>
          <w:spacing w:val="0"/>
          <w:w w:val="100"/>
          <w:position w:val="0"/>
        </w:rPr>
        <w:t>本公司持有</w:t>
      </w:r>
      <w:r>
        <w:rPr>
          <w:rFonts w:ascii="Times New Roman" w:eastAsia="Times New Roman" w:hAnsi="Times New Roman" w:cs="Times New Roman"/>
          <w:color w:val="000000"/>
          <w:spacing w:val="0"/>
          <w:w w:val="100"/>
          <w:position w:val="0"/>
        </w:rPr>
        <w:t>60%</w:t>
      </w:r>
      <w:r>
        <w:rPr>
          <w:color w:val="000000"/>
          <w:spacing w:val="0"/>
          <w:w w:val="100"/>
          <w:position w:val="0"/>
        </w:rPr>
        <w:t>的股权。主要从事税控系统软件业务。</w:t>
      </w:r>
    </w:p>
    <w:p>
      <w:pPr>
        <w:pStyle w:val="Style35"/>
        <w:keepNext w:val="0"/>
        <w:keepLines w:val="0"/>
        <w:widowControl w:val="0"/>
        <w:shd w:val="clear" w:color="auto" w:fill="auto"/>
        <w:tabs>
          <w:tab w:pos="923" w:val="left"/>
        </w:tabs>
        <w:bidi w:val="0"/>
        <w:spacing w:before="0" w:after="0" w:line="317" w:lineRule="exact"/>
        <w:ind w:left="0" w:right="0" w:firstLine="360"/>
        <w:jc w:val="both"/>
      </w:pPr>
      <w:bookmarkStart w:id="345" w:name="bookmark345"/>
      <w:r>
        <w:rPr>
          <w:b/>
          <w:bCs/>
          <w:color w:val="000000"/>
          <w:spacing w:val="0"/>
          <w:w w:val="100"/>
          <w:position w:val="0"/>
        </w:rPr>
        <w:t>（</w:t>
      </w:r>
      <w:bookmarkEnd w:id="345"/>
      <w:r>
        <w:rPr>
          <w:rFonts w:ascii="Times New Roman" w:eastAsia="Times New Roman" w:hAnsi="Times New Roman" w:cs="Times New Roman"/>
          <w:b/>
          <w:bCs/>
          <w:color w:val="000000"/>
          <w:spacing w:val="0"/>
          <w:w w:val="100"/>
          <w:position w:val="0"/>
        </w:rPr>
        <w:t>11</w:t>
      </w:r>
      <w:r>
        <w:rPr>
          <w:b/>
          <w:bCs/>
          <w:color w:val="000000"/>
          <w:spacing w:val="0"/>
          <w:w w:val="100"/>
          <w:position w:val="0"/>
        </w:rPr>
        <w:t>）</w:t>
        <w:tab/>
        <w:t>石基商用信息技术有限公司</w:t>
      </w:r>
    </w:p>
    <w:p>
      <w:pPr>
        <w:pStyle w:val="Style3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石基商用信息技术有限公司为本公司全资子公司</w:t>
      </w:r>
      <w:r>
        <w:rPr>
          <w:color w:val="000000"/>
          <w:spacing w:val="0"/>
          <w:w w:val="100"/>
          <w:position w:val="0"/>
        </w:rPr>
        <w:t>，</w:t>
      </w:r>
      <w:r>
        <w:rPr>
          <w:color w:val="000000"/>
          <w:spacing w:val="0"/>
          <w:w w:val="100"/>
          <w:position w:val="0"/>
        </w:rPr>
        <w:t>本公司持有</w:t>
      </w:r>
      <w:r>
        <w:rPr>
          <w:rFonts w:ascii="Times New Roman" w:eastAsia="Times New Roman" w:hAnsi="Times New Roman" w:cs="Times New Roman"/>
          <w:color w:val="000000"/>
          <w:spacing w:val="0"/>
          <w:w w:val="100"/>
          <w:position w:val="0"/>
        </w:rPr>
        <w:t>100%</w:t>
      </w:r>
      <w:r>
        <w:rPr>
          <w:color w:val="000000"/>
          <w:spacing w:val="0"/>
          <w:w w:val="100"/>
          <w:position w:val="0"/>
        </w:rPr>
        <w:t>的股权。主要从事商业流通系统软件 业务。</w:t>
      </w:r>
    </w:p>
    <w:p>
      <w:pPr>
        <w:pStyle w:val="Style35"/>
        <w:keepNext w:val="0"/>
        <w:keepLines w:val="0"/>
        <w:widowControl w:val="0"/>
        <w:shd w:val="clear" w:color="auto" w:fill="auto"/>
        <w:bidi w:val="0"/>
        <w:spacing w:before="0" w:after="0" w:line="317" w:lineRule="exact"/>
        <w:ind w:left="0" w:right="0" w:firstLine="36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 xml:space="preserve">12 </w:t>
      </w:r>
      <w:r>
        <w:rPr>
          <w:b/>
          <w:bCs/>
          <w:color w:val="000000"/>
          <w:spacing w:val="0"/>
          <w:w w:val="100"/>
          <w:position w:val="0"/>
        </w:rPr>
        <w:t>）北京航信华仪软件技术有限公司</w:t>
      </w:r>
    </w:p>
    <w:p>
      <w:pPr>
        <w:pStyle w:val="Style3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北京航信华仪软件技术有限公司为本公司全资子公司</w:t>
      </w:r>
      <w:r>
        <w:rPr>
          <w:color w:val="000000"/>
          <w:spacing w:val="0"/>
          <w:w w:val="100"/>
          <w:position w:val="0"/>
        </w:rPr>
        <w:t>，</w:t>
      </w:r>
      <w:r>
        <w:rPr>
          <w:color w:val="000000"/>
          <w:spacing w:val="0"/>
          <w:w w:val="100"/>
          <w:position w:val="0"/>
        </w:rPr>
        <w:t>主要从事酒店系统软件业务。自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纳入合并报表范围。</w:t>
      </w:r>
    </w:p>
    <w:p>
      <w:pPr>
        <w:pStyle w:val="Style35"/>
        <w:keepNext w:val="0"/>
        <w:keepLines w:val="0"/>
        <w:widowControl w:val="0"/>
        <w:shd w:val="clear" w:color="auto" w:fill="auto"/>
        <w:bidi w:val="0"/>
        <w:spacing w:before="0" w:after="0" w:line="317" w:lineRule="exact"/>
        <w:ind w:left="0" w:right="0" w:firstLine="36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13</w:t>
      </w:r>
      <w:r>
        <w:rPr>
          <w:b/>
          <w:bCs/>
          <w:color w:val="000000"/>
          <w:spacing w:val="0"/>
          <w:w w:val="100"/>
          <w:position w:val="0"/>
        </w:rPr>
        <w:t>）敏付科技有限公司</w:t>
      </w:r>
    </w:p>
    <w:p>
      <w:pPr>
        <w:pStyle w:val="Style35"/>
        <w:keepNext w:val="0"/>
        <w:keepLines w:val="0"/>
        <w:widowControl w:val="0"/>
        <w:shd w:val="clear" w:color="auto" w:fill="auto"/>
        <w:bidi w:val="0"/>
        <w:spacing w:before="0" w:after="640" w:line="317" w:lineRule="exact"/>
        <w:ind w:left="0" w:right="0" w:firstLine="360"/>
        <w:jc w:val="both"/>
        <w:rPr>
          <w:sz w:val="22"/>
          <w:szCs w:val="22"/>
        </w:rPr>
      </w:pPr>
      <w:r>
        <w:rPr>
          <w:color w:val="000000"/>
          <w:spacing w:val="0"/>
          <w:w w:val="100"/>
          <w:position w:val="0"/>
          <w:sz w:val="22"/>
          <w:szCs w:val="22"/>
        </w:rPr>
        <w:t>北海石基公司派生分立增加的敏付科技有限公司，注册资本为</w:t>
      </w:r>
      <w:r>
        <w:rPr>
          <w:rFonts w:ascii="Times New Roman" w:eastAsia="Times New Roman" w:hAnsi="Times New Roman" w:cs="Times New Roman"/>
          <w:color w:val="000000"/>
          <w:spacing w:val="0"/>
          <w:w w:val="100"/>
          <w:position w:val="0"/>
          <w:sz w:val="22"/>
          <w:szCs w:val="22"/>
        </w:rPr>
        <w:t>11000</w:t>
      </w:r>
      <w:r>
        <w:rPr>
          <w:color w:val="000000"/>
          <w:spacing w:val="0"/>
          <w:w w:val="100"/>
          <w:position w:val="0"/>
          <w:sz w:val="22"/>
          <w:szCs w:val="22"/>
        </w:rPr>
        <w:t>万元。主要从事支付系统业务。</w:t>
      </w:r>
    </w:p>
    <w:p>
      <w:pPr>
        <w:pStyle w:val="Style24"/>
        <w:keepNext/>
        <w:keepLines/>
        <w:widowControl w:val="0"/>
        <w:shd w:val="clear" w:color="auto" w:fill="auto"/>
        <w:tabs>
          <w:tab w:pos="487" w:val="left"/>
        </w:tabs>
        <w:bidi w:val="0"/>
        <w:spacing w:before="0" w:after="38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八</w:t>
      </w:r>
      <w:bookmarkEnd w:id="348"/>
      <w:r>
        <w:rPr>
          <w:color w:val="000000"/>
          <w:spacing w:val="0"/>
          <w:w w:val="100"/>
          <w:position w:val="0"/>
        </w:rPr>
        <w:t>、</w:t>
        <w:tab/>
        <w:t>公司控制的结构化主体情况</w:t>
      </w:r>
      <w:bookmarkEnd w:id="346"/>
      <w:bookmarkEnd w:id="347"/>
      <w:bookmarkEnd w:id="34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87"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九</w:t>
      </w:r>
      <w:bookmarkEnd w:id="352"/>
      <w:r>
        <w:rPr>
          <w:color w:val="000000"/>
          <w:spacing w:val="0"/>
          <w:w w:val="100"/>
          <w:position w:val="0"/>
        </w:rPr>
        <w:t>、</w:t>
        <w:tab/>
        <w:t>公司未来发展的展望</w:t>
      </w:r>
      <w:bookmarkEnd w:id="350"/>
      <w:bookmarkEnd w:id="351"/>
      <w:bookmarkEnd w:id="353"/>
    </w:p>
    <w:p>
      <w:pPr>
        <w:pStyle w:val="Style32"/>
        <w:keepNext/>
        <w:keepLines/>
        <w:widowControl w:val="0"/>
        <w:shd w:val="clear" w:color="auto" w:fill="auto"/>
        <w:tabs>
          <w:tab w:pos="842" w:val="left"/>
        </w:tabs>
        <w:bidi w:val="0"/>
        <w:spacing w:before="0" w:after="0" w:line="326" w:lineRule="auto"/>
        <w:ind w:left="0" w:right="0" w:firstLine="44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w:t>
        <w:tab/>
        <w:t>公司发展战略</w:t>
      </w:r>
      <w:bookmarkEnd w:id="354"/>
      <w:bookmarkEnd w:id="355"/>
      <w:bookmarkEnd w:id="357"/>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公司从创立伊始就专注于为商业客户提供营业管理系统而不涉足工业企业，政府等非商业客户的</w:t>
      </w:r>
      <w:r>
        <w:rPr>
          <w:rFonts w:ascii="Times New Roman" w:eastAsia="Times New Roman" w:hAnsi="Times New Roman" w:cs="Times New Roman"/>
          <w:color w:val="000000"/>
          <w:spacing w:val="0"/>
          <w:w w:val="100"/>
          <w:position w:val="0"/>
        </w:rPr>
        <w:t xml:space="preserve">ERP </w:t>
      </w:r>
      <w:r>
        <w:rPr>
          <w:color w:val="000000"/>
          <w:spacing w:val="0"/>
          <w:w w:val="100"/>
          <w:position w:val="0"/>
        </w:rPr>
        <w:t>或</w:t>
      </w:r>
      <w:r>
        <w:rPr>
          <w:rFonts w:ascii="Times New Roman" w:eastAsia="Times New Roman" w:hAnsi="Times New Roman" w:cs="Times New Roman"/>
          <w:color w:val="000000"/>
          <w:spacing w:val="0"/>
          <w:w w:val="100"/>
          <w:position w:val="0"/>
        </w:rPr>
        <w:t>OA</w:t>
      </w:r>
      <w:r>
        <w:rPr>
          <w:color w:val="000000"/>
          <w:spacing w:val="0"/>
          <w:w w:val="100"/>
          <w:position w:val="0"/>
        </w:rPr>
        <w:t>系统。通过自主开发为主、收购兼并为辅，目前公司拥有覆盖整个消费行业的从高端到低端，从国 际到本地，从连锁到单体的全套信息系统解决方案。特别是在高星级酒店业，公司具有一定的领先优势。 由于公司软件在酒店行业和零售行业的较高占有率，使得公司有机会将信息系统向上下游延伸，建立预订、 支付的直连技术通道，使渠道、银行或第三方支付公司可以直连信息系统，实现快速、准确、高效的自动 交易。目前工中建交等主要收单银行进入高星级酒店业基本上全部使用了公司的直连清算通道。目前已经 有超过</w:t>
      </w:r>
      <w:r>
        <w:rPr>
          <w:rFonts w:ascii="Times New Roman" w:eastAsia="Times New Roman" w:hAnsi="Times New Roman" w:cs="Times New Roman"/>
          <w:color w:val="000000"/>
          <w:spacing w:val="0"/>
          <w:w w:val="100"/>
          <w:position w:val="0"/>
        </w:rPr>
        <w:t>200</w:t>
      </w:r>
      <w:r>
        <w:rPr>
          <w:color w:val="000000"/>
          <w:spacing w:val="0"/>
          <w:w w:val="100"/>
          <w:position w:val="0"/>
        </w:rPr>
        <w:t>家国内外主流预订渠道通过石基直连预订平台连接</w:t>
      </w:r>
      <w:r>
        <w:rPr>
          <w:rFonts w:ascii="Times New Roman" w:eastAsia="Times New Roman" w:hAnsi="Times New Roman" w:cs="Times New Roman"/>
          <w:color w:val="000000"/>
          <w:spacing w:val="0"/>
          <w:w w:val="100"/>
          <w:position w:val="0"/>
        </w:rPr>
        <w:t>2.5</w:t>
      </w:r>
      <w:r>
        <w:rPr>
          <w:color w:val="000000"/>
          <w:spacing w:val="0"/>
          <w:w w:val="100"/>
          <w:position w:val="0"/>
        </w:rPr>
        <w:t>万家酒店。公司目前正在餐饮业和零售业 复制酒店业的直连模式，移动互联网的发展将推动公司直连模式向低端市场扩展。经过多年的准备与预先 研究，公司已经快速进入零售业信息系统领域，取得行业市场领先地位。公司目前全部客户的年度营业额 约为</w:t>
      </w:r>
      <w:r>
        <w:rPr>
          <w:rFonts w:ascii="Times New Roman" w:eastAsia="Times New Roman" w:hAnsi="Times New Roman" w:cs="Times New Roman"/>
          <w:color w:val="000000"/>
          <w:spacing w:val="0"/>
          <w:w w:val="100"/>
          <w:position w:val="0"/>
        </w:rPr>
        <w:t>5</w:t>
      </w:r>
      <w:r>
        <w:rPr>
          <w:color w:val="000000"/>
          <w:spacing w:val="0"/>
          <w:w w:val="100"/>
          <w:position w:val="0"/>
        </w:rPr>
        <w:t>万亿人民币，公司将通过建立大型数据平台与云服务平台将酒店餐饮零售三大行业以数据为基础进 行连接，构建大消费信息服务平台，为经营者和消费者提供数据、软件和信息服务。</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为此，公司的发展战略多年以来保持不变，即：围绕酒店信息系统核心业务，加大新一代云架构的企 业级酒店信息系统的研发投入，以确保公司在以云计算为代表的新一代信息系统变迁中继续领导中国酒店 信息系统的发展，通过领先的技术和产品超越全球竞争对手成为全球酒店信息系统领导者，以酒店信息管 理系统领域强有力的市场地位为基础，积极发展与酒店信息管理系统紧密相关的或有共同管理模式和经营 特点的其他业务，逐步构建旅游消费信息化服务平台。</w:t>
      </w:r>
    </w:p>
    <w:p>
      <w:pPr>
        <w:pStyle w:val="Style32"/>
        <w:keepNext/>
        <w:keepLines/>
        <w:widowControl w:val="0"/>
        <w:shd w:val="clear" w:color="auto" w:fill="auto"/>
        <w:tabs>
          <w:tab w:pos="842" w:val="left"/>
        </w:tabs>
        <w:bidi w:val="0"/>
        <w:spacing w:before="0" w:after="0" w:line="314" w:lineRule="exact"/>
        <w:ind w:left="0" w:right="0" w:firstLine="44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公司前期披露的经营计划在报告期内的进展情况</w:t>
      </w:r>
      <w:bookmarkEnd w:id="358"/>
      <w:bookmarkEnd w:id="359"/>
      <w:bookmarkEnd w:id="361"/>
    </w:p>
    <w:p>
      <w:pPr>
        <w:pStyle w:val="Style35"/>
        <w:keepNext w:val="0"/>
        <w:keepLines w:val="0"/>
        <w:widowControl w:val="0"/>
        <w:shd w:val="clear" w:color="auto" w:fill="auto"/>
        <w:bidi w:val="0"/>
        <w:spacing w:before="0" w:after="120" w:line="316"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年的经营计划为：</w:t>
      </w:r>
      <w:r>
        <w:rPr>
          <w:rFonts w:ascii="Times New Roman" w:eastAsia="Times New Roman" w:hAnsi="Times New Roman" w:cs="Times New Roman"/>
          <w:color w:val="000000"/>
          <w:spacing w:val="0"/>
          <w:w w:val="100"/>
          <w:position w:val="0"/>
        </w:rPr>
        <w:t>2020</w:t>
      </w:r>
      <w:r>
        <w:rPr>
          <w:color w:val="000000"/>
          <w:spacing w:val="0"/>
          <w:w w:val="100"/>
          <w:position w:val="0"/>
        </w:rPr>
        <w:t>年的疫情对于酒店、餐饮、零售、旅游休闲等行业产生了很大的不利 影响，目前疫情已经迅速席卷全球，但</w:t>
      </w:r>
      <w:r>
        <w:rPr>
          <w:rFonts w:ascii="Times New Roman" w:eastAsia="Times New Roman" w:hAnsi="Times New Roman" w:cs="Times New Roman"/>
          <w:color w:val="000000"/>
          <w:spacing w:val="0"/>
          <w:w w:val="100"/>
          <w:position w:val="0"/>
        </w:rPr>
        <w:t>2020</w:t>
      </w:r>
      <w:r>
        <w:rPr>
          <w:color w:val="000000"/>
          <w:spacing w:val="0"/>
          <w:w w:val="100"/>
          <w:position w:val="0"/>
        </w:rPr>
        <w:t>年仍是公司国际化核心产品落地的关键之年，公司将通过减少 市场和运营费用，专注客户，加大核心产品的研发投入等措施应对疫情影响。随着疫情在国内得到遏制， 全力推进新一代云架构的企业级酒店信息系统拟将在中国区示范酒店落地，同时继续推动新一代云</w:t>
      </w:r>
      <w:r>
        <w:rPr>
          <w:rFonts w:ascii="Times New Roman" w:eastAsia="Times New Roman" w:hAnsi="Times New Roman" w:cs="Times New Roman"/>
          <w:color w:val="000000"/>
          <w:spacing w:val="0"/>
          <w:w w:val="100"/>
          <w:position w:val="0"/>
        </w:rPr>
        <w:t>POS</w:t>
      </w:r>
      <w:r>
        <w:rPr>
          <w:color w:val="000000"/>
          <w:spacing w:val="0"/>
          <w:w w:val="100"/>
          <w:position w:val="0"/>
        </w:rPr>
        <w:t xml:space="preserve">系 统的集团认证和中国的拓展上线，逐步推动公司国际化业务收入的高速增长；公司在全球研发的领先技术 </w:t>
      </w:r>
      <w:r>
        <w:rPr>
          <w:color w:val="000000"/>
          <w:spacing w:val="0"/>
          <w:w w:val="100"/>
          <w:position w:val="0"/>
        </w:rPr>
        <w:t>和产品将通过国际酒店集团在中国管理的酒店的成功使用，带动中国本土酒店的技术升级，进一步巩固公 司在高端酒店信息系统业务领域的优势地位；当疫情结束时一个新的具有领先产品落地能力的石基可以帮 助客户迅速恢复或建立行业领先优势；继续深化对旗下零售业各个子公司的整合，不断加深与阿里巴巴在 新零售领域的战略合作，保持公司未来在新一代零售信息系统业务中的领导地位；畅联业务将在继续推进 酒店集团和渠道合作的同时，继续加深与飞猪在酒店预订领域的直连合作，促进预订量的良性增长；加强 与支付宝和微信的渠道合作，利用公司积累多年的丰富客户资源扩大南京银石在支付系统行业的影响力， 促进公司从软件供应商向平台服务商的转型。</w:t>
      </w:r>
    </w:p>
    <w:p>
      <w:pPr>
        <w:pStyle w:val="Style3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年，公司严格执行董事会制定的发展战略和</w:t>
      </w:r>
      <w:r>
        <w:rPr>
          <w:rFonts w:ascii="Times New Roman" w:eastAsia="Times New Roman" w:hAnsi="Times New Roman" w:cs="Times New Roman"/>
          <w:color w:val="000000"/>
          <w:spacing w:val="0"/>
          <w:w w:val="100"/>
          <w:position w:val="0"/>
        </w:rPr>
        <w:t>2020</w:t>
      </w:r>
      <w:r>
        <w:rPr>
          <w:color w:val="000000"/>
          <w:spacing w:val="0"/>
          <w:w w:val="100"/>
          <w:position w:val="0"/>
        </w:rPr>
        <w:t>年度经营计划，总体经营情况如下：</w:t>
      </w:r>
    </w:p>
    <w:p>
      <w:pPr>
        <w:pStyle w:val="Style35"/>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报告期内，尽管公司受到疫情、</w:t>
      </w:r>
      <w:r>
        <w:rPr>
          <w:rFonts w:ascii="Times New Roman" w:eastAsia="Times New Roman" w:hAnsi="Times New Roman" w:cs="Times New Roman"/>
          <w:color w:val="000000"/>
          <w:spacing w:val="0"/>
          <w:w w:val="100"/>
          <w:position w:val="0"/>
        </w:rPr>
        <w:t>ORACLE</w:t>
      </w:r>
      <w:r>
        <w:rPr>
          <w:color w:val="000000"/>
          <w:spacing w:val="0"/>
          <w:w w:val="100"/>
          <w:position w:val="0"/>
        </w:rPr>
        <w:t>代理合同终止以及被迫强制出售</w:t>
      </w:r>
      <w:r>
        <w:rPr>
          <w:rFonts w:ascii="Times New Roman" w:eastAsia="Times New Roman" w:hAnsi="Times New Roman" w:cs="Times New Roman"/>
          <w:color w:val="000000"/>
          <w:spacing w:val="0"/>
          <w:w w:val="100"/>
          <w:position w:val="0"/>
        </w:rPr>
        <w:t>StayNTouch</w:t>
      </w:r>
      <w:r>
        <w:rPr>
          <w:color w:val="000000"/>
          <w:spacing w:val="0"/>
          <w:w w:val="100"/>
          <w:position w:val="0"/>
        </w:rPr>
        <w:t>等诸多不利因素 的影响，但公司坚守国际化与平台化发展战略，在国际化业务方面取得一系列重要进展：公司云平台</w:t>
      </w:r>
      <w:r>
        <w:rPr>
          <w:rFonts w:ascii="Times New Roman" w:eastAsia="Times New Roman" w:hAnsi="Times New Roman" w:cs="Times New Roman"/>
          <w:color w:val="000000"/>
          <w:spacing w:val="0"/>
          <w:w w:val="100"/>
          <w:position w:val="0"/>
        </w:rPr>
        <w:t xml:space="preserve">POS </w:t>
      </w:r>
      <w:r>
        <w:rPr>
          <w:color w:val="000000"/>
          <w:spacing w:val="0"/>
          <w:w w:val="100"/>
          <w:position w:val="0"/>
        </w:rPr>
        <w:t>系统</w:t>
      </w:r>
      <w:r>
        <w:rPr>
          <w:rFonts w:ascii="Times New Roman" w:eastAsia="Times New Roman" w:hAnsi="Times New Roman" w:cs="Times New Roman"/>
          <w:color w:val="000000"/>
          <w:spacing w:val="0"/>
          <w:w w:val="100"/>
          <w:position w:val="0"/>
        </w:rPr>
        <w:t>“Infrasys Cloud”</w:t>
      </w:r>
      <w:r>
        <w:rPr>
          <w:color w:val="000000"/>
          <w:spacing w:val="0"/>
          <w:w w:val="100"/>
          <w:position w:val="0"/>
        </w:rPr>
        <w:t>继续获得更多国际知名酒店集团全球认证，全球最具影响力的</w:t>
      </w:r>
      <w:r>
        <w:rPr>
          <w:rFonts w:ascii="Times New Roman" w:eastAsia="Times New Roman" w:hAnsi="Times New Roman" w:cs="Times New Roman"/>
          <w:color w:val="000000"/>
          <w:spacing w:val="0"/>
          <w:w w:val="100"/>
          <w:position w:val="0"/>
        </w:rPr>
        <w:t>Top5</w:t>
      </w:r>
      <w:r>
        <w:rPr>
          <w:color w:val="000000"/>
          <w:spacing w:val="0"/>
          <w:w w:val="100"/>
          <w:position w:val="0"/>
        </w:rPr>
        <w:t>酒店集团中有</w:t>
      </w:r>
      <w:r>
        <w:rPr>
          <w:rFonts w:ascii="Times New Roman" w:eastAsia="Times New Roman" w:hAnsi="Times New Roman" w:cs="Times New Roman"/>
          <w:color w:val="000000"/>
          <w:spacing w:val="0"/>
          <w:w w:val="100"/>
          <w:position w:val="0"/>
        </w:rPr>
        <w:t>3</w:t>
      </w:r>
      <w:r>
        <w:rPr>
          <w:color w:val="000000"/>
          <w:spacing w:val="0"/>
          <w:w w:val="100"/>
          <w:position w:val="0"/>
        </w:rPr>
        <w:t>家 已经选择了石基餐饮云为其全球标准，公司成为全球主要酒店餐饮信息系统提供商之一，报告期末全球已 上线酒店及餐厅合计</w:t>
      </w:r>
      <w:r>
        <w:rPr>
          <w:rFonts w:ascii="Times New Roman" w:eastAsia="Times New Roman" w:hAnsi="Times New Roman" w:cs="Times New Roman"/>
          <w:color w:val="000000"/>
          <w:spacing w:val="0"/>
          <w:w w:val="100"/>
          <w:position w:val="0"/>
        </w:rPr>
        <w:t>1,865</w:t>
      </w:r>
      <w:r>
        <w:rPr>
          <w:color w:val="000000"/>
          <w:spacing w:val="0"/>
          <w:w w:val="100"/>
          <w:position w:val="0"/>
        </w:rPr>
        <w:t>家；公司新一代云架构的企业级酒店信息系统产品已上线</w:t>
      </w:r>
      <w:r>
        <w:rPr>
          <w:rFonts w:ascii="Times New Roman" w:eastAsia="Times New Roman" w:hAnsi="Times New Roman" w:cs="Times New Roman"/>
          <w:color w:val="000000"/>
          <w:spacing w:val="0"/>
          <w:w w:val="100"/>
          <w:position w:val="0"/>
        </w:rPr>
        <w:t>10</w:t>
      </w:r>
      <w:r>
        <w:rPr>
          <w:color w:val="000000"/>
          <w:spacing w:val="0"/>
          <w:w w:val="100"/>
          <w:position w:val="0"/>
        </w:rPr>
        <w:t>个欧洲酒店，并获得 首个标杆型国际知名酒店集团半岛酒店的认可；石基零售继续整合旗下各子公司规模化零售信息系统业 务，并持续与阿里巴巴在新零售领域开展业务合作；虽然</w:t>
      </w:r>
      <w:r>
        <w:rPr>
          <w:rFonts w:ascii="Times New Roman" w:eastAsia="Times New Roman" w:hAnsi="Times New Roman" w:cs="Times New Roman"/>
          <w:color w:val="000000"/>
          <w:spacing w:val="0"/>
          <w:w w:val="100"/>
          <w:position w:val="0"/>
        </w:rPr>
        <w:t>2020</w:t>
      </w:r>
      <w:r>
        <w:rPr>
          <w:color w:val="000000"/>
          <w:spacing w:val="0"/>
          <w:w w:val="100"/>
          <w:position w:val="0"/>
        </w:rPr>
        <w:t>年畅联的业务受到疫情影响，但畅联继续加 强与国内外酒店集团及渠道的合作，随着中国国内疫情得到控制，畅联下半年产量已经恢复到</w:t>
      </w:r>
      <w:r>
        <w:rPr>
          <w:rFonts w:ascii="Times New Roman" w:eastAsia="Times New Roman" w:hAnsi="Times New Roman" w:cs="Times New Roman"/>
          <w:color w:val="000000"/>
          <w:spacing w:val="0"/>
          <w:w w:val="100"/>
          <w:position w:val="0"/>
        </w:rPr>
        <w:t>2019</w:t>
      </w:r>
      <w:r>
        <w:rPr>
          <w:color w:val="000000"/>
          <w:spacing w:val="0"/>
          <w:w w:val="100"/>
          <w:position w:val="0"/>
        </w:rPr>
        <w:t>年同 期的</w:t>
      </w:r>
      <w:r>
        <w:rPr>
          <w:rFonts w:ascii="Times New Roman" w:eastAsia="Times New Roman" w:hAnsi="Times New Roman" w:cs="Times New Roman"/>
          <w:color w:val="000000"/>
          <w:spacing w:val="0"/>
          <w:w w:val="100"/>
          <w:position w:val="0"/>
        </w:rPr>
        <w:t>95.24%</w:t>
      </w:r>
      <w:r>
        <w:rPr>
          <w:color w:val="000000"/>
          <w:spacing w:val="0"/>
          <w:w w:val="100"/>
          <w:position w:val="0"/>
        </w:rPr>
        <w:t>；尽管受疫情影响但公司客户与支付宝和微信直连的支付业务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 xml:space="preserve">月交易总金额超过 </w:t>
      </w:r>
      <w:r>
        <w:rPr>
          <w:rFonts w:ascii="Times New Roman" w:eastAsia="Times New Roman" w:hAnsi="Times New Roman" w:cs="Times New Roman"/>
          <w:color w:val="000000"/>
          <w:spacing w:val="0"/>
          <w:w w:val="100"/>
          <w:position w:val="0"/>
        </w:rPr>
        <w:t>2100</w:t>
      </w:r>
      <w:r>
        <w:rPr>
          <w:color w:val="000000"/>
          <w:spacing w:val="0"/>
          <w:w w:val="100"/>
          <w:position w:val="0"/>
        </w:rPr>
        <w:t>亿元人民币，与去年同期流量相比仍然增长约</w:t>
      </w:r>
      <w:r>
        <w:rPr>
          <w:rFonts w:ascii="Times New Roman" w:eastAsia="Times New Roman" w:hAnsi="Times New Roman" w:cs="Times New Roman"/>
          <w:color w:val="000000"/>
          <w:spacing w:val="0"/>
          <w:w w:val="100"/>
          <w:position w:val="0"/>
        </w:rPr>
        <w:t>30%</w:t>
      </w:r>
      <w:r>
        <w:rPr>
          <w:color w:val="000000"/>
          <w:spacing w:val="0"/>
          <w:w w:val="100"/>
          <w:position w:val="0"/>
        </w:rPr>
        <w:t>，实现良性增长。</w:t>
      </w:r>
    </w:p>
    <w:p>
      <w:pPr>
        <w:pStyle w:val="Style32"/>
        <w:keepNext/>
        <w:keepLines/>
        <w:widowControl w:val="0"/>
        <w:shd w:val="clear" w:color="auto" w:fill="auto"/>
        <w:bidi w:val="0"/>
        <w:spacing w:before="0" w:after="0" w:line="326" w:lineRule="auto"/>
        <w:ind w:left="0" w:right="0" w:firstLine="44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、公司新年度经营计划</w:t>
      </w:r>
      <w:bookmarkEnd w:id="362"/>
      <w:bookmarkEnd w:id="363"/>
      <w:bookmarkEnd w:id="365"/>
    </w:p>
    <w:p>
      <w:pPr>
        <w:pStyle w:val="Style35"/>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年由于疫情在全球很多国家依然持续且没有得到有效控制，因此仍然对除国内地区以外的全球其 他地区的酒店、餐饮、零售、旅游休闲等行业产生严重不利影响。</w:t>
      </w:r>
      <w:r>
        <w:rPr>
          <w:rFonts w:ascii="Times New Roman" w:eastAsia="Times New Roman" w:hAnsi="Times New Roman" w:cs="Times New Roman"/>
          <w:color w:val="000000"/>
          <w:spacing w:val="0"/>
          <w:w w:val="100"/>
          <w:position w:val="0"/>
        </w:rPr>
        <w:t>2021</w:t>
      </w:r>
      <w:r>
        <w:rPr>
          <w:color w:val="000000"/>
          <w:spacing w:val="0"/>
          <w:w w:val="100"/>
          <w:position w:val="0"/>
        </w:rPr>
        <w:t>年公司依然坚持国际化与平台化战 略不变，随着疫情在国内得到遏制，公司将继续夯实国内已有业务；随着公司新一代云架构的企业级酒店 信息系统在中国区示范酒店落地，</w:t>
      </w:r>
      <w:r>
        <w:rPr>
          <w:rFonts w:ascii="Times New Roman" w:eastAsia="Times New Roman" w:hAnsi="Times New Roman" w:cs="Times New Roman"/>
          <w:color w:val="000000"/>
          <w:spacing w:val="0"/>
          <w:w w:val="100"/>
          <w:position w:val="0"/>
        </w:rPr>
        <w:t>2021</w:t>
      </w:r>
      <w:r>
        <w:rPr>
          <w:color w:val="000000"/>
          <w:spacing w:val="0"/>
          <w:w w:val="100"/>
          <w:position w:val="0"/>
        </w:rPr>
        <w:t>年公司将继续推进该系统与国际有影响力的其他知名酒店集团签 约；继续推动新一代云</w:t>
      </w:r>
      <w:r>
        <w:rPr>
          <w:rFonts w:ascii="Times New Roman" w:eastAsia="Times New Roman" w:hAnsi="Times New Roman" w:cs="Times New Roman"/>
          <w:color w:val="000000"/>
          <w:spacing w:val="0"/>
          <w:w w:val="100"/>
          <w:position w:val="0"/>
        </w:rPr>
        <w:t>POS</w:t>
      </w:r>
      <w:r>
        <w:rPr>
          <w:color w:val="000000"/>
          <w:spacing w:val="0"/>
          <w:w w:val="100"/>
          <w:position w:val="0"/>
        </w:rPr>
        <w:t>系统被更多的酒店集团认可并成功上线，逐步推动公司国际化业务收入的高速 增长。针对海外疫情依然严重的现状，公司也将继续采取加大核心产品的研发投入、适时整合公司现有公 司资源，通过合并等多种方式集合旗下子公司的优势力量开展业务等措施应对疫情影响；继续深化对旗下 零售业各个子公司的整合，不断加深与阿里巴巴在新零售领域的战略合作，保持公司未来在新一代零售信 息系统业务中的领导地位；畅联业务将在继续推进酒店集团和渠道合作的同时，继续加深与飞猪在酒店预 订领域的直连合作，促进预订量的良性增长；加强与支付宝和微信的渠道合作，利用公司积累多年的丰富 客户资源扩大石基支付系统在行业内的影响力，促进公司从软件供应商向平台服务商的转型。</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为实现上述经营计划，公司将主要采取如下举措：</w:t>
      </w:r>
    </w:p>
    <w:p>
      <w:pPr>
        <w:pStyle w:val="Style35"/>
        <w:keepNext w:val="0"/>
        <w:keepLines w:val="0"/>
        <w:widowControl w:val="0"/>
        <w:shd w:val="clear" w:color="auto" w:fill="auto"/>
        <w:bidi w:val="0"/>
        <w:spacing w:before="0" w:after="0" w:line="313" w:lineRule="exact"/>
        <w:ind w:left="0" w:right="0" w:firstLine="440"/>
        <w:jc w:val="both"/>
      </w:pPr>
      <w:bookmarkStart w:id="366" w:name="bookmark366"/>
      <w:r>
        <w:rPr>
          <w:b/>
          <w:bCs/>
          <w:color w:val="000000"/>
          <w:spacing w:val="0"/>
          <w:w w:val="100"/>
          <w:position w:val="0"/>
        </w:rPr>
        <w:t>（</w:t>
      </w:r>
      <w:bookmarkEnd w:id="366"/>
      <w:r>
        <w:rPr>
          <w:rFonts w:ascii="Times New Roman" w:eastAsia="Times New Roman" w:hAnsi="Times New Roman" w:cs="Times New Roman"/>
          <w:b/>
          <w:bCs/>
          <w:color w:val="000000"/>
          <w:spacing w:val="0"/>
          <w:w w:val="100"/>
          <w:position w:val="0"/>
        </w:rPr>
        <w:t>1</w:t>
      </w:r>
      <w:r>
        <w:rPr>
          <w:b/>
          <w:bCs/>
          <w:color w:val="000000"/>
          <w:spacing w:val="0"/>
          <w:w w:val="100"/>
          <w:position w:val="0"/>
        </w:rPr>
        <w:t>）酒店及餐饮信息系统业务</w:t>
      </w:r>
    </w:p>
    <w:p>
      <w:pPr>
        <w:pStyle w:val="Style35"/>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年，公司在高端酒店信息业务方面将继续坚持国际化策略，力争新一代云架构的企业级酒店信息 管理系统石基企业平台在中国部署落地成功，同时获得更多标杆型国际酒店集团的认可，国内市场高星级 酒店主要以国际品牌为主体，因而中国高端酒店信息系统将以跟随国际集团标准为主，公司将充分利用全 球化技术产品和服务优势，将中国市场视为全球市场的重要组成部分；新一代石基云酒店餐饮管理系统将 在其已经确立的全球技术领先地位的基础上，继续签约更多国际酒店集团，并不断拓展上线；逐步开始将 海外酒店信息系统的子系统产品迁移集成到石基企业平台上。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对于中国酒店市场公司已经针对不同客户群体全面推进各类酒店云产品的发展，包括面向中国高端酒 店市场但倾向于国际化管理运营模式的</w:t>
      </w:r>
      <w:r>
        <w:rPr>
          <w:rFonts w:ascii="Times New Roman" w:eastAsia="Times New Roman" w:hAnsi="Times New Roman" w:cs="Times New Roman"/>
          <w:color w:val="000000"/>
          <w:spacing w:val="0"/>
          <w:w w:val="100"/>
          <w:position w:val="0"/>
        </w:rPr>
        <w:t>Cambridge</w:t>
      </w:r>
      <w:r>
        <w:rPr>
          <w:color w:val="000000"/>
          <w:spacing w:val="0"/>
          <w:w w:val="100"/>
          <w:position w:val="0"/>
        </w:rPr>
        <w:t>云酒店管理系统，以及面向纯本土酒店管理集团的西软 和千里马</w:t>
      </w:r>
      <w:r>
        <w:rPr>
          <w:rFonts w:ascii="Times New Roman" w:eastAsia="Times New Roman" w:hAnsi="Times New Roman" w:cs="Times New Roman"/>
          <w:color w:val="000000"/>
          <w:spacing w:val="0"/>
          <w:w w:val="100"/>
          <w:position w:val="0"/>
        </w:rPr>
        <w:t>PMS</w:t>
      </w:r>
      <w:r>
        <w:rPr>
          <w:color w:val="000000"/>
          <w:spacing w:val="0"/>
          <w:w w:val="100"/>
          <w:position w:val="0"/>
        </w:rPr>
        <w:t>解决方案。杭州西软将以移动化和云化优先，在保持产品主线的基础上继续深挖集团业务和 综合景区业务，持续致力于为集团和综合性景区提供完善的系统解决方案；广州万迅将持续进行产品云化, 同时基于钉钉平台，结合千里马前后台云产品，打造出具有自身特色的综合业务中台。</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年，正品贵德将聚焦中高端中餐连锁，聚焦优势业务，做精做透产品，成为中餐成本精细化管控 专家企业，产品全面向移动端发展，强化公司在餐饮供应链的行业竞争优势和市场份额，将上游</w:t>
      </w:r>
      <w:r>
        <w:rPr>
          <w:rFonts w:ascii="Times New Roman" w:eastAsia="Times New Roman" w:hAnsi="Times New Roman" w:cs="Times New Roman"/>
          <w:color w:val="000000"/>
          <w:spacing w:val="0"/>
          <w:w w:val="100"/>
          <w:position w:val="0"/>
        </w:rPr>
        <w:t>B2B</w:t>
      </w:r>
      <w:r>
        <w:rPr>
          <w:color w:val="000000"/>
          <w:spacing w:val="0"/>
          <w:w w:val="100"/>
          <w:position w:val="0"/>
        </w:rPr>
        <w:t>资源 及食品追溯真正融入正品供应链体系，尝试打造联通上下游的餐饮供应链平台以促进公司服务化模式转 型。</w:t>
      </w:r>
    </w:p>
    <w:p>
      <w:pPr>
        <w:pStyle w:val="Style35"/>
        <w:keepNext w:val="0"/>
        <w:keepLines w:val="0"/>
        <w:widowControl w:val="0"/>
        <w:shd w:val="clear" w:color="auto" w:fill="auto"/>
        <w:tabs>
          <w:tab w:pos="873" w:val="left"/>
        </w:tabs>
        <w:bidi w:val="0"/>
        <w:spacing w:before="0" w:after="0" w:line="315" w:lineRule="exact"/>
        <w:ind w:left="0" w:right="0" w:firstLine="440"/>
        <w:jc w:val="both"/>
      </w:pPr>
      <w:bookmarkStart w:id="367" w:name="bookmark367"/>
      <w:r>
        <w:rPr>
          <w:b/>
          <w:bCs/>
          <w:color w:val="000000"/>
          <w:spacing w:val="0"/>
          <w:w w:val="100"/>
          <w:position w:val="0"/>
        </w:rPr>
        <w:t>（</w:t>
      </w:r>
      <w:bookmarkEnd w:id="36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零售信息系统业务</w:t>
      </w:r>
    </w:p>
    <w:p>
      <w:pPr>
        <w:pStyle w:val="Style35"/>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年，富基信息将在持续优化自主品牌软件业务的同时，在新零售战略方面，除了继续集中于聚合 营销、聚合支付、全渠道业务及新门店相关产品外，在智慧供应链、财务共享、云化产品方面加大市场力 度，同时在新一代零售综合解决方案的研发、创建与应用上，会继续加大研发，丰富产品场景，提升产品 能力，根据市场热点及需求，为中国零售业的新老客户提供优秀的产品、解决方案和服务。</w:t>
      </w:r>
    </w:p>
    <w:p>
      <w:pPr>
        <w:pStyle w:val="Style35"/>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年，长益科技将继续升级迭代商友</w:t>
      </w:r>
      <w:r>
        <w:rPr>
          <w:rFonts w:ascii="Times New Roman" w:eastAsia="Times New Roman" w:hAnsi="Times New Roman" w:cs="Times New Roman"/>
          <w:color w:val="000000"/>
          <w:spacing w:val="0"/>
          <w:w w:val="100"/>
          <w:position w:val="0"/>
        </w:rPr>
        <w:t>V10.</w:t>
      </w:r>
      <w:r>
        <w:rPr>
          <w:rFonts w:ascii="Times New Roman" w:eastAsia="Times New Roman" w:hAnsi="Times New Roman" w:cs="Times New Roman"/>
          <w:color w:val="000000"/>
          <w:spacing w:val="0"/>
          <w:w w:val="100"/>
          <w:position w:val="0"/>
        </w:rPr>
        <w:t>0</w:t>
      </w:r>
      <w:r>
        <w:rPr>
          <w:color w:val="000000"/>
          <w:spacing w:val="0"/>
          <w:w w:val="100"/>
          <w:position w:val="0"/>
        </w:rPr>
        <w:t>数智化运营平台产品；深化与石基生态的整合能力，为 百购、奥莱、家居、文旅、机场等行业提供零售、餐饮、酒店等多业态的整体数智化解决方案，借助阿里 资源的深度合作，打造全渠道零售的全场景应用；洞察零售行业变化，积极研发零售创新应用，推动企业 数智化转型。</w:t>
      </w:r>
    </w:p>
    <w:p>
      <w:pPr>
        <w:pStyle w:val="Style35"/>
        <w:keepNext w:val="0"/>
        <w:keepLines w:val="0"/>
        <w:widowControl w:val="0"/>
        <w:shd w:val="clear" w:color="auto" w:fill="auto"/>
        <w:bidi w:val="0"/>
        <w:spacing w:before="0" w:after="0" w:line="314" w:lineRule="exact"/>
        <w:ind w:left="0" w:right="0" w:firstLine="440"/>
        <w:jc w:val="both"/>
        <w:rPr>
          <w:sz w:val="22"/>
          <w:szCs w:val="22"/>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年，思迅软件将</w:t>
      </w:r>
      <w:r>
        <w:rPr>
          <w:color w:val="000000"/>
          <w:spacing w:val="0"/>
          <w:w w:val="100"/>
          <w:position w:val="0"/>
          <w:sz w:val="22"/>
          <w:szCs w:val="22"/>
        </w:rPr>
        <w:t>增强现有软件产品线下线上一体化竞争优势，发布线上微商店</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微小店产品组 合，提供给客户更具竞争力的综合解决方案，聚集核心销售渠道和成长型渠道，更多使用新媒体短视 频等方式加强营销与推广，不断为现有大量的存量用户上提供更有竞争力的产品；继续升级和扩容支 付业务平台，加强对平台运维监控，提供更优质的支付业务管理平台与便捷支付。尝试推动支付后端 业务推广与发展，如完成页广告、单品营销等；思迅网络继续优化云平台的架构改造和部署扩容，以 满足上线商户不断增长的需要，将新发布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星云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星耀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两大细分业态云产品，为商户提供更加吻合 业务场景的信息化解决方案，继续丰富移动端及线上购物的应用，为顾客提供线上线下一体化的购物 体验，同时扩大对新业态平台的营销推广，提高渠道的覆盖度及商户上线数，积极开展与主流硬件厂 商的合作，为商家提供基于安卓平台的软硬件一体化解决方案。</w:t>
      </w:r>
    </w:p>
    <w:p>
      <w:pPr>
        <w:pStyle w:val="Style35"/>
        <w:keepNext w:val="0"/>
        <w:keepLines w:val="0"/>
        <w:widowControl w:val="0"/>
        <w:shd w:val="clear" w:color="auto" w:fill="auto"/>
        <w:tabs>
          <w:tab w:pos="873" w:val="left"/>
        </w:tabs>
        <w:bidi w:val="0"/>
        <w:spacing w:before="0" w:after="0" w:line="314" w:lineRule="exact"/>
        <w:ind w:left="0" w:right="0" w:firstLine="440"/>
        <w:jc w:val="both"/>
      </w:pPr>
      <w:bookmarkStart w:id="368" w:name="bookmark368"/>
      <w:r>
        <w:rPr>
          <w:b/>
          <w:bCs/>
          <w:color w:val="000000"/>
          <w:spacing w:val="0"/>
          <w:w w:val="100"/>
          <w:position w:val="0"/>
        </w:rPr>
        <w:t>（</w:t>
      </w:r>
      <w:bookmarkEnd w:id="36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畅联业务</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年，在国内，畅联除了继续专注传统的酒店分销业务以外，也会大力发展商旅的酒店在线预定业 务。随着商旅管理从机票发展到住宿，差旅管理服务商与酒店的直连是一个日渐扩大的需求。除此以外， 畅联也会发展国内旅游目的地酒店</w:t>
      </w:r>
      <w:r>
        <w:rPr>
          <w:rFonts w:ascii="Times New Roman" w:eastAsia="Times New Roman" w:hAnsi="Times New Roman" w:cs="Times New Roman"/>
          <w:color w:val="000000"/>
          <w:spacing w:val="0"/>
          <w:w w:val="100"/>
          <w:position w:val="0"/>
        </w:rPr>
        <w:t>+</w:t>
      </w:r>
      <w:r>
        <w:rPr>
          <w:color w:val="000000"/>
          <w:spacing w:val="0"/>
          <w:w w:val="100"/>
          <w:position w:val="0"/>
        </w:rPr>
        <w:t>景区的在线直连业务。在跨国业务上，畅联计划在</w:t>
      </w:r>
      <w:r>
        <w:rPr>
          <w:rFonts w:ascii="Times New Roman" w:eastAsia="Times New Roman" w:hAnsi="Times New Roman" w:cs="Times New Roman"/>
          <w:color w:val="000000"/>
          <w:spacing w:val="0"/>
          <w:w w:val="100"/>
          <w:position w:val="0"/>
        </w:rPr>
        <w:t>2021</w:t>
      </w:r>
      <w:r>
        <w:rPr>
          <w:color w:val="000000"/>
          <w:spacing w:val="0"/>
          <w:w w:val="100"/>
          <w:position w:val="0"/>
        </w:rPr>
        <w:t>年完成与全球 各大</w:t>
      </w:r>
      <w:r>
        <w:rPr>
          <w:rFonts w:ascii="Times New Roman" w:eastAsia="Times New Roman" w:hAnsi="Times New Roman" w:cs="Times New Roman"/>
          <w:color w:val="000000"/>
          <w:spacing w:val="0"/>
          <w:w w:val="100"/>
          <w:position w:val="0"/>
        </w:rPr>
        <w:t>GDS</w:t>
      </w:r>
      <w:r>
        <w:rPr>
          <w:color w:val="000000"/>
          <w:spacing w:val="0"/>
          <w:w w:val="100"/>
          <w:position w:val="0"/>
        </w:rPr>
        <w:t>的直连，在国际出行恢复后，能够为我们的酒店客户带来来自全球的预定。</w:t>
      </w:r>
    </w:p>
    <w:p>
      <w:pPr>
        <w:pStyle w:val="Style35"/>
        <w:keepNext w:val="0"/>
        <w:keepLines w:val="0"/>
        <w:widowControl w:val="0"/>
        <w:shd w:val="clear" w:color="auto" w:fill="auto"/>
        <w:tabs>
          <w:tab w:pos="873" w:val="left"/>
        </w:tabs>
        <w:bidi w:val="0"/>
        <w:spacing w:before="0" w:after="0" w:line="315" w:lineRule="exact"/>
        <w:ind w:left="0" w:right="0" w:firstLine="440"/>
        <w:jc w:val="both"/>
      </w:pPr>
      <w:bookmarkStart w:id="369" w:name="bookmark369"/>
      <w:r>
        <w:rPr>
          <w:b/>
          <w:bCs/>
          <w:color w:val="000000"/>
          <w:spacing w:val="0"/>
          <w:w w:val="100"/>
          <w:position w:val="0"/>
        </w:rPr>
        <w:t>（</w:t>
      </w:r>
      <w:bookmarkEnd w:id="36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支付系统业务</w:t>
      </w:r>
    </w:p>
    <w:p>
      <w:pPr>
        <w:pStyle w:val="Style35"/>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年，石基支付系统业务将围绕数字货币这一新型支付方式推广和投入，同时加大力气探索更具价 值的行业支付整体解决方案，充分利用集团在各个行业的业务资源，以支付为纽带，打造大消费行业的共 赢生态圈。</w:t>
      </w:r>
    </w:p>
    <w:p>
      <w:pPr>
        <w:pStyle w:val="Style35"/>
        <w:keepNext w:val="0"/>
        <w:keepLines w:val="0"/>
        <w:widowControl w:val="0"/>
        <w:shd w:val="clear" w:color="auto" w:fill="auto"/>
        <w:tabs>
          <w:tab w:pos="873" w:val="left"/>
        </w:tabs>
        <w:bidi w:val="0"/>
        <w:spacing w:before="0" w:after="0" w:line="315" w:lineRule="exact"/>
        <w:ind w:left="0" w:right="0" w:firstLine="440"/>
        <w:jc w:val="both"/>
      </w:pPr>
      <w:bookmarkStart w:id="370" w:name="bookmark370"/>
      <w:r>
        <w:rPr>
          <w:b/>
          <w:bCs/>
          <w:color w:val="000000"/>
          <w:spacing w:val="0"/>
          <w:w w:val="100"/>
          <w:position w:val="0"/>
        </w:rPr>
        <w:t>（</w:t>
      </w:r>
      <w:bookmarkEnd w:id="37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第三方硬件配套业务</w:t>
      </w:r>
    </w:p>
    <w:p>
      <w:pPr>
        <w:pStyle w:val="Style35"/>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年，中电器件将依托集团在零售、餐饮等领域庞大的客户资源，围绕着深挖客户需求、斩获新产 品代理权、提高盈利能力的方针目标，抓落实，重实效，不断提高服务水平。</w:t>
      </w:r>
    </w:p>
    <w:p>
      <w:pPr>
        <w:pStyle w:val="Style35"/>
        <w:keepNext w:val="0"/>
        <w:keepLines w:val="0"/>
        <w:widowControl w:val="0"/>
        <w:shd w:val="clear" w:color="auto" w:fill="auto"/>
        <w:tabs>
          <w:tab w:pos="873" w:val="left"/>
        </w:tabs>
        <w:bidi w:val="0"/>
        <w:spacing w:before="0" w:after="0" w:line="322" w:lineRule="exact"/>
        <w:ind w:left="0" w:right="0" w:firstLine="440"/>
        <w:jc w:val="both"/>
      </w:pPr>
      <w:bookmarkStart w:id="371" w:name="bookmark371"/>
      <w:r>
        <w:rPr>
          <w:b/>
          <w:bCs/>
          <w:color w:val="000000"/>
          <w:spacing w:val="0"/>
          <w:w w:val="100"/>
          <w:position w:val="0"/>
        </w:rPr>
        <w:t>（</w:t>
      </w:r>
      <w:bookmarkEnd w:id="371"/>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自主智能商用设备业务</w:t>
      </w:r>
    </w:p>
    <w:p>
      <w:pPr>
        <w:pStyle w:val="Style35"/>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年，青岛海信智能商用将在</w:t>
      </w:r>
      <w:r>
        <w:rPr>
          <w:rFonts w:ascii="Times New Roman" w:eastAsia="Times New Roman" w:hAnsi="Times New Roman" w:cs="Times New Roman"/>
          <w:color w:val="000000"/>
          <w:spacing w:val="0"/>
          <w:w w:val="100"/>
          <w:position w:val="0"/>
        </w:rPr>
        <w:t>Histone</w:t>
      </w:r>
      <w:r>
        <w:rPr>
          <w:color w:val="000000"/>
          <w:spacing w:val="0"/>
          <w:w w:val="100"/>
          <w:position w:val="0"/>
        </w:rPr>
        <w:t>总部落成后打造高效的研发、生产、市场、管理一体化运营平 台，实现收入的跨越式发展;变革商业硬件营销组织架构；商业软件重点在</w:t>
      </w:r>
      <w:r>
        <w:rPr>
          <w:rFonts w:ascii="Times New Roman" w:eastAsia="Times New Roman" w:hAnsi="Times New Roman" w:cs="Times New Roman"/>
          <w:color w:val="000000"/>
          <w:spacing w:val="0"/>
          <w:w w:val="100"/>
          <w:position w:val="0"/>
        </w:rPr>
        <w:t>iEGo</w:t>
      </w:r>
      <w:r>
        <w:rPr>
          <w:color w:val="000000"/>
          <w:spacing w:val="0"/>
          <w:w w:val="100"/>
          <w:position w:val="0"/>
        </w:rPr>
        <w:t>、</w:t>
      </w:r>
      <w:r>
        <w:rPr>
          <w:rFonts w:ascii="Times New Roman" w:eastAsia="Times New Roman" w:hAnsi="Times New Roman" w:cs="Times New Roman"/>
          <w:color w:val="000000"/>
          <w:spacing w:val="0"/>
          <w:w w:val="100"/>
          <w:position w:val="0"/>
        </w:rPr>
        <w:t>iDAS</w:t>
      </w:r>
      <w:r>
        <w:rPr>
          <w:color w:val="000000"/>
          <w:spacing w:val="0"/>
          <w:w w:val="100"/>
          <w:position w:val="0"/>
        </w:rPr>
        <w:t>、</w:t>
      </w:r>
      <w:r>
        <w:rPr>
          <w:rFonts w:ascii="Times New Roman" w:eastAsia="Times New Roman" w:hAnsi="Times New Roman" w:cs="Times New Roman"/>
          <w:color w:val="000000"/>
          <w:spacing w:val="0"/>
          <w:w w:val="100"/>
          <w:position w:val="0"/>
        </w:rPr>
        <w:t>B2B</w:t>
      </w:r>
      <w:r>
        <w:rPr>
          <w:color w:val="000000"/>
          <w:spacing w:val="0"/>
          <w:w w:val="100"/>
          <w:position w:val="0"/>
        </w:rPr>
        <w:t>运营平台</w:t>
      </w:r>
      <w:r>
        <w:rPr>
          <w:rFonts w:ascii="Times New Roman" w:eastAsia="Times New Roman" w:hAnsi="Times New Roman" w:cs="Times New Roman"/>
          <w:color w:val="000000"/>
          <w:spacing w:val="0"/>
          <w:w w:val="100"/>
          <w:position w:val="0"/>
        </w:rPr>
        <w:t>iSRM</w:t>
      </w:r>
      <w:r>
        <w:rPr>
          <w:color w:val="000000"/>
          <w:spacing w:val="0"/>
          <w:w w:val="100"/>
          <w:position w:val="0"/>
        </w:rPr>
        <w:t xml:space="preserve">、 </w:t>
      </w:r>
      <w:r>
        <w:rPr>
          <w:rFonts w:ascii="Times New Roman" w:eastAsia="Times New Roman" w:hAnsi="Times New Roman" w:cs="Times New Roman"/>
          <w:color w:val="000000"/>
          <w:spacing w:val="0"/>
          <w:w w:val="100"/>
          <w:position w:val="0"/>
        </w:rPr>
        <w:t>iUky</w:t>
      </w:r>
      <w:r>
        <w:rPr>
          <w:color w:val="000000"/>
          <w:spacing w:val="0"/>
          <w:w w:val="100"/>
          <w:position w:val="0"/>
        </w:rPr>
        <w:t>电子发票平台等业财一体化产品、科码线上业务等方向完成产品集成；完成</w:t>
      </w:r>
      <w:r>
        <w:rPr>
          <w:rFonts w:ascii="Times New Roman" w:eastAsia="Times New Roman" w:hAnsi="Times New Roman" w:cs="Times New Roman"/>
          <w:color w:val="000000"/>
          <w:spacing w:val="0"/>
          <w:w w:val="100"/>
          <w:position w:val="0"/>
        </w:rPr>
        <w:t>HS728M</w:t>
      </w:r>
      <w:r>
        <w:rPr>
          <w:color w:val="000000"/>
          <w:spacing w:val="0"/>
          <w:w w:val="100"/>
          <w:position w:val="0"/>
        </w:rPr>
        <w:t>、</w:t>
      </w:r>
      <w:r>
        <w:rPr>
          <w:rFonts w:ascii="Times New Roman" w:eastAsia="Times New Roman" w:hAnsi="Times New Roman" w:cs="Times New Roman"/>
          <w:color w:val="000000"/>
          <w:spacing w:val="0"/>
          <w:w w:val="100"/>
          <w:position w:val="0"/>
        </w:rPr>
        <w:t>HK580</w:t>
      </w:r>
      <w:r>
        <w:rPr>
          <w:color w:val="000000"/>
          <w:spacing w:val="0"/>
          <w:w w:val="100"/>
          <w:position w:val="0"/>
        </w:rPr>
        <w:t xml:space="preserve">系列、 </w:t>
      </w:r>
      <w:r>
        <w:rPr>
          <w:rFonts w:ascii="Times New Roman" w:eastAsia="Times New Roman" w:hAnsi="Times New Roman" w:cs="Times New Roman"/>
          <w:color w:val="000000"/>
          <w:spacing w:val="0"/>
          <w:w w:val="100"/>
          <w:position w:val="0"/>
        </w:rPr>
        <w:t>HK960</w:t>
      </w:r>
      <w:r>
        <w:rPr>
          <w:color w:val="000000"/>
          <w:spacing w:val="0"/>
          <w:w w:val="100"/>
          <w:position w:val="0"/>
        </w:rPr>
        <w:t>系列、</w:t>
      </w:r>
      <w:r>
        <w:rPr>
          <w:rFonts w:ascii="Times New Roman" w:eastAsia="Times New Roman" w:hAnsi="Times New Roman" w:cs="Times New Roman"/>
          <w:color w:val="000000"/>
          <w:spacing w:val="0"/>
          <w:w w:val="100"/>
          <w:position w:val="0"/>
        </w:rPr>
        <w:t>POS AI</w:t>
      </w:r>
      <w:r>
        <w:rPr>
          <w:color w:val="000000"/>
          <w:spacing w:val="0"/>
          <w:w w:val="100"/>
          <w:position w:val="0"/>
        </w:rPr>
        <w:t>秤、标签秤等应市新品开发，完成</w:t>
      </w:r>
      <w:r>
        <w:rPr>
          <w:rFonts w:ascii="Times New Roman" w:eastAsia="Times New Roman" w:hAnsi="Times New Roman" w:cs="Times New Roman"/>
          <w:color w:val="000000"/>
          <w:spacing w:val="0"/>
          <w:w w:val="100"/>
          <w:position w:val="0"/>
        </w:rPr>
        <w:t>X86</w:t>
      </w:r>
      <w:r>
        <w:rPr>
          <w:color w:val="000000"/>
          <w:spacing w:val="0"/>
          <w:w w:val="100"/>
          <w:position w:val="0"/>
        </w:rPr>
        <w:t>产品、安卓产品平台迭代升级；加强成本管理, 促进将本提效，注重人才质量提升，强化人才培养的针对性、绩效激励机制的有效性，重点解决营销、研 发关键核心技术人才的引进，优化研发、营销激励机制，完善战略规划体系，商业硬件、软件、服务三产 业协同发展。</w:t>
      </w:r>
    </w:p>
    <w:p>
      <w:pPr>
        <w:pStyle w:val="Style35"/>
        <w:keepNext w:val="0"/>
        <w:keepLines w:val="0"/>
        <w:widowControl w:val="0"/>
        <w:shd w:val="clear" w:color="auto" w:fill="auto"/>
        <w:bidi w:val="0"/>
        <w:spacing w:before="0" w:after="0" w:line="315" w:lineRule="exact"/>
        <w:ind w:left="0" w:right="0" w:firstLine="440"/>
        <w:jc w:val="both"/>
      </w:pPr>
      <w:bookmarkStart w:id="372" w:name="bookmark372"/>
      <w:r>
        <w:rPr>
          <w:rFonts w:ascii="Times New Roman" w:eastAsia="Times New Roman" w:hAnsi="Times New Roman" w:cs="Times New Roman"/>
          <w:b/>
          <w:bCs/>
          <w:color w:val="000000"/>
          <w:spacing w:val="0"/>
          <w:w w:val="100"/>
          <w:position w:val="0"/>
        </w:rPr>
        <w:t>4</w:t>
      </w:r>
      <w:bookmarkEnd w:id="372"/>
      <w:r>
        <w:rPr>
          <w:b/>
          <w:bCs/>
          <w:color w:val="000000"/>
          <w:spacing w:val="0"/>
          <w:w w:val="100"/>
          <w:position w:val="0"/>
        </w:rPr>
        <w:t>、资金需求及使用计划</w:t>
      </w:r>
    </w:p>
    <w:p>
      <w:pPr>
        <w:pStyle w:val="Style35"/>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年，公司将继续紧密围绕平台化与国际化发展战略相关领域，并在新一代酒店、餐饮和商业流通 信息管理系统的研发、销售，与阿里巴巴开展新零售业务合作，以及酒店信息系统国际化业务拓展等多方 面重点投入，并结合业务规模扩大带来的资金需求，合理筹集、安排和使用资金。</w:t>
      </w:r>
    </w:p>
    <w:p>
      <w:pPr>
        <w:pStyle w:val="Style32"/>
        <w:keepNext/>
        <w:keepLines/>
        <w:widowControl w:val="0"/>
        <w:shd w:val="clear" w:color="auto" w:fill="auto"/>
        <w:bidi w:val="0"/>
        <w:spacing w:before="0" w:after="0" w:line="319" w:lineRule="exact"/>
        <w:ind w:left="0" w:right="0" w:firstLine="44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5</w:t>
      </w:r>
      <w:bookmarkEnd w:id="375"/>
      <w:r>
        <w:rPr>
          <w:color w:val="000000"/>
          <w:spacing w:val="0"/>
          <w:w w:val="100"/>
          <w:position w:val="0"/>
        </w:rPr>
        <w:t>、公司未来发展可能面临的风险因素</w:t>
      </w:r>
      <w:bookmarkEnd w:id="373"/>
      <w:bookmarkEnd w:id="374"/>
      <w:bookmarkEnd w:id="376"/>
    </w:p>
    <w:p>
      <w:pPr>
        <w:pStyle w:val="Style32"/>
        <w:keepNext/>
        <w:keepLines/>
        <w:widowControl w:val="0"/>
        <w:numPr>
          <w:ilvl w:val="0"/>
          <w:numId w:val="15"/>
        </w:numPr>
        <w:shd w:val="clear" w:color="auto" w:fill="auto"/>
        <w:tabs>
          <w:tab w:pos="873" w:val="left"/>
        </w:tabs>
        <w:bidi w:val="0"/>
        <w:spacing w:before="0" w:after="0" w:line="312" w:lineRule="exact"/>
        <w:ind w:left="0" w:right="0" w:firstLine="440"/>
        <w:jc w:val="both"/>
      </w:pPr>
      <w:bookmarkStart w:id="373" w:name="bookmark373"/>
      <w:bookmarkStart w:id="374" w:name="bookmark374"/>
      <w:bookmarkStart w:id="377" w:name="bookmark377"/>
      <w:bookmarkStart w:id="378" w:name="bookmark378"/>
      <w:bookmarkEnd w:id="377"/>
      <w:r>
        <w:rPr>
          <w:color w:val="000000"/>
          <w:spacing w:val="0"/>
          <w:w w:val="100"/>
          <w:position w:val="0"/>
        </w:rPr>
        <w:t>技术及产品开发</w:t>
      </w:r>
      <w:bookmarkEnd w:id="373"/>
      <w:bookmarkEnd w:id="374"/>
      <w:bookmarkEnd w:id="378"/>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技术及产品开发对公司的市场竞争力和未来发展具有重要影响。软件技术是更新换代速度最快的技术 之一，与其他</w:t>
      </w:r>
      <w:r>
        <w:rPr>
          <w:rFonts w:ascii="Times New Roman" w:eastAsia="Times New Roman" w:hAnsi="Times New Roman" w:cs="Times New Roman"/>
          <w:color w:val="000000"/>
          <w:spacing w:val="0"/>
          <w:w w:val="100"/>
          <w:position w:val="0"/>
        </w:rPr>
        <w:t>IT</w:t>
      </w:r>
      <w:r>
        <w:rPr>
          <w:color w:val="000000"/>
          <w:spacing w:val="0"/>
          <w:w w:val="100"/>
          <w:position w:val="0"/>
        </w:rPr>
        <w:t>企业一样，公司必须适应技术进步快、产品更新快、市场需求转型快的行业特点。作为目 前全球领先的酒店信息管理系统全面解决方案提供商之一，公司必须能准确预测技术发展趋势，并利用成 熟、实用、先进的技术作为自己的开发和应用环境。如果公司不能准确预测软件开发技术发展趋势，或是 使用落后、不实用的技术进行产品研发，或公司对产品和市场需求的把握出现偏差、不能及时调整，或新 技术、新产品不能迅速推广应用，将可能使公司丧失技术和市场的领先地位，面临技术与产品开发风险。 应对措施：为了应对这一风险，公司一直加大对新技术、新产品的研发投入，不断加强与处于行业领导地 位的客户的交流与合作。目前公司餐饮信息系统云产品及全新一代云架构的企业级酒店信息管理系统已经 陆续基本开发完成，云餐饮管理系统已经获得超过</w:t>
      </w:r>
      <w:r>
        <w:rPr>
          <w:rFonts w:ascii="Times New Roman" w:eastAsia="Times New Roman" w:hAnsi="Times New Roman" w:cs="Times New Roman"/>
          <w:color w:val="000000"/>
          <w:spacing w:val="0"/>
          <w:w w:val="100"/>
          <w:position w:val="0"/>
        </w:rPr>
        <w:t>10</w:t>
      </w:r>
      <w:r>
        <w:rPr>
          <w:color w:val="000000"/>
          <w:spacing w:val="0"/>
          <w:w w:val="100"/>
          <w:position w:val="0"/>
        </w:rPr>
        <w:t>个知名酒店集团的全球认证，其中包括全球最具影响 力的</w:t>
      </w:r>
      <w:r>
        <w:rPr>
          <w:rFonts w:ascii="Times New Roman" w:eastAsia="Times New Roman" w:hAnsi="Times New Roman" w:cs="Times New Roman"/>
          <w:color w:val="000000"/>
          <w:spacing w:val="0"/>
          <w:w w:val="100"/>
          <w:position w:val="0"/>
        </w:rPr>
        <w:t>TOP5</w:t>
      </w:r>
      <w:r>
        <w:rPr>
          <w:color w:val="000000"/>
          <w:spacing w:val="0"/>
          <w:w w:val="100"/>
          <w:position w:val="0"/>
        </w:rPr>
        <w:t>酒店集团中的三家，最核心的新一代云架构的企业级酒店信息管理系统在</w:t>
      </w:r>
      <w:r>
        <w:rPr>
          <w:rFonts w:ascii="Times New Roman" w:eastAsia="Times New Roman" w:hAnsi="Times New Roman" w:cs="Times New Roman"/>
          <w:color w:val="000000"/>
          <w:spacing w:val="0"/>
          <w:w w:val="100"/>
          <w:position w:val="0"/>
        </w:rPr>
        <w:t>10</w:t>
      </w:r>
      <w:r>
        <w:rPr>
          <w:color w:val="000000"/>
          <w:spacing w:val="0"/>
          <w:w w:val="100"/>
          <w:position w:val="0"/>
        </w:rPr>
        <w:t>个欧洲酒店上线，并 已经获得第一个行业标杆客户半岛酒店集团的认可。</w:t>
      </w:r>
    </w:p>
    <w:p>
      <w:pPr>
        <w:pStyle w:val="Style35"/>
        <w:keepNext w:val="0"/>
        <w:keepLines w:val="0"/>
        <w:widowControl w:val="0"/>
        <w:numPr>
          <w:ilvl w:val="0"/>
          <w:numId w:val="15"/>
        </w:numPr>
        <w:shd w:val="clear" w:color="auto" w:fill="auto"/>
        <w:tabs>
          <w:tab w:pos="873" w:val="left"/>
        </w:tabs>
        <w:bidi w:val="0"/>
        <w:spacing w:before="0" w:after="0" w:line="312" w:lineRule="exact"/>
        <w:ind w:left="0" w:right="0" w:firstLine="440"/>
        <w:jc w:val="both"/>
      </w:pPr>
      <w:bookmarkStart w:id="379" w:name="bookmark379"/>
      <w:bookmarkEnd w:id="379"/>
      <w:r>
        <w:rPr>
          <w:b/>
          <w:bCs/>
          <w:color w:val="000000"/>
          <w:spacing w:val="0"/>
          <w:w w:val="100"/>
          <w:position w:val="0"/>
        </w:rPr>
        <w:t>市场及政策</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公司是全球领先的旅游业信息管理系统整体解决方案提供商。我国国民经济的迅速增长带动了旅游业 的迅猛发展，作为旅游业核心部分的酒店业也得到了长足的发展。同时我国酒店业的信息化建设从最初的 电算化、自动化初级阶段迅速发展到目前的集成化、网络化、协同化阶段，酒店业对信息化产品的需求不 断发展和深化。</w:t>
      </w:r>
      <w:r>
        <w:rPr>
          <w:rFonts w:ascii="Times New Roman" w:eastAsia="Times New Roman" w:hAnsi="Times New Roman" w:cs="Times New Roman"/>
          <w:color w:val="000000"/>
          <w:spacing w:val="0"/>
          <w:w w:val="100"/>
          <w:position w:val="0"/>
        </w:rPr>
        <w:t>2014</w:t>
      </w:r>
      <w:r>
        <w:rPr>
          <w:color w:val="000000"/>
          <w:spacing w:val="0"/>
          <w:w w:val="100"/>
          <w:position w:val="0"/>
        </w:rPr>
        <w:t>年以前国内高星级酒店的投资增速较高，使公司的收入和净利润保持了较快的增长。 近年来受国家整体经济增速放缓，中国旅游酒店业扩张速度有所放缓，宏观经济下行导致高端酒店建设不 及预期，酒店及餐饮行业处于转型升级期，对公司经营业绩产生了一定影响。为此，公司近年来积极研发 并推出全新一代云平台的酒店信息系统面向国际酒店集团市场，将国内酒店信息系统业务向全球拓展，此 外，将软件业务向零售、休闲娱乐业拓展的同时，积极打造预订和支付平台，加速从单纯的软件供应商向 平台运营商的转型。</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此外，公司目前处于国际化转型时期，下一代云化酒店信息系统业务的国际化成功需要较长时间，可 能面临中美地缘政治所导致的外部政策、法规等不确定因素的影响。</w:t>
      </w:r>
    </w:p>
    <w:p>
      <w:pPr>
        <w:pStyle w:val="Style35"/>
        <w:keepNext w:val="0"/>
        <w:keepLines w:val="0"/>
        <w:widowControl w:val="0"/>
        <w:numPr>
          <w:ilvl w:val="0"/>
          <w:numId w:val="15"/>
        </w:numPr>
        <w:shd w:val="clear" w:color="auto" w:fill="auto"/>
        <w:tabs>
          <w:tab w:pos="873" w:val="left"/>
        </w:tabs>
        <w:bidi w:val="0"/>
        <w:spacing w:before="0" w:after="0" w:line="312" w:lineRule="exact"/>
        <w:ind w:left="0" w:right="0" w:firstLine="440"/>
        <w:jc w:val="both"/>
      </w:pPr>
      <w:bookmarkStart w:id="380" w:name="bookmark380"/>
      <w:bookmarkEnd w:id="380"/>
      <w:r>
        <w:rPr>
          <w:b/>
          <w:bCs/>
          <w:color w:val="000000"/>
          <w:spacing w:val="0"/>
          <w:w w:val="100"/>
          <w:position w:val="0"/>
        </w:rPr>
        <w:t>经营管理</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随着公司业务的发展，公司资产规模和业务规模将进一步扩大，这对公司的管理水平将提出更高的要 求。如果公司的管理人员储备、管控体系的调整不能适应公司业务快速发展的要求，将对公司的整体运营 造成不利影响，进而影响业务的正常开展。为此，公司在</w:t>
      </w:r>
      <w:r>
        <w:rPr>
          <w:rFonts w:ascii="Times New Roman" w:eastAsia="Times New Roman" w:hAnsi="Times New Roman" w:cs="Times New Roman"/>
          <w:color w:val="000000"/>
          <w:spacing w:val="0"/>
          <w:w w:val="100"/>
          <w:position w:val="0"/>
        </w:rPr>
        <w:t>2015</w:t>
      </w:r>
      <w:r>
        <w:rPr>
          <w:color w:val="000000"/>
          <w:spacing w:val="0"/>
          <w:w w:val="100"/>
          <w:position w:val="0"/>
        </w:rPr>
        <w:t>年已经引入了国际化管理团队，采取步步为 营，先香港、亚洲，再德国、欧洲，后美国的策略，加强内部控制体系建设，提升内部控制水平。</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其次，由于公司的海外扩张的加速，海外研发的下一代产品将不可避免地与公司现有产品和商业模式 产生竞争与替代，从而存在使公司现有收入与盈利短期产生较大下降的风险。为此，公司正在加速向平台 型业务转型，通过拓展平台业务和创新型业务，扩大业务来源，从而降低由于新一代云平台产品换代造成 收入和盈利短期下降的风险。</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此外，根据公司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日的公告，公司与</w:t>
      </w:r>
      <w:r>
        <w:rPr>
          <w:rFonts w:ascii="Times New Roman" w:eastAsia="Times New Roman" w:hAnsi="Times New Roman" w:cs="Times New Roman"/>
          <w:color w:val="000000"/>
          <w:spacing w:val="0"/>
          <w:w w:val="100"/>
          <w:position w:val="0"/>
        </w:rPr>
        <w:t>ORACLE</w:t>
      </w:r>
      <w:r>
        <w:rPr>
          <w:color w:val="000000"/>
          <w:spacing w:val="0"/>
          <w:w w:val="100"/>
          <w:position w:val="0"/>
        </w:rPr>
        <w:t>公司的代理业务合作协议已于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到期后不再续约。短期来看，会对公司经营业绩产生较大不利影响，根据</w:t>
      </w:r>
      <w:r>
        <w:rPr>
          <w:rFonts w:ascii="Times New Roman" w:eastAsia="Times New Roman" w:hAnsi="Times New Roman" w:cs="Times New Roman"/>
          <w:color w:val="000000"/>
          <w:spacing w:val="0"/>
          <w:w w:val="100"/>
          <w:position w:val="0"/>
        </w:rPr>
        <w:t>2019</w:t>
      </w:r>
      <w:r>
        <w:rPr>
          <w:color w:val="000000"/>
          <w:spacing w:val="0"/>
          <w:w w:val="100"/>
          <w:position w:val="0"/>
        </w:rPr>
        <w:t>年度发生的</w:t>
      </w:r>
      <w:r>
        <w:rPr>
          <w:rFonts w:ascii="Times New Roman" w:eastAsia="Times New Roman" w:hAnsi="Times New Roman" w:cs="Times New Roman"/>
          <w:color w:val="000000"/>
          <w:spacing w:val="0"/>
          <w:w w:val="100"/>
          <w:position w:val="0"/>
        </w:rPr>
        <w:t>Oracle</w:t>
      </w:r>
      <w:r>
        <w:rPr>
          <w:color w:val="000000"/>
          <w:spacing w:val="0"/>
          <w:w w:val="100"/>
          <w:position w:val="0"/>
        </w:rPr>
        <w:t>代理业务 收入估算，本次合同到期影响</w:t>
      </w:r>
      <w:r>
        <w:rPr>
          <w:rFonts w:ascii="Times New Roman" w:eastAsia="Times New Roman" w:hAnsi="Times New Roman" w:cs="Times New Roman"/>
          <w:color w:val="000000"/>
          <w:spacing w:val="0"/>
          <w:w w:val="100"/>
          <w:position w:val="0"/>
        </w:rPr>
        <w:t>2020</w:t>
      </w:r>
      <w:r>
        <w:rPr>
          <w:color w:val="000000"/>
          <w:spacing w:val="0"/>
          <w:w w:val="100"/>
          <w:position w:val="0"/>
        </w:rPr>
        <w:t>年公司</w:t>
      </w:r>
      <w:r>
        <w:rPr>
          <w:rFonts w:ascii="Times New Roman" w:eastAsia="Times New Roman" w:hAnsi="Times New Roman" w:cs="Times New Roman"/>
          <w:color w:val="000000"/>
          <w:spacing w:val="0"/>
          <w:w w:val="100"/>
          <w:position w:val="0"/>
        </w:rPr>
        <w:t>ORACLE</w:t>
      </w:r>
      <w:r>
        <w:rPr>
          <w:color w:val="000000"/>
          <w:spacing w:val="0"/>
          <w:w w:val="100"/>
          <w:position w:val="0"/>
        </w:rPr>
        <w:t>代理业务收入下降大约</w:t>
      </w:r>
      <w:r>
        <w:rPr>
          <w:rFonts w:ascii="Times New Roman" w:eastAsia="Times New Roman" w:hAnsi="Times New Roman" w:cs="Times New Roman"/>
          <w:color w:val="000000"/>
          <w:spacing w:val="0"/>
          <w:w w:val="100"/>
          <w:position w:val="0"/>
        </w:rPr>
        <w:t>3</w:t>
      </w:r>
      <w:r>
        <w:rPr>
          <w:color w:val="000000"/>
          <w:spacing w:val="0"/>
          <w:w w:val="100"/>
          <w:position w:val="0"/>
        </w:rPr>
        <w:t>亿人民币，影响</w:t>
      </w:r>
      <w:r>
        <w:rPr>
          <w:rFonts w:ascii="Times New Roman" w:eastAsia="Times New Roman" w:hAnsi="Times New Roman" w:cs="Times New Roman"/>
          <w:color w:val="000000"/>
          <w:spacing w:val="0"/>
          <w:w w:val="100"/>
          <w:position w:val="0"/>
        </w:rPr>
        <w:t>2020</w:t>
      </w:r>
      <w:r>
        <w:rPr>
          <w:color w:val="000000"/>
          <w:spacing w:val="0"/>
          <w:w w:val="100"/>
          <w:position w:val="0"/>
        </w:rPr>
        <w:t>年公司净 利润下降不超过</w:t>
      </w:r>
      <w:r>
        <w:rPr>
          <w:rFonts w:ascii="Times New Roman" w:eastAsia="Times New Roman" w:hAnsi="Times New Roman" w:cs="Times New Roman"/>
          <w:color w:val="000000"/>
          <w:spacing w:val="0"/>
          <w:w w:val="100"/>
          <w:position w:val="0"/>
        </w:rPr>
        <w:t>1</w:t>
      </w:r>
      <w:r>
        <w:rPr>
          <w:color w:val="000000"/>
          <w:spacing w:val="0"/>
          <w:w w:val="100"/>
          <w:position w:val="0"/>
        </w:rPr>
        <w:t>亿人民币，但由于公司已经研发了替代</w:t>
      </w:r>
      <w:r>
        <w:rPr>
          <w:rFonts w:ascii="Times New Roman" w:eastAsia="Times New Roman" w:hAnsi="Times New Roman" w:cs="Times New Roman"/>
          <w:color w:val="000000"/>
          <w:spacing w:val="0"/>
          <w:w w:val="100"/>
          <w:position w:val="0"/>
        </w:rPr>
        <w:t>O RACLE</w:t>
      </w:r>
      <w:r>
        <w:rPr>
          <w:color w:val="000000"/>
          <w:spacing w:val="0"/>
          <w:w w:val="100"/>
          <w:position w:val="0"/>
        </w:rPr>
        <w:t xml:space="preserve">代理产品的酒店信息系统自主产品，正 在准备逐步推向市场，会对代理业务产生一定补充和替代作用，同时海外业务的快速增长也将对代理业务 产生的影响起到弥补作用。从长远来看，本次合同到期使公司专注于自主研发的新一代云架构的企业级酒 </w:t>
      </w:r>
      <w:r>
        <w:rPr>
          <w:color w:val="000000"/>
          <w:spacing w:val="0"/>
          <w:w w:val="100"/>
          <w:position w:val="0"/>
        </w:rPr>
        <w:t>店信息系统产品的全球落地，加速公司国际化转型的步伐。如果公司依靠先进的技术和产品成功实现国际 化转型，新一代云架构的企业级酒店信息系统产品将直接取代现有传统产品在全球国际酒店集团市场中的 优势地位，为公司带来新的更大的发展空间。</w:t>
      </w:r>
    </w:p>
    <w:p>
      <w:pPr>
        <w:pStyle w:val="Style35"/>
        <w:keepNext w:val="0"/>
        <w:keepLines w:val="0"/>
        <w:widowControl w:val="0"/>
        <w:shd w:val="clear" w:color="auto" w:fill="auto"/>
        <w:tabs>
          <w:tab w:pos="873" w:val="left"/>
        </w:tabs>
        <w:bidi w:val="0"/>
        <w:spacing w:before="0" w:after="0" w:line="312" w:lineRule="exact"/>
        <w:ind w:left="0" w:right="0" w:firstLine="440"/>
        <w:jc w:val="left"/>
      </w:pPr>
      <w:bookmarkStart w:id="381" w:name="bookmark381"/>
      <w:r>
        <w:rPr>
          <w:b/>
          <w:bCs/>
          <w:color w:val="000000"/>
          <w:spacing w:val="0"/>
          <w:w w:val="100"/>
          <w:position w:val="0"/>
        </w:rPr>
        <w:t>（</w:t>
      </w:r>
      <w:bookmarkEnd w:id="38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海外投资</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公司在国际化转型过程中为了完善国际化产品线，公司在海外包括在美国投资了一系列酒店领域的标 的公司。</w:t>
      </w:r>
      <w:r>
        <w:rPr>
          <w:rFonts w:ascii="Times New Roman" w:eastAsia="Times New Roman" w:hAnsi="Times New Roman" w:cs="Times New Roman"/>
          <w:color w:val="000000"/>
          <w:spacing w:val="0"/>
          <w:w w:val="100"/>
          <w:position w:val="0"/>
        </w:rPr>
        <w:t>2020</w:t>
      </w:r>
      <w:r>
        <w:rPr>
          <w:color w:val="000000"/>
          <w:spacing w:val="0"/>
          <w:w w:val="100"/>
          <w:position w:val="0"/>
        </w:rPr>
        <w:t>年公司在美国投资</w:t>
      </w:r>
      <w:r>
        <w:rPr>
          <w:rFonts w:ascii="Times New Roman" w:eastAsia="Times New Roman" w:hAnsi="Times New Roman" w:cs="Times New Roman"/>
          <w:color w:val="000000"/>
          <w:spacing w:val="0"/>
          <w:w w:val="100"/>
          <w:position w:val="0"/>
        </w:rPr>
        <w:t>S tayNTouchlOO%</w:t>
      </w:r>
      <w:r>
        <w:rPr>
          <w:color w:val="000000"/>
          <w:spacing w:val="0"/>
          <w:w w:val="100"/>
          <w:position w:val="0"/>
        </w:rPr>
        <w:t>股权的股权转让交易因受到美国外国投资委员会</w:t>
      </w:r>
      <w:r>
        <w:rPr>
          <w:color w:val="000000"/>
          <w:spacing w:val="0"/>
          <w:w w:val="100"/>
          <w:position w:val="0"/>
        </w:rPr>
        <w:t>（</w:t>
      </w:r>
      <w:r>
        <w:rPr>
          <w:rFonts w:ascii="Times New Roman" w:eastAsia="Times New Roman" w:hAnsi="Times New Roman" w:cs="Times New Roman"/>
          <w:color w:val="000000"/>
          <w:spacing w:val="0"/>
          <w:w w:val="100"/>
          <w:position w:val="0"/>
        </w:rPr>
        <w:t>CFIUS</w:t>
      </w:r>
      <w:r>
        <w:rPr>
          <w:color w:val="000000"/>
          <w:spacing w:val="0"/>
          <w:w w:val="100"/>
          <w:position w:val="0"/>
        </w:rPr>
        <w:t xml:space="preserve">） </w:t>
      </w:r>
      <w:r>
        <w:rPr>
          <w:color w:val="000000"/>
          <w:spacing w:val="0"/>
          <w:w w:val="100"/>
          <w:position w:val="0"/>
        </w:rPr>
        <w:t>的审查而最终强制剥离，该事件将一次性影响公司净利润约</w:t>
      </w:r>
      <w:r>
        <w:rPr>
          <w:rFonts w:ascii="Times New Roman" w:eastAsia="Times New Roman" w:hAnsi="Times New Roman" w:cs="Times New Roman"/>
          <w:color w:val="000000"/>
          <w:spacing w:val="0"/>
          <w:w w:val="100"/>
          <w:position w:val="0"/>
        </w:rPr>
        <w:t>1.7</w:t>
      </w:r>
      <w:r>
        <w:rPr>
          <w:color w:val="000000"/>
          <w:spacing w:val="0"/>
          <w:w w:val="100"/>
          <w:position w:val="0"/>
        </w:rPr>
        <w:t>亿元人民币。通过此次事件公司将：投资前, 进一步加强海外投资管理，通过深入了解投资当地法律法规、政策制度、经营环境等在内的一系列事项后 审慎评估投资标的；投资中，积极借助投资当地经验丰富的中介机构力量，及时有效的获取与投资相关的 要求，通过调整修正使公司投资在符合各国不同法律法规的基础上能平稳落地；投资完成后，公司加强投 资后管理，结合投资当地实际情况制定管理政策，避免出现水土不服的情形。</w:t>
      </w:r>
    </w:p>
    <w:p>
      <w:pPr>
        <w:pStyle w:val="Style3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随着公司在海外投资的不断加大，公司面临对海外诸多公司管理缺少成熟的管理方式和经验不足的风 险，也面临后续海外资金供给不足的风险。</w:t>
      </w:r>
    </w:p>
    <w:p>
      <w:pPr>
        <w:pStyle w:val="Style35"/>
        <w:keepNext w:val="0"/>
        <w:keepLines w:val="0"/>
        <w:widowControl w:val="0"/>
        <w:shd w:val="clear" w:color="auto" w:fill="auto"/>
        <w:tabs>
          <w:tab w:pos="873" w:val="left"/>
        </w:tabs>
        <w:bidi w:val="0"/>
        <w:spacing w:before="0" w:after="0" w:line="312" w:lineRule="exact"/>
        <w:ind w:left="0" w:right="0" w:firstLine="440"/>
        <w:jc w:val="both"/>
      </w:pPr>
      <w:bookmarkStart w:id="382" w:name="bookmark382"/>
      <w:r>
        <w:rPr>
          <w:b/>
          <w:bCs/>
          <w:color w:val="000000"/>
          <w:spacing w:val="0"/>
          <w:w w:val="100"/>
          <w:position w:val="0"/>
        </w:rPr>
        <w:t>（</w:t>
      </w:r>
      <w:bookmarkEnd w:id="38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与互联网企业合作进展的不确定性</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为了加快公司从软件供应商向平台运营商的转型，基于公司多年来积累的旅游消费信息化行业的丰富 客户资源和线下行业优势地位并结合在线电商在线上的客户优势，公司从</w:t>
      </w:r>
      <w:r>
        <w:rPr>
          <w:rFonts w:ascii="Times New Roman" w:eastAsia="Times New Roman" w:hAnsi="Times New Roman" w:cs="Times New Roman"/>
          <w:color w:val="000000"/>
          <w:spacing w:val="0"/>
          <w:w w:val="100"/>
          <w:position w:val="0"/>
        </w:rPr>
        <w:t>2014</w:t>
      </w:r>
      <w:r>
        <w:rPr>
          <w:color w:val="000000"/>
          <w:spacing w:val="0"/>
          <w:w w:val="100"/>
          <w:position w:val="0"/>
        </w:rPr>
        <w:t>年度开始一直在加强与阿里 巴巴、腾讯微信等在线电商的合作，但在合作过程中仍然有可能出现由于市场竞争等多种因素造成合作进 展不顺利的风险。为此，公司已成立与在线电商合作的相关专门业务团队，按进度制定了关键绩效考核指 标，整合公司优势资源，积极投入合作。</w:t>
      </w:r>
    </w:p>
    <w:p>
      <w:pPr>
        <w:pStyle w:val="Style35"/>
        <w:keepNext w:val="0"/>
        <w:keepLines w:val="0"/>
        <w:widowControl w:val="0"/>
        <w:shd w:val="clear" w:color="auto" w:fill="auto"/>
        <w:tabs>
          <w:tab w:pos="873" w:val="left"/>
        </w:tabs>
        <w:bidi w:val="0"/>
        <w:spacing w:before="0" w:after="0" w:line="312" w:lineRule="exact"/>
        <w:ind w:left="0" w:right="0" w:firstLine="440"/>
        <w:jc w:val="both"/>
      </w:pPr>
      <w:bookmarkStart w:id="383" w:name="bookmark383"/>
      <w:r>
        <w:rPr>
          <w:b/>
          <w:bCs/>
          <w:color w:val="000000"/>
          <w:spacing w:val="0"/>
          <w:w w:val="100"/>
          <w:position w:val="0"/>
        </w:rPr>
        <w:t>（</w:t>
      </w:r>
      <w:bookmarkEnd w:id="383"/>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疫情对国内外经济持续影响的风险</w:t>
      </w:r>
    </w:p>
    <w:p>
      <w:pPr>
        <w:pStyle w:val="Style35"/>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月以来，疫情的突然爆发对国内第三类服务业造成重大影响，其中涉及大消费行业的旅游、 酒店及餐饮行业受到的冲击尤为严重。公司服务的中小型酒店客户、单体餐饮客户在本次疫情中存在经营 性风险，公司面临的外部市场环境也随之发生重大变化。</w:t>
      </w:r>
      <w:r>
        <w:rPr>
          <w:rFonts w:ascii="Times New Roman" w:eastAsia="Times New Roman" w:hAnsi="Times New Roman" w:cs="Times New Roman"/>
          <w:color w:val="000000"/>
          <w:spacing w:val="0"/>
          <w:w w:val="100"/>
          <w:position w:val="0"/>
        </w:rPr>
        <w:t>2020</w:t>
      </w:r>
      <w:r>
        <w:rPr>
          <w:color w:val="000000"/>
          <w:spacing w:val="0"/>
          <w:w w:val="100"/>
          <w:position w:val="0"/>
        </w:rPr>
        <w:t>年下半年，国内疫情基本得到控制，酒旅行 业呈现出后疫情时代的缓慢回升的发展态势，但海外疫情的持续爆发，使公司海外业务的开展受到短期阻 碍，公司的海外业务推广及商业沟通等或会延期，公司既定海外实施的具体商业计划或将更改。</w:t>
      </w:r>
    </w:p>
    <w:p>
      <w:pPr>
        <w:pStyle w:val="Style35"/>
        <w:keepNext w:val="0"/>
        <w:keepLines w:val="0"/>
        <w:widowControl w:val="0"/>
        <w:shd w:val="clear" w:color="auto" w:fill="auto"/>
        <w:bidi w:val="0"/>
        <w:spacing w:before="0" w:after="720" w:line="312" w:lineRule="exact"/>
        <w:ind w:left="0" w:right="0" w:firstLine="440"/>
        <w:jc w:val="both"/>
      </w:pPr>
      <w:r>
        <w:rPr>
          <w:color w:val="000000"/>
          <w:spacing w:val="0"/>
          <w:w w:val="100"/>
          <w:position w:val="0"/>
        </w:rPr>
        <w:t>应对措施：为了应对客户及公司共同面临的疫情影响，公司坚持在疫情期间做好内外兼修，首先公司 在严格遵守政府监管部门对疫情防控的指导政策的前提下，积极合理安排复工复产，做好与客户的沟通协 调工作，与客户共同商讨应对疫情的有效措施，帮助客户拓展新业务，调整经营策略以提高竞争力；其次, 公司根据自身实际情况采取措施降低企业成本，积极做好资金流动性安排以应对疫情风险；同时公司仍然 将加快研发创新速度作为首要任务；最后，面对海外疫情的影响，公司及时积极采取措施变更公司商业计 划，发挥研发创新、品牌团队及客户资源等优势，紧跟市场和客户需求，及时调整经营策略，将国际化产 品推广或落地的重点区域调整为中国区市场，力争将疫情的影响降到最低。</w:t>
      </w:r>
    </w:p>
    <w:p>
      <w:pPr>
        <w:pStyle w:val="Style24"/>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r>
        <w:rPr>
          <w:color w:val="000000"/>
          <w:spacing w:val="0"/>
          <w:w w:val="100"/>
          <w:position w:val="0"/>
        </w:rPr>
        <w:t>十、接待调研、沟通、采访等活动</w:t>
      </w:r>
      <w:bookmarkEnd w:id="384"/>
      <w:bookmarkEnd w:id="385"/>
      <w:bookmarkEnd w:id="386"/>
    </w:p>
    <w:p>
      <w:pPr>
        <w:pStyle w:val="Style32"/>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、报告期内接待调研、沟通、采访等活动登记表</w:t>
      </w:r>
      <w:bookmarkEnd w:id="387"/>
      <w:bookmarkEnd w:id="388"/>
      <w:bookmarkEnd w:id="39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1416"/>
        <w:gridCol w:w="854"/>
        <w:gridCol w:w="989"/>
        <w:gridCol w:w="1133"/>
        <w:gridCol w:w="994"/>
        <w:gridCol w:w="3341"/>
      </w:tblGrid>
      <w:tr>
        <w:trPr>
          <w:trHeight w:val="1042"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接待时间</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接待方式</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接待对象类 型</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谈论的主要 内容及提供 的资料</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bl>
    <w:p>
      <w:pPr>
        <w:spacing w:lineRule="exact" w:line="1"/>
        <w:rPr>
          <w:sz w:val="2"/>
          <w:szCs w:val="2"/>
        </w:rPr>
      </w:pPr>
      <w:r>
        <w:br w:type="page"/>
      </w:r>
    </w:p>
    <w:tbl>
      <w:tblPr>
        <w:tblOverlap w:val="never"/>
        <w:jc w:val="center"/>
        <w:tblLayout w:type="fixed"/>
      </w:tblPr>
      <w:tblGrid>
        <w:gridCol w:w="859"/>
        <w:gridCol w:w="1416"/>
        <w:gridCol w:w="854"/>
        <w:gridCol w:w="989"/>
        <w:gridCol w:w="1133"/>
        <w:gridCol w:w="994"/>
        <w:gridCol w:w="3341"/>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日投资者关系活动记录表》</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日投资者关系活动记录表》</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详见投资者关系互动平台 </w:t>
            </w:r>
            <w:r>
              <w:fldChar w:fldCharType="begin"/>
            </w:r>
            <w:r>
              <w:rPr/>
              <w:instrText> HYPERLINK "http://irm.cninfo.com.cn/ircs/ssgs/companyIr" </w:instrText>
            </w:r>
            <w:r>
              <w:fldChar w:fldCharType="separate"/>
            </w:r>
            <w:r>
              <w:rPr>
                <w:rFonts w:ascii="Times New Roman" w:eastAsia="Times New Roman" w:hAnsi="Times New Roman" w:cs="Times New Roman"/>
                <w:color w:val="000000"/>
                <w:spacing w:val="0"/>
                <w:w w:val="100"/>
                <w:position w:val="0"/>
                <w:sz w:val="18"/>
                <w:szCs w:val="18"/>
              </w:rPr>
              <w:t>http://irm.cninfo.com.cn/ircs/ssgs/companyIr</w:t>
            </w:r>
            <w:r>
              <w:fldChar w:fldCharType="end"/>
            </w:r>
            <w:r>
              <w:rPr>
                <w:rFonts w:ascii="Times New Roman" w:eastAsia="Times New Roman" w:hAnsi="Times New Roman" w:cs="Times New Roman"/>
                <w:color w:val="000000"/>
                <w:spacing w:val="0"/>
                <w:w w:val="100"/>
                <w:position w:val="0"/>
                <w:sz w:val="18"/>
                <w:szCs w:val="18"/>
              </w:rPr>
              <w:t xml:space="preserve">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公司业务发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详见投资者关系互动平台</w:t>
            </w:r>
          </w:p>
        </w:tc>
      </w:tr>
    </w:tbl>
    <w:p>
      <w:pPr>
        <w:spacing w:lineRule="exact" w:line="1"/>
        <w:rPr>
          <w:sz w:val="2"/>
          <w:szCs w:val="2"/>
        </w:rPr>
      </w:pPr>
      <w:r>
        <w:br w:type="page"/>
      </w:r>
    </w:p>
    <w:tbl>
      <w:tblPr>
        <w:tblOverlap w:val="never"/>
        <w:jc w:val="center"/>
        <w:tblLayout w:type="fixed"/>
      </w:tblPr>
      <w:tblGrid>
        <w:gridCol w:w="859"/>
        <w:gridCol w:w="1416"/>
        <w:gridCol w:w="854"/>
        <w:gridCol w:w="989"/>
        <w:gridCol w:w="1133"/>
        <w:gridCol w:w="994"/>
        <w:gridCol w:w="3341"/>
      </w:tblGrid>
      <w:tr>
        <w:trPr>
          <w:trHeight w:val="9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日投资者关系活动记录表》</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日投资者关系活动记录表》</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北京金融街丽思 卡尔顿酒店（西城 区金城坊东街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详见投资者关系互动平台 </w:t>
            </w:r>
            <w:r>
              <w:fldChar w:fldCharType="begin"/>
            </w:r>
            <w:r>
              <w:rPr/>
              <w:instrText> HYPERLINK "http://irm.cninfo.com.cn/ircs/ssgs/companyIr" </w:instrText>
            </w:r>
            <w:r>
              <w:fldChar w:fldCharType="separate"/>
            </w:r>
            <w:r>
              <w:rPr>
                <w:rFonts w:ascii="Times New Roman" w:eastAsia="Times New Roman" w:hAnsi="Times New Roman" w:cs="Times New Roman"/>
                <w:color w:val="000000"/>
                <w:spacing w:val="0"/>
                <w:w w:val="100"/>
                <w:position w:val="0"/>
                <w:sz w:val="18"/>
                <w:szCs w:val="18"/>
              </w:rPr>
              <w:t>http://irm.cninfo.com.cn/ircs/ssgs/companyIr</w:t>
            </w:r>
            <w:r>
              <w:fldChar w:fldCharType="end"/>
            </w:r>
            <w:r>
              <w:rPr>
                <w:rFonts w:ascii="Times New Roman" w:eastAsia="Times New Roman" w:hAnsi="Times New Roman" w:cs="Times New Roman"/>
                <w:color w:val="000000"/>
                <w:spacing w:val="0"/>
                <w:w w:val="100"/>
                <w:position w:val="0"/>
                <w:sz w:val="18"/>
                <w:szCs w:val="18"/>
              </w:rPr>
              <w:t xml:space="preserve">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中国金融信息中 心（上海市浦东新 区东园路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北京嘉里大酒店</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（北京市朝阳区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w:t>
            </w:r>
          </w:p>
        </w:tc>
      </w:tr>
    </w:tbl>
    <w:p>
      <w:pPr>
        <w:spacing w:lineRule="exact" w:line="1"/>
        <w:rPr>
          <w:sz w:val="2"/>
          <w:szCs w:val="2"/>
        </w:rPr>
      </w:pPr>
      <w:r>
        <w:br w:type="page"/>
      </w:r>
    </w:p>
    <w:tbl>
      <w:tblPr>
        <w:tblOverlap w:val="never"/>
        <w:jc w:val="center"/>
        <w:tblLayout w:type="fixed"/>
      </w:tblPr>
      <w:tblGrid>
        <w:gridCol w:w="859"/>
        <w:gridCol w:w="1416"/>
        <w:gridCol w:w="854"/>
        <w:gridCol w:w="989"/>
        <w:gridCol w:w="1133"/>
        <w:gridCol w:w="994"/>
        <w:gridCol w:w="334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光华路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mes.do?stockcode=002153 </w:t>
            </w:r>
            <w:r>
              <w:rPr>
                <w:color w:val="000000"/>
                <w:spacing w:val="0"/>
                <w:w w:val="100"/>
                <w:position w:val="0"/>
                <w:sz w:val="17"/>
                <w:szCs w:val="17"/>
              </w:rPr>
              <w:t>的《石基信息：</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详见投资者关系互动平台 </w:t>
            </w:r>
            <w:r>
              <w:fldChar w:fldCharType="begin"/>
            </w:r>
            <w:r>
              <w:rPr/>
              <w:instrText> HYPERLINK "http://irm.cninfo.com.cn/ircs/ssgs/companyIr" </w:instrText>
            </w:r>
            <w:r>
              <w:fldChar w:fldCharType="separate"/>
            </w:r>
            <w:r>
              <w:rPr>
                <w:rFonts w:ascii="Times New Roman" w:eastAsia="Times New Roman" w:hAnsi="Times New Roman" w:cs="Times New Roman"/>
                <w:color w:val="000000"/>
                <w:spacing w:val="0"/>
                <w:w w:val="100"/>
                <w:position w:val="0"/>
                <w:sz w:val="18"/>
                <w:szCs w:val="18"/>
              </w:rPr>
              <w:t>http://irm.cninfo.com.cn/ircs/ssgs/companyIr</w:t>
            </w:r>
            <w:r>
              <w:fldChar w:fldCharType="end"/>
            </w:r>
            <w:r>
              <w:rPr>
                <w:rFonts w:ascii="Times New Roman" w:eastAsia="Times New Roman" w:hAnsi="Times New Roman" w:cs="Times New Roman"/>
                <w:color w:val="000000"/>
                <w:spacing w:val="0"/>
                <w:w w:val="100"/>
                <w:position w:val="0"/>
                <w:sz w:val="18"/>
                <w:szCs w:val="18"/>
              </w:rPr>
              <w:t xml:space="preserve">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日投资者关系活动记录表》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日投资者关系活动记录表》</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日投资者关系活动记录表》</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北京市石景山区 玉泉路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号楼燕保大厦</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公司业务发 展、战略规 划等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详见投资者关系互动平台</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com.cn/irc</w:t>
            </w:r>
            <w:r>
              <w:rPr>
                <w:rFonts w:ascii="Times New Roman" w:eastAsia="Times New Roman" w:hAnsi="Times New Roman" w:cs="Times New Roman"/>
                <w:color w:val="000000"/>
                <w:spacing w:val="0"/>
                <w:w w:val="100"/>
                <w:position w:val="0"/>
                <w:sz w:val="18"/>
                <w:szCs w:val="18"/>
              </w:rPr>
              <w:t xml:space="preserve"> s/ssg s/companyIr mes.do?stockcode=002153 </w:t>
            </w:r>
            <w:r>
              <w:rPr>
                <w:color w:val="000000"/>
                <w:spacing w:val="0"/>
                <w:w w:val="100"/>
                <w:position w:val="0"/>
                <w:sz w:val="17"/>
                <w:szCs w:val="17"/>
              </w:rPr>
              <w:t xml:space="preserve">的《石基信息：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日投资者关系活动记录表》</w:t>
            </w:r>
          </w:p>
        </w:tc>
      </w:tr>
    </w:tbl>
    <w:p>
      <w:pPr>
        <w:sectPr>
          <w:headerReference w:type="default" r:id="rId11"/>
          <w:footerReference w:type="default" r:id="rId12"/>
          <w:footnotePr>
            <w:pos w:val="pageBottom"/>
            <w:numFmt w:val="decimal"/>
            <w:numRestart w:val="continuous"/>
          </w:footnotePr>
          <w:pgSz w:w="11900" w:h="16840"/>
          <w:pgMar w:top="1398" w:right="1040" w:bottom="1441" w:left="1069" w:header="0" w:footer="3" w:gutter="0"/>
          <w:cols w:space="720"/>
          <w:noEndnote/>
          <w:rtlGutter w:val="0"/>
          <w:docGrid w:linePitch="360"/>
        </w:sectPr>
      </w:pPr>
    </w:p>
    <w:p>
      <w:pPr>
        <w:pStyle w:val="Style8"/>
        <w:keepNext/>
        <w:keepLines/>
        <w:widowControl w:val="0"/>
        <w:shd w:val="clear" w:color="auto" w:fill="auto"/>
        <w:bidi w:val="0"/>
        <w:spacing w:before="520" w:after="560" w:line="240" w:lineRule="auto"/>
        <w:ind w:left="0" w:right="0" w:firstLine="0"/>
        <w:jc w:val="center"/>
      </w:pPr>
      <w:bookmarkStart w:id="391" w:name="bookmark391"/>
      <w:bookmarkStart w:id="392" w:name="bookmark392"/>
      <w:bookmarkStart w:id="393" w:name="bookmark393"/>
      <w:r>
        <w:rPr>
          <w:color w:val="000000"/>
          <w:spacing w:val="0"/>
          <w:w w:val="100"/>
          <w:position w:val="0"/>
        </w:rPr>
        <w:t>第五节重要事项</w:t>
      </w:r>
      <w:bookmarkEnd w:id="391"/>
      <w:bookmarkEnd w:id="392"/>
      <w:bookmarkEnd w:id="393"/>
    </w:p>
    <w:p>
      <w:pPr>
        <w:pStyle w:val="Style24"/>
        <w:keepNext/>
        <w:keepLines/>
        <w:widowControl w:val="0"/>
        <w:shd w:val="clear" w:color="auto" w:fill="auto"/>
        <w:bidi w:val="0"/>
        <w:spacing w:before="0" w:after="400" w:line="240" w:lineRule="auto"/>
        <w:ind w:left="0" w:right="0" w:firstLine="0"/>
        <w:jc w:val="left"/>
      </w:pPr>
      <w:bookmarkStart w:id="394" w:name="bookmark394"/>
      <w:bookmarkStart w:id="395" w:name="bookmark395"/>
      <w:bookmarkStart w:id="396" w:name="bookmark396"/>
      <w:bookmarkStart w:id="397" w:name="bookmark397"/>
      <w:bookmarkStart w:id="398" w:name="bookmark398"/>
      <w:r>
        <w:rPr>
          <w:color w:val="000000"/>
          <w:spacing w:val="0"/>
          <w:w w:val="100"/>
          <w:position w:val="0"/>
        </w:rPr>
        <w:t>一</w:t>
      </w:r>
      <w:bookmarkEnd w:id="397"/>
      <w:r>
        <w:rPr>
          <w:color w:val="000000"/>
          <w:spacing w:val="0"/>
          <w:w w:val="100"/>
          <w:position w:val="0"/>
        </w:rPr>
        <w:t>、公司普通股利润分配及资本公积金转增股本情况</w:t>
      </w:r>
      <w:bookmarkEnd w:id="395"/>
      <w:bookmarkEnd w:id="396"/>
      <w:bookmarkEnd w:id="398"/>
      <w:bookmarkEnd w:id="39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309" w:val="left"/>
        </w:tabs>
        <w:bidi w:val="0"/>
        <w:spacing w:before="0" w:after="40" w:line="317" w:lineRule="exact"/>
        <w:ind w:left="0" w:right="0" w:firstLine="0"/>
        <w:jc w:val="left"/>
      </w:pPr>
      <w:bookmarkStart w:id="399" w:name="bookmark399"/>
      <w:r>
        <w:rPr>
          <w:rFonts w:ascii="Times New Roman" w:eastAsia="Times New Roman" w:hAnsi="Times New Roman" w:cs="Times New Roman"/>
          <w:color w:val="000000"/>
          <w:spacing w:val="0"/>
          <w:w w:val="100"/>
          <w:position w:val="0"/>
        </w:rPr>
        <w:t>1</w:t>
      </w:r>
      <w:bookmarkEnd w:id="399"/>
      <w:r>
        <w:rPr>
          <w:color w:val="000000"/>
          <w:spacing w:val="0"/>
          <w:w w:val="100"/>
          <w:position w:val="0"/>
        </w:rPr>
        <w:t>、</w:t>
        <w:tab/>
        <w:t>报告期内，公司严格按照深交所相关法律、法规及《公司章程》等有关制度的规定和要求，积极做好 公司利润分配方案制定与实施工作。</w:t>
      </w:r>
    </w:p>
    <w:p>
      <w:pPr>
        <w:pStyle w:val="Style35"/>
        <w:keepNext w:val="0"/>
        <w:keepLines w:val="0"/>
        <w:widowControl w:val="0"/>
        <w:shd w:val="clear" w:color="auto" w:fill="auto"/>
        <w:bidi w:val="0"/>
        <w:spacing w:before="0" w:after="400" w:line="317" w:lineRule="exact"/>
        <w:ind w:left="0" w:right="0" w:firstLine="0"/>
        <w:jc w:val="left"/>
      </w:pPr>
      <w:bookmarkStart w:id="400" w:name="bookmark400"/>
      <w:r>
        <w:rPr>
          <w:rFonts w:ascii="Times New Roman" w:eastAsia="Times New Roman" w:hAnsi="Times New Roman" w:cs="Times New Roman"/>
          <w:color w:val="000000"/>
          <w:spacing w:val="0"/>
          <w:w w:val="100"/>
          <w:position w:val="0"/>
        </w:rPr>
        <w:t>2</w:t>
      </w:r>
      <w:bookmarkEnd w:id="400"/>
      <w:r>
        <w:rPr>
          <w:color w:val="000000"/>
          <w:spacing w:val="0"/>
          <w:w w:val="100"/>
          <w:position w:val="0"/>
        </w:rPr>
        <w:t>、 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年度利润分配方案的议案》，最终公 司以权益分派实施时确定的股权登记日总股本</w:t>
      </w:r>
      <w:r>
        <w:rPr>
          <w:rFonts w:ascii="Times New Roman" w:eastAsia="Times New Roman" w:hAnsi="Times New Roman" w:cs="Times New Roman"/>
          <w:color w:val="000000"/>
          <w:spacing w:val="0"/>
          <w:w w:val="100"/>
          <w:position w:val="0"/>
        </w:rPr>
        <w:t>1,070,744,175</w:t>
      </w:r>
      <w:r>
        <w:rPr>
          <w:color w:val="000000"/>
          <w:spacing w:val="0"/>
          <w:w w:val="100"/>
          <w:position w:val="0"/>
        </w:rPr>
        <w:t>股为基数，参照</w:t>
      </w:r>
      <w:r>
        <w:rPr>
          <w:rFonts w:ascii="Times New Roman" w:eastAsia="Times New Roman" w:hAnsi="Times New Roman" w:cs="Times New Roman"/>
          <w:color w:val="000000"/>
          <w:spacing w:val="0"/>
          <w:w w:val="100"/>
          <w:position w:val="0"/>
        </w:rPr>
        <w:t>“</w:t>
      </w:r>
      <w:r>
        <w:rPr>
          <w:color w:val="000000"/>
          <w:spacing w:val="0"/>
          <w:w w:val="100"/>
          <w:position w:val="0"/>
        </w:rPr>
        <w:t>分配比例不变，分配总额变化</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的原则向全体股东每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w:t>
      </w:r>
      <w:r>
        <w:rPr>
          <w:color w:val="000000"/>
          <w:spacing w:val="0"/>
          <w:w w:val="100"/>
          <w:position w:val="0"/>
        </w:rPr>
        <w:t>元（含税），共计派发</w:t>
      </w:r>
      <w:r>
        <w:rPr>
          <w:rFonts w:ascii="Times New Roman" w:eastAsia="Times New Roman" w:hAnsi="Times New Roman" w:cs="Times New Roman"/>
          <w:color w:val="000000"/>
          <w:spacing w:val="0"/>
          <w:w w:val="100"/>
          <w:position w:val="0"/>
        </w:rPr>
        <w:t>42,829,767.00</w:t>
      </w:r>
      <w:r>
        <w:rPr>
          <w:color w:val="000000"/>
          <w:spacing w:val="0"/>
          <w:w w:val="100"/>
          <w:position w:val="0"/>
        </w:rPr>
        <w:t>元，剩余未分配利润结转 至下一年度。该利润分配方案报告期内已经实施完毕。</w:t>
      </w:r>
    </w:p>
    <w:tbl>
      <w:tblPr>
        <w:tblOverlap w:val="never"/>
        <w:jc w:val="center"/>
        <w:tblLayout w:type="fixed"/>
      </w:tblPr>
      <w:tblGrid>
        <w:gridCol w:w="6528"/>
        <w:gridCol w:w="3058"/>
      </w:tblGrid>
      <w:tr>
        <w:trPr>
          <w:trHeight w:val="408" w:hRule="exact"/>
        </w:trPr>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widowControl w:val="0"/>
        <w:spacing w:after="39" w:line="1" w:lineRule="exact"/>
      </w:pPr>
    </w:p>
    <w:p>
      <w:pPr>
        <w:pStyle w:val="Style35"/>
        <w:keepNext w:val="0"/>
        <w:keepLines w:val="0"/>
        <w:widowControl w:val="0"/>
        <w:shd w:val="clear" w:color="auto" w:fill="auto"/>
        <w:bidi w:val="0"/>
        <w:spacing w:before="0" w:after="40" w:line="314" w:lineRule="exact"/>
        <w:ind w:left="0" w:right="0" w:firstLine="0"/>
        <w:jc w:val="left"/>
      </w:pPr>
      <w:bookmarkStart w:id="401" w:name="bookmark401"/>
      <w:r>
        <w:rPr>
          <w:color w:val="000000"/>
          <w:spacing w:val="0"/>
          <w:w w:val="100"/>
          <w:position w:val="0"/>
        </w:rPr>
        <w:t>（</w:t>
      </w:r>
      <w:bookmarkEnd w:id="401"/>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1,066,903,353</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元（含税）。公司不送红股，不以资本公积转增股本。自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年年度权益分派权益登记日，公司股本总额因股权激励对象行权由</w:t>
      </w:r>
      <w:r>
        <w:rPr>
          <w:rFonts w:ascii="Times New Roman" w:eastAsia="Times New Roman" w:hAnsi="Times New Roman" w:cs="Times New Roman"/>
          <w:color w:val="000000"/>
          <w:spacing w:val="0"/>
          <w:w w:val="100"/>
          <w:position w:val="0"/>
        </w:rPr>
        <w:t>1,066,903,353</w:t>
      </w:r>
      <w:r>
        <w:rPr>
          <w:color w:val="000000"/>
          <w:spacing w:val="0"/>
          <w:w w:val="100"/>
          <w:position w:val="0"/>
        </w:rPr>
        <w:t>股增加至</w:t>
      </w:r>
      <w:r>
        <w:rPr>
          <w:rFonts w:ascii="Times New Roman" w:eastAsia="Times New Roman" w:hAnsi="Times New Roman" w:cs="Times New Roman"/>
          <w:color w:val="000000"/>
          <w:spacing w:val="0"/>
          <w:w w:val="100"/>
          <w:position w:val="0"/>
        </w:rPr>
        <w:t>1,067,639,624</w:t>
      </w:r>
      <w:r>
        <w:rPr>
          <w:color w:val="000000"/>
          <w:spacing w:val="0"/>
          <w:w w:val="100"/>
          <w:position w:val="0"/>
        </w:rPr>
        <w:t>股。 根据公司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年年度股东大会审议确定的</w:t>
      </w:r>
      <w:r>
        <w:rPr>
          <w:rFonts w:ascii="Times New Roman" w:eastAsia="Times New Roman" w:hAnsi="Times New Roman" w:cs="Times New Roman"/>
          <w:color w:val="000000"/>
          <w:spacing w:val="0"/>
          <w:w w:val="100"/>
          <w:position w:val="0"/>
        </w:rPr>
        <w:t>“</w:t>
      </w:r>
      <w:r>
        <w:rPr>
          <w:color w:val="000000"/>
          <w:spacing w:val="0"/>
          <w:w w:val="100"/>
          <w:position w:val="0"/>
        </w:rPr>
        <w:t>现金分红总额''固定不变的原则，公司确定以</w:t>
      </w:r>
      <w:r>
        <w:rPr>
          <w:rFonts w:ascii="Times New Roman" w:eastAsia="Times New Roman" w:hAnsi="Times New Roman" w:cs="Times New Roman"/>
          <w:color w:val="000000"/>
          <w:spacing w:val="0"/>
          <w:w w:val="100"/>
          <w:position w:val="0"/>
        </w:rPr>
        <w:t>2018</w:t>
      </w:r>
      <w:r>
        <w:rPr>
          <w:color w:val="000000"/>
          <w:spacing w:val="0"/>
          <w:w w:val="100"/>
          <w:position w:val="0"/>
        </w:rPr>
        <w:t>年度权益分派 实施期间最新总股本</w:t>
      </w:r>
      <w:r>
        <w:rPr>
          <w:rFonts w:ascii="Times New Roman" w:eastAsia="Times New Roman" w:hAnsi="Times New Roman" w:cs="Times New Roman"/>
          <w:color w:val="000000"/>
          <w:spacing w:val="0"/>
          <w:w w:val="100"/>
          <w:position w:val="0"/>
        </w:rPr>
        <w:t>1,067,639,624</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.999310</w:t>
      </w:r>
      <w:r>
        <w:rPr>
          <w:color w:val="000000"/>
          <w:spacing w:val="0"/>
          <w:w w:val="100"/>
          <w:position w:val="0"/>
        </w:rPr>
        <w:t>元（含税）， 共计派发</w:t>
      </w:r>
      <w:r>
        <w:rPr>
          <w:rFonts w:ascii="Times New Roman" w:eastAsia="Times New Roman" w:hAnsi="Times New Roman" w:cs="Times New Roman"/>
          <w:color w:val="000000"/>
          <w:spacing w:val="0"/>
          <w:w w:val="100"/>
          <w:position w:val="0"/>
        </w:rPr>
        <w:t>106,690,295.27</w:t>
      </w:r>
      <w:r>
        <w:rPr>
          <w:color w:val="000000"/>
          <w:spacing w:val="0"/>
          <w:w w:val="100"/>
          <w:position w:val="0"/>
        </w:rPr>
        <w:t>元（因派发过程中零碎金额无法实际派发，实际派发金额为</w:t>
      </w:r>
      <w:r>
        <w:rPr>
          <w:rFonts w:ascii="Times New Roman" w:eastAsia="Times New Roman" w:hAnsi="Times New Roman" w:cs="Times New Roman"/>
          <w:color w:val="000000"/>
          <w:spacing w:val="0"/>
          <w:w w:val="100"/>
          <w:position w:val="0"/>
        </w:rPr>
        <w:t>106,690,179.98</w:t>
      </w:r>
      <w:r>
        <w:rPr>
          <w:color w:val="000000"/>
          <w:spacing w:val="0"/>
          <w:w w:val="100"/>
          <w:position w:val="0"/>
        </w:rPr>
        <w:t>元）， 剩余未分配利润结转至下一年度。</w:t>
      </w:r>
    </w:p>
    <w:p>
      <w:pPr>
        <w:pStyle w:val="Style35"/>
        <w:keepNext w:val="0"/>
        <w:keepLines w:val="0"/>
        <w:widowControl w:val="0"/>
        <w:shd w:val="clear" w:color="auto" w:fill="auto"/>
        <w:tabs>
          <w:tab w:pos="549" w:val="left"/>
        </w:tabs>
        <w:bidi w:val="0"/>
        <w:spacing w:before="0" w:after="40" w:line="311" w:lineRule="exact"/>
        <w:ind w:left="0" w:right="0" w:firstLine="0"/>
        <w:jc w:val="left"/>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年度利润分配方案：公司拟以权益分派实施时确定的股权登记日总股本为基数，参照</w:t>
      </w:r>
      <w:r>
        <w:rPr>
          <w:rFonts w:ascii="Times New Roman" w:eastAsia="Times New Roman" w:hAnsi="Times New Roman" w:cs="Times New Roman"/>
          <w:color w:val="000000"/>
          <w:spacing w:val="0"/>
          <w:w w:val="100"/>
          <w:position w:val="0"/>
        </w:rPr>
        <w:t>“</w:t>
      </w:r>
      <w:r>
        <w:rPr>
          <w:color w:val="000000"/>
          <w:spacing w:val="0"/>
          <w:w w:val="100"/>
          <w:position w:val="0"/>
        </w:rPr>
        <w:t>分配比例 不变，分配总额变化</w:t>
      </w:r>
      <w:r>
        <w:rPr>
          <w:rFonts w:ascii="Times New Roman" w:eastAsia="Times New Roman" w:hAnsi="Times New Roman" w:cs="Times New Roman"/>
          <w:color w:val="000000"/>
          <w:spacing w:val="0"/>
          <w:w w:val="100"/>
          <w:position w:val="0"/>
        </w:rPr>
        <w:t>''</w:t>
      </w:r>
      <w:r>
        <w:rPr>
          <w:color w:val="000000"/>
          <w:spacing w:val="0"/>
          <w:w w:val="100"/>
          <w:position w:val="0"/>
        </w:rPr>
        <w:t>的原则向全体股东每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积金转增股本，剩余未分配利润结转至下一年度。根据公司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年年度股东大会审议确定的</w:t>
      </w:r>
      <w:r>
        <w:rPr>
          <w:rFonts w:ascii="Times New Roman" w:eastAsia="Times New Roman" w:hAnsi="Times New Roman" w:cs="Times New Roman"/>
          <w:color w:val="000000"/>
          <w:spacing w:val="0"/>
          <w:w w:val="100"/>
          <w:position w:val="0"/>
        </w:rPr>
        <w:t>“</w:t>
      </w:r>
      <w:r>
        <w:rPr>
          <w:color w:val="000000"/>
          <w:spacing w:val="0"/>
          <w:w w:val="100"/>
          <w:position w:val="0"/>
        </w:rPr>
        <w:t>分配比例不 变，分配总额变化</w:t>
      </w:r>
      <w:r>
        <w:rPr>
          <w:rFonts w:ascii="Times New Roman" w:eastAsia="Times New Roman" w:hAnsi="Times New Roman" w:cs="Times New Roman"/>
          <w:color w:val="000000"/>
          <w:spacing w:val="0"/>
          <w:w w:val="100"/>
          <w:position w:val="0"/>
        </w:rPr>
        <w:t>''</w:t>
      </w:r>
      <w:r>
        <w:rPr>
          <w:color w:val="000000"/>
          <w:spacing w:val="0"/>
          <w:w w:val="100"/>
          <w:position w:val="0"/>
        </w:rPr>
        <w:t>的原则，公司确定以权益分派实施期间最新总股本</w:t>
      </w:r>
      <w:r>
        <w:rPr>
          <w:rFonts w:ascii="Times New Roman" w:eastAsia="Times New Roman" w:hAnsi="Times New Roman" w:cs="Times New Roman"/>
          <w:color w:val="000000"/>
          <w:spacing w:val="0"/>
          <w:w w:val="100"/>
          <w:position w:val="0"/>
        </w:rPr>
        <w:t>1,070,744,175</w:t>
      </w:r>
      <w:r>
        <w:rPr>
          <w:color w:val="000000"/>
          <w:spacing w:val="0"/>
          <w:w w:val="100"/>
          <w:position w:val="0"/>
        </w:rPr>
        <w:t>股为基数，向全体股 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w:t>
      </w:r>
      <w:r>
        <w:rPr>
          <w:color w:val="000000"/>
          <w:spacing w:val="0"/>
          <w:w w:val="100"/>
          <w:position w:val="0"/>
        </w:rPr>
        <w:t>元（含税），共计派发</w:t>
      </w:r>
      <w:r>
        <w:rPr>
          <w:rFonts w:ascii="Times New Roman" w:eastAsia="Times New Roman" w:hAnsi="Times New Roman" w:cs="Times New Roman"/>
          <w:color w:val="000000"/>
          <w:spacing w:val="0"/>
          <w:w w:val="100"/>
          <w:position w:val="0"/>
        </w:rPr>
        <w:t>42,829,767.00</w:t>
      </w:r>
      <w:r>
        <w:rPr>
          <w:color w:val="000000"/>
          <w:spacing w:val="0"/>
          <w:w w:val="100"/>
          <w:position w:val="0"/>
        </w:rPr>
        <w:t>元。</w:t>
      </w:r>
    </w:p>
    <w:p>
      <w:pPr>
        <w:pStyle w:val="Style35"/>
        <w:keepNext w:val="0"/>
        <w:keepLines w:val="0"/>
        <w:widowControl w:val="0"/>
        <w:shd w:val="clear" w:color="auto" w:fill="auto"/>
        <w:tabs>
          <w:tab w:pos="549" w:val="left"/>
        </w:tabs>
        <w:bidi w:val="0"/>
        <w:spacing w:before="0" w:after="480" w:line="312" w:lineRule="exact"/>
        <w:ind w:left="0" w:right="0" w:firstLine="0"/>
        <w:jc w:val="left"/>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年度利润分配方案：公司拟以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1,071,112,183</w:t>
      </w:r>
      <w:r>
        <w:rPr>
          <w:color w:val="000000"/>
          <w:spacing w:val="0"/>
          <w:w w:val="100"/>
          <w:position w:val="0"/>
        </w:rPr>
        <w:t>为基数，向全体股东按每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w:t>
      </w:r>
      <w:r>
        <w:rPr>
          <w:color w:val="000000"/>
          <w:spacing w:val="0"/>
          <w:w w:val="100"/>
          <w:position w:val="0"/>
        </w:rPr>
        <w:t>元（含税），共计派发</w:t>
      </w:r>
      <w:r>
        <w:rPr>
          <w:rFonts w:ascii="Times New Roman" w:eastAsia="Times New Roman" w:hAnsi="Times New Roman" w:cs="Times New Roman"/>
          <w:color w:val="000000"/>
          <w:spacing w:val="0"/>
          <w:w w:val="100"/>
          <w:position w:val="0"/>
        </w:rPr>
        <w:t>42,844,487.32</w:t>
      </w:r>
      <w:r>
        <w:rPr>
          <w:color w:val="000000"/>
          <w:spacing w:val="0"/>
          <w:w w:val="100"/>
          <w:position w:val="0"/>
        </w:rPr>
        <w:t>元，剩余未分配利润结转至下一年度；同时 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股，共计转增股份</w:t>
      </w:r>
      <w:r>
        <w:rPr>
          <w:rFonts w:ascii="Times New Roman" w:eastAsia="Times New Roman" w:hAnsi="Times New Roman" w:cs="Times New Roman"/>
          <w:color w:val="000000"/>
          <w:spacing w:val="0"/>
          <w:w w:val="100"/>
          <w:position w:val="0"/>
        </w:rPr>
        <w:t>428,444,873</w:t>
      </w:r>
      <w:r>
        <w:rPr>
          <w:color w:val="000000"/>
          <w:spacing w:val="0"/>
          <w:w w:val="100"/>
          <w:position w:val="0"/>
        </w:rPr>
        <w:t>股。此项利润分配方案需 提交公司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公司近三年（包括本报告期）普通股现金分红情况表</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现金分红金额</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140"/>
              <w:jc w:val="left"/>
              <w:rPr>
                <w:sz w:val="17"/>
                <w:szCs w:val="17"/>
              </w:rPr>
            </w:pPr>
            <w:r>
              <w:rPr>
                <w:color w:val="000000"/>
                <w:spacing w:val="0"/>
                <w:w w:val="100"/>
                <w:position w:val="0"/>
                <w:sz w:val="17"/>
                <w:szCs w:val="17"/>
              </w:rPr>
              <w:t>以其他方式</w:t>
            </w:r>
          </w:p>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现金分红总额</w:t>
            </w:r>
          </w:p>
          <w:p>
            <w:pPr>
              <w:pStyle w:val="Style2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42,844,487.32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-67,580,013.80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42,844,487.32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42,829,767.00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368,017,553.68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42,829,767.00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106,690,179.98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463,482,459.69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106,690,179.98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、本报告期利润分配及资本公积金转增股本情况</w:t>
      </w:r>
      <w:bookmarkEnd w:id="404"/>
      <w:bookmarkEnd w:id="405"/>
      <w:bookmarkEnd w:id="40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546"/>
        <w:gridCol w:w="504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1,071,112,183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42,844,487.32</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2,920,554,602.30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2016"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经信永中和会计师事务所（特殊普通合伙）审计，公司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年度归属于母公司股东净利润为</w:t>
            </w:r>
            <w:r>
              <w:rPr>
                <w:rFonts w:ascii="Times New Roman" w:eastAsia="Times New Roman" w:hAnsi="Times New Roman" w:cs="Times New Roman"/>
                <w:color w:val="000000"/>
                <w:spacing w:val="0"/>
                <w:w w:val="100"/>
                <w:position w:val="0"/>
                <w:sz w:val="18"/>
                <w:szCs w:val="18"/>
              </w:rPr>
              <w:t>-67,580,013.80</w:t>
            </w:r>
            <w:r>
              <w:rPr>
                <w:color w:val="000000"/>
                <w:spacing w:val="0"/>
                <w:w w:val="100"/>
                <w:position w:val="0"/>
                <w:sz w:val="17"/>
                <w:szCs w:val="17"/>
              </w:rPr>
              <w:t>元，加上年初 未分配利润</w:t>
            </w:r>
            <w:r>
              <w:rPr>
                <w:rFonts w:ascii="Times New Roman" w:eastAsia="Times New Roman" w:hAnsi="Times New Roman" w:cs="Times New Roman"/>
                <w:color w:val="000000"/>
                <w:spacing w:val="0"/>
                <w:w w:val="100"/>
                <w:position w:val="0"/>
                <w:sz w:val="18"/>
                <w:szCs w:val="18"/>
              </w:rPr>
              <w:t>3,048,666,428.87</w:t>
            </w:r>
            <w:r>
              <w:rPr>
                <w:color w:val="000000"/>
                <w:spacing w:val="0"/>
                <w:w w:val="100"/>
                <w:position w:val="0"/>
                <w:sz w:val="17"/>
                <w:szCs w:val="17"/>
              </w:rPr>
              <w:t>元，扣除支付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年度股东现金红利</w:t>
            </w:r>
            <w:r>
              <w:rPr>
                <w:rFonts w:ascii="Times New Roman" w:eastAsia="Times New Roman" w:hAnsi="Times New Roman" w:cs="Times New Roman"/>
                <w:color w:val="000000"/>
                <w:spacing w:val="0"/>
                <w:w w:val="100"/>
                <w:position w:val="0"/>
                <w:sz w:val="18"/>
                <w:szCs w:val="18"/>
              </w:rPr>
              <w:t>42,829,767.00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年度提取的盈余公积</w:t>
            </w:r>
            <w:r>
              <w:rPr>
                <w:rFonts w:ascii="Times New Roman" w:eastAsia="Times New Roman" w:hAnsi="Times New Roman" w:cs="Times New Roman"/>
                <w:color w:val="000000"/>
                <w:spacing w:val="0"/>
                <w:w w:val="100"/>
                <w:position w:val="0"/>
                <w:sz w:val="18"/>
                <w:szCs w:val="18"/>
              </w:rPr>
              <w:t xml:space="preserve">17,702,045.77 </w:t>
            </w:r>
            <w:r>
              <w:rPr>
                <w:color w:val="000000"/>
                <w:spacing w:val="0"/>
                <w:w w:val="100"/>
                <w:position w:val="0"/>
                <w:sz w:val="17"/>
                <w:szCs w:val="17"/>
              </w:rPr>
              <w:t>元，加之其他调整减少的留存收益</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年度可供全体股东分配的利润为</w:t>
            </w:r>
            <w:r>
              <w:rPr>
                <w:rFonts w:ascii="Times New Roman" w:eastAsia="Times New Roman" w:hAnsi="Times New Roman" w:cs="Times New Roman"/>
                <w:color w:val="000000"/>
                <w:spacing w:val="0"/>
                <w:w w:val="100"/>
                <w:position w:val="0"/>
                <w:sz w:val="18"/>
                <w:szCs w:val="18"/>
              </w:rPr>
              <w:t>2,920,554,602.30</w:t>
            </w:r>
            <w:r>
              <w:rPr>
                <w:color w:val="000000"/>
                <w:spacing w:val="0"/>
                <w:w w:val="100"/>
                <w:position w:val="0"/>
                <w:sz w:val="17"/>
                <w:szCs w:val="17"/>
              </w:rPr>
              <w:t>元</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公司拟以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日总股本</w:t>
            </w:r>
            <w:r>
              <w:rPr>
                <w:rFonts w:ascii="Times New Roman" w:eastAsia="Times New Roman" w:hAnsi="Times New Roman" w:cs="Times New Roman"/>
                <w:color w:val="000000"/>
                <w:spacing w:val="0"/>
                <w:w w:val="100"/>
                <w:position w:val="0"/>
                <w:sz w:val="18"/>
                <w:szCs w:val="18"/>
              </w:rPr>
              <w:t>1,071,112,183</w:t>
            </w:r>
            <w:r>
              <w:rPr>
                <w:color w:val="000000"/>
                <w:spacing w:val="0"/>
                <w:w w:val="100"/>
                <w:position w:val="0"/>
                <w:sz w:val="17"/>
                <w:szCs w:val="17"/>
              </w:rPr>
              <w:t>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股派发现金股利人民币</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元（含税），共 计派发</w:t>
            </w:r>
            <w:r>
              <w:rPr>
                <w:rFonts w:ascii="Times New Roman" w:eastAsia="Times New Roman" w:hAnsi="Times New Roman" w:cs="Times New Roman"/>
                <w:color w:val="000000"/>
                <w:spacing w:val="0"/>
                <w:w w:val="100"/>
                <w:position w:val="0"/>
                <w:sz w:val="18"/>
                <w:szCs w:val="18"/>
              </w:rPr>
              <w:t>42,844,487.32</w:t>
            </w:r>
            <w:r>
              <w:rPr>
                <w:color w:val="000000"/>
                <w:spacing w:val="0"/>
                <w:w w:val="100"/>
                <w:position w:val="0"/>
                <w:sz w:val="17"/>
                <w:szCs w:val="17"/>
              </w:rPr>
              <w:t>元，剩余未分配利润结转至下一年度；同时以资本公积金转增股本，向全体股东每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股， 共计转增股份</w:t>
            </w:r>
            <w:r>
              <w:rPr>
                <w:rFonts w:ascii="Times New Roman" w:eastAsia="Times New Roman" w:hAnsi="Times New Roman" w:cs="Times New Roman"/>
                <w:color w:val="000000"/>
                <w:spacing w:val="0"/>
                <w:w w:val="100"/>
                <w:position w:val="0"/>
                <w:sz w:val="18"/>
                <w:szCs w:val="18"/>
              </w:rPr>
              <w:t>428,444,873</w:t>
            </w:r>
            <w:r>
              <w:rPr>
                <w:color w:val="000000"/>
                <w:spacing w:val="0"/>
                <w:w w:val="100"/>
                <w:position w:val="0"/>
                <w:sz w:val="17"/>
                <w:szCs w:val="17"/>
              </w:rPr>
              <w:t>股。此项利润分配方案需提交公司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年年度股东大会审议。</w:t>
            </w:r>
          </w:p>
        </w:tc>
      </w:tr>
    </w:tbl>
    <w:p>
      <w:pPr>
        <w:spacing w:lineRule="exact" w:line="1"/>
        <w:rPr>
          <w:sz w:val="2"/>
          <w:szCs w:val="2"/>
        </w:rPr>
      </w:pPr>
      <w:r>
        <w:br w:type="page"/>
      </w:r>
    </w:p>
    <w:p>
      <w:pPr>
        <w:pStyle w:val="Style24"/>
        <w:keepNext/>
        <w:keepLines/>
        <w:widowControl w:val="0"/>
        <w:shd w:val="clear" w:color="auto" w:fill="auto"/>
        <w:bidi w:val="0"/>
        <w:spacing w:before="0" w:after="26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三</w:t>
      </w:r>
      <w:bookmarkEnd w:id="410"/>
      <w:r>
        <w:rPr>
          <w:color w:val="000000"/>
          <w:spacing w:val="0"/>
          <w:w w:val="100"/>
          <w:position w:val="0"/>
        </w:rPr>
        <w:t>、承诺事项履行情况</w:t>
      </w:r>
      <w:bookmarkEnd w:id="408"/>
      <w:bookmarkEnd w:id="409"/>
      <w:bookmarkEnd w:id="411"/>
    </w:p>
    <w:p>
      <w:pPr>
        <w:pStyle w:val="Style32"/>
        <w:keepNext/>
        <w:keepLines/>
        <w:widowControl w:val="0"/>
        <w:shd w:val="clear" w:color="auto" w:fill="auto"/>
        <w:bidi w:val="0"/>
        <w:spacing w:before="0" w:line="326" w:lineRule="exact"/>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、公司实际控制人、股东、关联方、收购人以及公司等承诺相关方在报告期内履行完毕及截至报告期末 尚未履行完毕的承诺事项</w:t>
      </w:r>
      <w:bookmarkEnd w:id="412"/>
      <w:bookmarkEnd w:id="413"/>
      <w:bookmarkEnd w:id="41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994"/>
        <w:gridCol w:w="850"/>
        <w:gridCol w:w="2952"/>
        <w:gridCol w:w="734"/>
        <w:gridCol w:w="850"/>
        <w:gridCol w:w="1781"/>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承诺时 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2894"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资产重组时所作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公司董事 长、控股股 东李仲初先 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如由于中电器件位于北京市海淀区复 兴路甲</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7"/>
                <w:szCs w:val="17"/>
              </w:rPr>
              <w:t>号的房产以及北京市朝阳 区新源街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号楼院的土地和房产权 属证明在预期办理期限内未能办理完 毕，或由于与上述房产相关的任何潜 在债权债务关系或任何形式的纠纷在 本次交易完成后对中电器件或石基信 息造成任何损失，本人愿意以现金补 偿的方式承担补偿责任。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日，中电器件位于北京 市海淀区复兴路甲</w:t>
            </w:r>
            <w:r>
              <w:rPr>
                <w:rFonts w:ascii="Times New Roman" w:eastAsia="Times New Roman" w:hAnsi="Times New Roman" w:cs="Times New Roman"/>
                <w:color w:val="000000"/>
                <w:spacing w:val="0"/>
                <w:w w:val="100"/>
                <w:position w:val="0"/>
                <w:sz w:val="18"/>
                <w:szCs w:val="18"/>
              </w:rPr>
              <w:t xml:space="preserve">65 </w:t>
            </w:r>
            <w:r>
              <w:rPr>
                <w:color w:val="000000"/>
                <w:spacing w:val="0"/>
                <w:w w:val="100"/>
                <w:position w:val="0"/>
                <w:sz w:val="17"/>
                <w:szCs w:val="17"/>
              </w:rPr>
              <w:t>号的房产已不存在瑕 疵或潜在纠纷，其余相 关土地及房产损失事 项未有发生，承诺方严 格遵守承诺但无需承 担经济补偿责任。</w:t>
            </w:r>
          </w:p>
        </w:tc>
      </w:tr>
      <w:tr>
        <w:trPr>
          <w:trHeight w:val="2587"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公司董事 长、控股股 东李仲初先 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如未来中国电子器件工业有限公司或 其子公司中国电子器件工业海南有限 公司因香港精密模具有限公司</w:t>
            </w:r>
          </w:p>
          <w:p>
            <w:pPr>
              <w:pStyle w:val="Style20"/>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KINGSWELL MOULDS</w:t>
            </w:r>
          </w:p>
          <w:p>
            <w:pPr>
              <w:pStyle w:val="Style20"/>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LIMITED</w:t>
            </w:r>
            <w:r>
              <w:rPr>
                <w:color w:val="000000"/>
                <w:spacing w:val="0"/>
                <w:w w:val="100"/>
                <w:position w:val="0"/>
                <w:sz w:val="17"/>
                <w:szCs w:val="17"/>
              </w:rPr>
              <w:t>）</w:t>
            </w:r>
            <w:r>
              <w:rPr>
                <w:color w:val="000000"/>
                <w:spacing w:val="0"/>
                <w:w w:val="100"/>
                <w:position w:val="0"/>
                <w:sz w:val="17"/>
                <w:szCs w:val="17"/>
              </w:rPr>
              <w:t>投资主体登记与境外公司 股东登记不一致受到行政处罚或其他 损失，本人愿意以现金补偿的方式承 担补偿责任。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日，损失事项未有发 生，承诺方严格遵守承 诺但无需承担经济补 偿责任。</w:t>
            </w:r>
          </w:p>
        </w:tc>
      </w:tr>
      <w:tr>
        <w:trPr>
          <w:trHeight w:val="1651"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公司董事 长、控股股 东李仲初先 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如深圳京宝实业有限公司需承担任何 形式的负债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或有负债，对中电器件或 石基信息造成损失，本人愿意以现金 补偿的方式承担补偿责任。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日，损失事项未有发 生，承诺方严格遵守承 诺但无需承担经济补 偿责任。</w:t>
            </w:r>
          </w:p>
        </w:tc>
      </w:tr>
      <w:tr>
        <w:trPr>
          <w:trHeight w:val="2275"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首次公开发行或 再融资时所作承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发行前股 东、公司董 事长、控股 股东李仲初 先生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自本公司股票上市之日起三十六个月 内，不转让或者委托他人管理其持有 的发行人股份，也不由发行人回购其 持有的股份。三十六个月后，任职期 间每年转让的股份不得超过其所持有 本公司股份总数的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 内不转让其所持有的本公司股份。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日，股东李仲初信守承 诺，没有转让或委托他 人管理其持有的公司 股份，也没有由公司回 购该股份。</w:t>
            </w:r>
          </w:p>
        </w:tc>
      </w:tr>
      <w:tr>
        <w:trPr>
          <w:trHeight w:val="1656"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淘宝（中国） 软件有限公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股份限售 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淘宝（中国）软件有限公司认购的股 票自上市首日起六十个月内不转让， 可上市流通时间为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日（非交易日顺延）。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该承诺已经履行完毕，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日，股东淘宝（中国） 软件有限公司不存在 违反承诺的任何情形。</w:t>
            </w:r>
          </w:p>
        </w:tc>
      </w:tr>
    </w:tbl>
    <w:p>
      <w:pPr>
        <w:widowControl w:val="0"/>
        <w:spacing w:line="1" w:lineRule="exact"/>
      </w:pPr>
      <w:r>
        <w:br w:type="page"/>
      </w:r>
    </w:p>
    <w:tbl>
      <w:tblPr>
        <w:tblOverlap w:val="never"/>
        <w:jc w:val="center"/>
        <w:tblLayout w:type="fixed"/>
      </w:tblPr>
      <w:tblGrid>
        <w:gridCol w:w="1426"/>
        <w:gridCol w:w="994"/>
        <w:gridCol w:w="850"/>
        <w:gridCol w:w="2952"/>
        <w:gridCol w:w="734"/>
        <w:gridCol w:w="850"/>
        <w:gridCol w:w="1781"/>
      </w:tblGrid>
      <w:tr>
        <w:trPr>
          <w:trHeight w:val="227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所有激励对</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公司因信息披露文件中有虚假记载、 误导性陈述或者重大遗漏，导致不符 合授予权益或行使权益安排的，激励 对象应当自相关信息披露文件被确认 存在虚假记载、误导性陈述或者重大 遗漏后，将由股权激励计划所获得的 全部利益返还公司。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本报告期内，公司股权 激励计划已经终止并 完成剩余股份注销，故 该承诺已经履行完毕。 截止本报告期末</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日，承诺方 严格遵守承诺。</w:t>
            </w:r>
          </w:p>
        </w:tc>
      </w:tr>
      <w:tr>
        <w:trPr>
          <w:trHeight w:val="196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其他对公司中小 股东所作承诺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本公司主要 股东以及作 为股东的董 事、监事、 高级管理人 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承诺将不会直接或间接从事与本公司 相同、相似的业务，也不在与本公司 有相同、相似业务的其他企业任职。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日，承诺方严格遵守承 诺。</w:t>
            </w:r>
          </w:p>
        </w:tc>
      </w:tr>
      <w:tr>
        <w:trPr>
          <w:trHeight w:val="403" w:hRule="exact"/>
        </w:trPr>
        <w:tc>
          <w:tcPr>
            <w:gridSpan w:val="5"/>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13" w:hRule="exact"/>
        </w:trPr>
        <w:tc>
          <w:tcPr>
            <w:gridSpan w:val="5"/>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如承诺超期未履行完毕的，应当详细说明未完成履行的具体原因及下一步的工作计划</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widowControl w:val="0"/>
        <w:spacing w:after="259" w:line="1" w:lineRule="exact"/>
      </w:pPr>
    </w:p>
    <w:p>
      <w:pPr>
        <w:pStyle w:val="Style32"/>
        <w:keepNext/>
        <w:keepLines/>
        <w:widowControl w:val="0"/>
        <w:shd w:val="clear" w:color="auto" w:fill="auto"/>
        <w:bidi w:val="0"/>
        <w:spacing w:before="0" w:after="380" w:line="322" w:lineRule="exact"/>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、公司资产或项目存在盈利预测，且报告期仍处在盈利预测期间，公司就资产或项目达到原盈利预测及 其原因做出说明</w:t>
      </w:r>
      <w:bookmarkEnd w:id="416"/>
      <w:bookmarkEnd w:id="417"/>
      <w:bookmarkEnd w:id="419"/>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8" w:val="left"/>
        </w:tabs>
        <w:bidi w:val="0"/>
        <w:spacing w:before="0" w:after="38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四</w:t>
      </w:r>
      <w:bookmarkEnd w:id="422"/>
      <w:r>
        <w:rPr>
          <w:color w:val="000000"/>
          <w:spacing w:val="0"/>
          <w:w w:val="100"/>
          <w:position w:val="0"/>
        </w:rPr>
        <w:t>、</w:t>
        <w:tab/>
        <w:t>控股股东及其关联方对上市公司的非经营性占用资金情况</w:t>
      </w:r>
      <w:bookmarkEnd w:id="420"/>
      <w:bookmarkEnd w:id="421"/>
      <w:bookmarkEnd w:id="42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五</w:t>
      </w:r>
      <w:bookmarkEnd w:id="42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24"/>
      <w:bookmarkEnd w:id="425"/>
      <w:bookmarkEnd w:id="427"/>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六</w:t>
      </w:r>
      <w:bookmarkEnd w:id="430"/>
      <w:r>
        <w:rPr>
          <w:color w:val="000000"/>
          <w:spacing w:val="0"/>
          <w:w w:val="100"/>
          <w:position w:val="0"/>
        </w:rPr>
        <w:t>、</w:t>
        <w:tab/>
        <w:t>与上年度财务报告相比，会计政策、会计估计和核算方法发生变化的情况说明</w:t>
      </w:r>
      <w:bookmarkEnd w:id="428"/>
      <w:bookmarkEnd w:id="429"/>
      <w:bookmarkEnd w:id="431"/>
    </w:p>
    <w:p>
      <w:pPr>
        <w:pStyle w:val="Style2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0"/>
        <w:jc w:val="left"/>
        <w:rPr>
          <w:sz w:val="22"/>
          <w:szCs w:val="22"/>
        </w:rPr>
      </w:pPr>
      <w:bookmarkStart w:id="432" w:name="bookmark432"/>
      <w:r>
        <w:rPr>
          <w:rFonts w:ascii="Times New Roman" w:eastAsia="Times New Roman" w:hAnsi="Times New Roman" w:cs="Times New Roman"/>
          <w:color w:val="000000"/>
          <w:spacing w:val="0"/>
          <w:w w:val="100"/>
          <w:position w:val="0"/>
          <w:sz w:val="22"/>
          <w:szCs w:val="22"/>
        </w:rPr>
        <w:t>1</w:t>
      </w:r>
      <w:bookmarkEnd w:id="432"/>
      <w:r>
        <w:rPr>
          <w:color w:val="000000"/>
          <w:spacing w:val="0"/>
          <w:w w:val="100"/>
          <w:position w:val="0"/>
          <w:sz w:val="22"/>
          <w:szCs w:val="22"/>
        </w:rPr>
        <w:t>、重要会计政策变更</w:t>
      </w:r>
    </w:p>
    <w:tbl>
      <w:tblPr>
        <w:tblOverlap w:val="never"/>
        <w:jc w:val="center"/>
        <w:tblLayout w:type="fixed"/>
      </w:tblPr>
      <w:tblGrid>
        <w:gridCol w:w="3682"/>
        <w:gridCol w:w="1963"/>
        <w:gridCol w:w="4022"/>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会计政策变更的内容和原因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审批程序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12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日发布的《企业会计准 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color w:val="000000"/>
                <w:spacing w:val="0"/>
                <w:w w:val="100"/>
                <w:position w:val="0"/>
                <w:sz w:val="18"/>
                <w:szCs w:val="18"/>
              </w:rPr>
              <w:t>一</w:t>
            </w:r>
            <w:r>
              <w:rPr>
                <w:color w:val="000000"/>
                <w:spacing w:val="0"/>
                <w:w w:val="100"/>
                <w:position w:val="0"/>
                <w:sz w:val="17"/>
                <w:szCs w:val="17"/>
              </w:rPr>
              <w:t>收入》（财会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sz w:val="17"/>
                <w:szCs w:val="17"/>
              </w:rPr>
              <w:t xml:space="preserve">号）要求自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日起施行新收入准则。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 一次临时会议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根据新旧准则转换的衔接规定，公司自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日执行新收入准则，无需重述前期可比数据，但应 当对首次执行该准则的累积影响数调整期初留存收 益及财务报表其他相关项目金额。</w:t>
            </w:r>
          </w:p>
        </w:tc>
      </w:tr>
    </w:tbl>
    <w:p>
      <w:pPr>
        <w:widowControl w:val="0"/>
        <w:spacing w:after="259" w:line="1" w:lineRule="exact"/>
      </w:pPr>
    </w:p>
    <w:p>
      <w:pPr>
        <w:pStyle w:val="Style35"/>
        <w:keepNext w:val="0"/>
        <w:keepLines w:val="0"/>
        <w:widowControl w:val="0"/>
        <w:shd w:val="clear" w:color="auto" w:fill="auto"/>
        <w:bidi w:val="0"/>
        <w:spacing w:before="0" w:after="60" w:line="240" w:lineRule="auto"/>
        <w:ind w:left="0" w:right="0" w:firstLine="560"/>
        <w:jc w:val="left"/>
        <w:rPr>
          <w:sz w:val="22"/>
          <w:szCs w:val="22"/>
        </w:rPr>
      </w:pPr>
      <w:r>
        <w:rPr>
          <w:color w:val="000000"/>
          <w:spacing w:val="0"/>
          <w:w w:val="100"/>
          <w:position w:val="0"/>
          <w:sz w:val="22"/>
          <w:szCs w:val="22"/>
          <w:u w:val="single"/>
        </w:rPr>
        <w:t>执行新收入准则对公司</w:t>
      </w:r>
      <w:r>
        <w:rPr>
          <w:rFonts w:ascii="Times New Roman" w:eastAsia="Times New Roman" w:hAnsi="Times New Roman" w:cs="Times New Roman"/>
          <w:color w:val="000000"/>
          <w:spacing w:val="0"/>
          <w:w w:val="100"/>
          <w:position w:val="0"/>
          <w:sz w:val="22"/>
          <w:szCs w:val="22"/>
          <w:u w:val="single"/>
        </w:rPr>
        <w:t>2020</w:t>
      </w:r>
      <w:r>
        <w:rPr>
          <w:color w:val="000000"/>
          <w:spacing w:val="0"/>
          <w:w w:val="100"/>
          <w:position w:val="0"/>
          <w:sz w:val="22"/>
          <w:szCs w:val="22"/>
          <w:u w:val="single"/>
        </w:rPr>
        <w:t>年</w:t>
      </w:r>
      <w:r>
        <w:rPr>
          <w:rFonts w:ascii="Times New Roman" w:eastAsia="Times New Roman" w:hAnsi="Times New Roman" w:cs="Times New Roman"/>
          <w:color w:val="000000"/>
          <w:spacing w:val="0"/>
          <w:w w:val="100"/>
          <w:position w:val="0"/>
          <w:sz w:val="22"/>
          <w:szCs w:val="22"/>
          <w:u w:val="single"/>
        </w:rPr>
        <w:t>1</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2"/>
          <w:szCs w:val="22"/>
          <w:u w:val="single"/>
        </w:rPr>
        <w:t>1</w:t>
      </w:r>
      <w:r>
        <w:rPr>
          <w:color w:val="000000"/>
          <w:spacing w:val="0"/>
          <w:w w:val="100"/>
          <w:position w:val="0"/>
          <w:sz w:val="22"/>
          <w:szCs w:val="22"/>
          <w:u w:val="single"/>
        </w:rPr>
        <w:t>日合并财务报表的主要影响如下：，</w:t>
      </w:r>
    </w:p>
    <w:p>
      <w:pPr>
        <w:pStyle w:val="Style28"/>
        <w:keepNext w:val="0"/>
        <w:keepLines w:val="0"/>
        <w:widowControl w:val="0"/>
        <w:pBdr>
          <w:top w:val="single" w:sz="0" w:space="0" w:color="D9D9D9"/>
          <w:left w:val="single" w:sz="0" w:space="0" w:color="D9D9D9"/>
          <w:bottom w:val="single" w:sz="0" w:space="5" w:color="D9D9D9"/>
          <w:right w:val="single" w:sz="0" w:space="0" w:color="D9D9D9"/>
        </w:pBdr>
        <w:shd w:val="clear" w:color="auto" w:fill="D9D9D9"/>
        <w:tabs>
          <w:tab w:pos="2030" w:val="left"/>
          <w:tab w:pos="4546" w:val="left"/>
          <w:tab w:pos="6710" w:val="left"/>
        </w:tabs>
        <w:bidi w:val="0"/>
        <w:spacing w:before="0" w:after="280" w:line="240" w:lineRule="auto"/>
        <w:ind w:left="0" w:right="0" w:firstLine="0"/>
        <w:jc w:val="center"/>
      </w:pPr>
      <w:r>
        <mc:AlternateContent>
          <mc:Choice Requires="wps">
            <w:drawing>
              <wp:anchor distT="0" distB="0" distL="0" distR="0" simplePos="0" relativeHeight="125829378" behindDoc="0" locked="0" layoutInCell="1" allowOverlap="1">
                <wp:simplePos x="0" y="0"/>
                <wp:positionH relativeFrom="page">
                  <wp:posOffset>727075</wp:posOffset>
                </wp:positionH>
                <wp:positionV relativeFrom="paragraph">
                  <wp:posOffset>12700</wp:posOffset>
                </wp:positionV>
                <wp:extent cx="5861050" cy="225425"/>
                <wp:wrapTopAndBottom/>
                <wp:docPr id="21" name="Shape 21"/>
                <a:graphic xmlns:a="http://schemas.openxmlformats.org/drawingml/2006/main">
                  <a:graphicData uri="http://schemas.microsoft.com/office/word/2010/wordprocessingShape">
                    <wps:wsp>
                      <wps:cNvSpPr txBox="1"/>
                      <wps:spPr>
                        <a:xfrm>
                          <a:ext cx="5861050" cy="225425"/>
                        </a:xfrm>
                        <a:prstGeom prst="rect"/>
                        <a:noFill/>
                      </wps:spPr>
                      <wps:txbx>
                        <w:txbxContent>
                          <w:tbl>
                            <w:tblPr>
                              <w:tblOverlap w:val="never"/>
                              <w:jc w:val="left"/>
                              <w:tblLayout w:type="fixed"/>
                            </w:tblPr>
                            <w:tblGrid>
                              <w:gridCol w:w="2275"/>
                              <w:gridCol w:w="2410"/>
                              <w:gridCol w:w="2410"/>
                              <w:gridCol w:w="2136"/>
                            </w:tblGrid>
                            <w:tr>
                              <w:trPr>
                                <w:tblHeader/>
                                <w:trHeight w:val="35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调整前金额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调整金额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调整后金额</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57.25pt;margin-top:1.pt;width:461.5pt;height:17.75pt;z-index:-125829375;mso-wrap-distance-left:0;mso-wrap-distance-right:0;mso-position-horizontal-relative:page" filled="f" stroked="f">
                <v:textbox inset="0,0,0,0">
                  <w:txbxContent>
                    <w:tbl>
                      <w:tblPr>
                        <w:tblOverlap w:val="never"/>
                        <w:jc w:val="left"/>
                        <w:tblLayout w:type="fixed"/>
                      </w:tblPr>
                      <w:tblGrid>
                        <w:gridCol w:w="2275"/>
                        <w:gridCol w:w="2410"/>
                        <w:gridCol w:w="2410"/>
                        <w:gridCol w:w="2136"/>
                      </w:tblGrid>
                      <w:tr>
                        <w:trPr>
                          <w:tblHeader/>
                          <w:trHeight w:val="35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调整前金额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调整金额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调整后金额</w:t>
                            </w:r>
                          </w:p>
                        </w:tc>
                      </w:tr>
                    </w:tbl>
                    <w:p>
                      <w:pPr>
                        <w:widowControl w:val="0"/>
                        <w:spacing w:line="1" w:lineRule="exact"/>
                      </w:pPr>
                    </w:p>
                  </w:txbxContent>
                </v:textbox>
                <w10:wrap type="topAndBottom" anchorx="page"/>
              </v:shape>
            </w:pict>
          </mc:Fallback>
        </mc:AlternateContent>
      </w:r>
      <w:r>
        <w:rPr>
          <w:b/>
          <w:bCs/>
          <w:color w:val="000000"/>
          <w:spacing w:val="0"/>
          <w:w w:val="100"/>
          <w:position w:val="0"/>
        </w:rPr>
        <w:t>项目</w:t>
        <w:tab/>
        <w:t>调整前金额</w:t>
        <w:tab/>
        <w:t>调整金额</w:t>
        <w:tab/>
        <w:t>调整后金额</w:t>
      </w:r>
      <w:r>
        <w:br w:type="page"/>
      </w:r>
    </w:p>
    <w:tbl>
      <w:tblPr>
        <w:tblOverlap w:val="never"/>
        <w:jc w:val="center"/>
        <w:tblLayout w:type="fixed"/>
      </w:tblPr>
      <w:tblGrid>
        <w:gridCol w:w="2275"/>
        <w:gridCol w:w="2410"/>
        <w:gridCol w:w="2410"/>
        <w:gridCol w:w="2136"/>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527,525,507.65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-527,525,507.65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481,171,870.70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481,171,870.70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46,353,636.95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46,353,636.95</w:t>
            </w:r>
          </w:p>
        </w:tc>
      </w:tr>
    </w:tbl>
    <w:p>
      <w:pPr>
        <w:widowControl w:val="0"/>
        <w:spacing w:after="239" w:line="1" w:lineRule="exact"/>
      </w:pPr>
    </w:p>
    <w:p>
      <w:pPr>
        <w:pStyle w:val="Style3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执行新收入准则对公司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日母公司财务报表的主要影响如下:</w:t>
      </w:r>
    </w:p>
    <w:tbl>
      <w:tblPr>
        <w:tblOverlap w:val="never"/>
        <w:jc w:val="left"/>
        <w:tblLayout w:type="fixed"/>
      </w:tblPr>
      <w:tblGrid>
        <w:gridCol w:w="2275"/>
        <w:gridCol w:w="2213"/>
        <w:gridCol w:w="2112"/>
        <w:gridCol w:w="1982"/>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调整前金额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调整后金额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121,542,317.88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-121,542,317.88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106,592,612.78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106,592,612.78</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14,949,705.10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14,949,705.10</w:t>
            </w:r>
          </w:p>
        </w:tc>
      </w:tr>
    </w:tbl>
    <w:p>
      <w:pPr>
        <w:widowControl w:val="0"/>
        <w:spacing w:after="239" w:line="1" w:lineRule="exact"/>
      </w:pPr>
    </w:p>
    <w:p>
      <w:pPr>
        <w:pStyle w:val="Style35"/>
        <w:keepNext w:val="0"/>
        <w:keepLines w:val="0"/>
        <w:widowControl w:val="0"/>
        <w:shd w:val="clear" w:color="auto" w:fill="auto"/>
        <w:bidi w:val="0"/>
        <w:spacing w:before="0" w:after="300" w:line="240" w:lineRule="auto"/>
        <w:ind w:left="0" w:right="0" w:firstLine="0"/>
        <w:jc w:val="left"/>
        <w:rPr>
          <w:sz w:val="22"/>
          <w:szCs w:val="22"/>
        </w:rPr>
      </w:pPr>
      <w:bookmarkStart w:id="433" w:name="bookmark433"/>
      <w:r>
        <w:rPr>
          <w:rFonts w:ascii="Times New Roman" w:eastAsia="Times New Roman" w:hAnsi="Times New Roman" w:cs="Times New Roman"/>
          <w:color w:val="000000"/>
          <w:spacing w:val="0"/>
          <w:w w:val="100"/>
          <w:position w:val="0"/>
          <w:sz w:val="22"/>
          <w:szCs w:val="22"/>
        </w:rPr>
        <w:t>2</w:t>
      </w:r>
      <w:bookmarkEnd w:id="433"/>
      <w:r>
        <w:rPr>
          <w:color w:val="000000"/>
          <w:spacing w:val="0"/>
          <w:w w:val="100"/>
          <w:position w:val="0"/>
          <w:sz w:val="22"/>
          <w:szCs w:val="22"/>
        </w:rPr>
        <w:t>、重要会计估计变更</w:t>
      </w:r>
    </w:p>
    <w:p>
      <w:pPr>
        <w:pStyle w:val="Style35"/>
        <w:keepNext w:val="0"/>
        <w:keepLines w:val="0"/>
        <w:widowControl w:val="0"/>
        <w:shd w:val="clear" w:color="auto" w:fill="auto"/>
        <w:bidi w:val="0"/>
        <w:spacing w:before="0" w:after="360" w:line="240" w:lineRule="auto"/>
        <w:ind w:left="0" w:right="0" w:firstLine="460"/>
        <w:jc w:val="left"/>
        <w:rPr>
          <w:sz w:val="22"/>
          <w:szCs w:val="22"/>
        </w:rPr>
      </w:pPr>
      <w:r>
        <w:rPr>
          <w:color w:val="000000"/>
          <w:spacing w:val="0"/>
          <w:w w:val="100"/>
          <w:position w:val="0"/>
          <w:sz w:val="22"/>
          <w:szCs w:val="22"/>
        </w:rPr>
        <w:t>无</w:t>
      </w:r>
    </w:p>
    <w:p>
      <w:pPr>
        <w:pStyle w:val="Style24"/>
        <w:keepNext/>
        <w:keepLines/>
        <w:widowControl w:val="0"/>
        <w:shd w:val="clear" w:color="auto" w:fill="auto"/>
        <w:tabs>
          <w:tab w:pos="522" w:val="left"/>
        </w:tabs>
        <w:bidi w:val="0"/>
        <w:spacing w:before="0" w:after="360" w:line="240" w:lineRule="auto"/>
        <w:ind w:left="0" w:right="0" w:firstLine="0"/>
        <w:jc w:val="both"/>
      </w:pPr>
      <w:bookmarkStart w:id="434" w:name="bookmark434"/>
      <w:bookmarkStart w:id="435" w:name="bookmark435"/>
      <w:bookmarkStart w:id="436" w:name="bookmark436"/>
      <w:bookmarkStart w:id="437" w:name="bookmark437"/>
      <w:r>
        <w:rPr>
          <w:color w:val="000000"/>
          <w:spacing w:val="0"/>
          <w:w w:val="100"/>
          <w:position w:val="0"/>
        </w:rPr>
        <w:t>七</w:t>
      </w:r>
      <w:bookmarkEnd w:id="436"/>
      <w:r>
        <w:rPr>
          <w:color w:val="000000"/>
          <w:spacing w:val="0"/>
          <w:w w:val="100"/>
          <w:position w:val="0"/>
        </w:rPr>
        <w:t>、</w:t>
        <w:tab/>
        <w:t>报告期内发生重大会计差错更正需追溯重述的情况说明</w:t>
      </w:r>
      <w:bookmarkEnd w:id="434"/>
      <w:bookmarkEnd w:id="435"/>
      <w:bookmarkEnd w:id="43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4"/>
        <w:keepNext/>
        <w:keepLines/>
        <w:widowControl w:val="0"/>
        <w:shd w:val="clear" w:color="auto" w:fill="auto"/>
        <w:tabs>
          <w:tab w:pos="522" w:val="left"/>
        </w:tabs>
        <w:bidi w:val="0"/>
        <w:spacing w:before="0" w:after="360" w:line="240" w:lineRule="auto"/>
        <w:ind w:left="0" w:right="0" w:firstLine="0"/>
        <w:jc w:val="both"/>
      </w:pPr>
      <w:bookmarkStart w:id="438" w:name="bookmark438"/>
      <w:bookmarkStart w:id="439" w:name="bookmark439"/>
      <w:bookmarkStart w:id="440" w:name="bookmark440"/>
      <w:bookmarkStart w:id="441" w:name="bookmark441"/>
      <w:r>
        <w:rPr>
          <w:color w:val="000000"/>
          <w:spacing w:val="0"/>
          <w:w w:val="100"/>
          <w:position w:val="0"/>
        </w:rPr>
        <w:t>八</w:t>
      </w:r>
      <w:bookmarkEnd w:id="440"/>
      <w:r>
        <w:rPr>
          <w:color w:val="000000"/>
          <w:spacing w:val="0"/>
          <w:w w:val="100"/>
          <w:position w:val="0"/>
        </w:rPr>
        <w:t>、</w:t>
        <w:tab/>
        <w:t>与上年度财务报告相比，合并报表范围发生变化的情况说明</w:t>
      </w:r>
      <w:bookmarkEnd w:id="438"/>
      <w:bookmarkEnd w:id="439"/>
      <w:bookmarkEnd w:id="441"/>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00" w:line="240" w:lineRule="auto"/>
        <w:ind w:left="0" w:right="0"/>
        <w:jc w:val="left"/>
        <w:rPr>
          <w:sz w:val="22"/>
          <w:szCs w:val="22"/>
        </w:rPr>
      </w:pPr>
      <w:bookmarkStart w:id="442" w:name="bookmark442"/>
      <w:r>
        <w:rPr>
          <w:color w:val="000000"/>
          <w:spacing w:val="0"/>
          <w:w w:val="100"/>
          <w:position w:val="0"/>
          <w:sz w:val="22"/>
          <w:szCs w:val="22"/>
        </w:rPr>
        <w:t>1</w:t>
      </w:r>
      <w:bookmarkEnd w:id="442"/>
      <w:r>
        <w:rPr>
          <w:color w:val="000000"/>
          <w:spacing w:val="0"/>
          <w:w w:val="100"/>
          <w:position w:val="0"/>
          <w:sz w:val="22"/>
          <w:szCs w:val="22"/>
        </w:rPr>
        <w:t>、非同一控制下企业合并</w:t>
      </w:r>
    </w:p>
    <w:p>
      <w:pPr>
        <w:pStyle w:val="Style35"/>
        <w:keepNext w:val="0"/>
        <w:keepLines w:val="0"/>
        <w:widowControl w:val="0"/>
        <w:numPr>
          <w:ilvl w:val="0"/>
          <w:numId w:val="17"/>
        </w:numPr>
        <w:shd w:val="clear" w:color="auto" w:fill="auto"/>
        <w:bidi w:val="0"/>
        <w:spacing w:before="0" w:after="140" w:line="240" w:lineRule="auto"/>
        <w:ind w:left="0" w:right="0" w:firstLine="460"/>
        <w:jc w:val="left"/>
        <w:rPr>
          <w:sz w:val="22"/>
          <w:szCs w:val="22"/>
        </w:rPr>
      </w:pPr>
      <w:bookmarkStart w:id="443" w:name="bookmark443"/>
      <w:bookmarkEnd w:id="443"/>
      <w:r>
        <w:rPr>
          <w:color w:val="000000"/>
          <w:spacing w:val="0"/>
          <w:w w:val="100"/>
          <w:position w:val="0"/>
          <w:sz w:val="22"/>
          <w:szCs w:val="22"/>
        </w:rPr>
        <w:t>本年发生的非同一控制下企业合并</w:t>
      </w:r>
    </w:p>
    <w:tbl>
      <w:tblPr>
        <w:tblOverlap w:val="never"/>
        <w:jc w:val="center"/>
        <w:tblLayout w:type="fixed"/>
      </w:tblPr>
      <w:tblGrid>
        <w:gridCol w:w="1238"/>
        <w:gridCol w:w="792"/>
        <w:gridCol w:w="792"/>
        <w:gridCol w:w="797"/>
        <w:gridCol w:w="792"/>
        <w:gridCol w:w="571"/>
        <w:gridCol w:w="1013"/>
        <w:gridCol w:w="1565"/>
        <w:gridCol w:w="1685"/>
      </w:tblGrid>
      <w:tr>
        <w:trPr>
          <w:trHeight w:val="97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被购买方名称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股权取得 时点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股权取得 成本</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5" w:lineRule="exact"/>
              <w:ind w:left="0" w:right="0" w:firstLine="0"/>
              <w:jc w:val="center"/>
              <w:rPr>
                <w:sz w:val="17"/>
                <w:szCs w:val="17"/>
              </w:rPr>
            </w:pPr>
            <w:r>
              <w:rPr>
                <w:b/>
                <w:bCs/>
                <w:color w:val="000000"/>
                <w:spacing w:val="0"/>
                <w:w w:val="100"/>
                <w:position w:val="0"/>
                <w:sz w:val="17"/>
                <w:szCs w:val="17"/>
              </w:rPr>
              <w:t>股权取得 比例 (</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股权取得 方式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购买日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购买日的确 定依据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购买日至年末被购 买方的收入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购买日至年末被购买 方的净利润</w:t>
            </w:r>
          </w:p>
        </w:tc>
      </w:tr>
      <w:tr>
        <w:trPr>
          <w:trHeight w:val="6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杭州西湖软件 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工商变更登 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bl>
    <w:p>
      <w:pPr>
        <w:widowControl w:val="0"/>
        <w:spacing w:after="239" w:line="1" w:lineRule="exact"/>
      </w:pPr>
    </w:p>
    <w:p>
      <w:pPr>
        <w:pStyle w:val="Style35"/>
        <w:keepNext w:val="0"/>
        <w:keepLines w:val="0"/>
        <w:widowControl w:val="0"/>
        <w:numPr>
          <w:ilvl w:val="0"/>
          <w:numId w:val="17"/>
        </w:numPr>
        <w:shd w:val="clear" w:color="auto" w:fill="auto"/>
        <w:bidi w:val="0"/>
        <w:spacing w:before="0" w:after="140" w:line="240" w:lineRule="auto"/>
        <w:ind w:left="0" w:right="0" w:firstLine="460"/>
        <w:jc w:val="left"/>
        <w:rPr>
          <w:sz w:val="22"/>
          <w:szCs w:val="22"/>
        </w:rPr>
      </w:pPr>
      <w:bookmarkStart w:id="444" w:name="bookmark444"/>
      <w:bookmarkEnd w:id="444"/>
      <w:r>
        <w:rPr>
          <w:color w:val="000000"/>
          <w:spacing w:val="0"/>
          <w:w w:val="100"/>
          <w:position w:val="0"/>
          <w:sz w:val="22"/>
          <w:szCs w:val="22"/>
        </w:rPr>
        <w:t>合并成本及商誉</w:t>
      </w:r>
    </w:p>
    <w:tbl>
      <w:tblPr>
        <w:tblOverlap w:val="never"/>
        <w:jc w:val="left"/>
        <w:tblLayout w:type="fixed"/>
      </w:tblPr>
      <w:tblGrid>
        <w:gridCol w:w="6086"/>
        <w:gridCol w:w="2582"/>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2860" w:right="0" w:firstLine="0"/>
              <w:jc w:val="left"/>
              <w:rPr>
                <w:sz w:val="17"/>
                <w:szCs w:val="17"/>
              </w:rPr>
            </w:pPr>
            <w:r>
              <w:rPr>
                <w:b/>
                <w:bCs/>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杭州西湖软件有限公司</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tc>
      </w:tr>
    </w:tbl>
    <w:p>
      <w:pPr>
        <w:widowControl w:val="0"/>
        <w:spacing w:after="239" w:line="1" w:lineRule="exact"/>
      </w:pPr>
    </w:p>
    <w:p>
      <w:pPr>
        <w:pStyle w:val="Style35"/>
        <w:keepNext w:val="0"/>
        <w:keepLines w:val="0"/>
        <w:widowControl w:val="0"/>
        <w:numPr>
          <w:ilvl w:val="0"/>
          <w:numId w:val="17"/>
        </w:numPr>
        <w:shd w:val="clear" w:color="auto" w:fill="auto"/>
        <w:bidi w:val="0"/>
        <w:spacing w:before="0" w:after="240" w:line="240" w:lineRule="auto"/>
        <w:ind w:left="0" w:right="0" w:firstLine="460"/>
        <w:jc w:val="left"/>
        <w:rPr>
          <w:sz w:val="22"/>
          <w:szCs w:val="22"/>
        </w:rPr>
      </w:pPr>
      <w:r>
        <mc:AlternateContent>
          <mc:Choice Requires="wps">
            <w:drawing>
              <wp:anchor distT="0" distB="0" distL="0" distR="0" simplePos="0" relativeHeight="125829380" behindDoc="0" locked="0" layoutInCell="1" allowOverlap="1">
                <wp:simplePos x="0" y="0"/>
                <wp:positionH relativeFrom="page">
                  <wp:posOffset>742315</wp:posOffset>
                </wp:positionH>
                <wp:positionV relativeFrom="paragraph">
                  <wp:posOffset>266700</wp:posOffset>
                </wp:positionV>
                <wp:extent cx="5492750" cy="441960"/>
                <wp:wrapTopAndBottom/>
                <wp:docPr id="23" name="Shape 23"/>
                <a:graphic xmlns:a="http://schemas.openxmlformats.org/drawingml/2006/main">
                  <a:graphicData uri="http://schemas.microsoft.com/office/word/2010/wordprocessingShape">
                    <wps:wsp>
                      <wps:cNvSpPr txBox="1"/>
                      <wps:spPr>
                        <a:xfrm>
                          <a:ext cx="5492750" cy="441960"/>
                        </a:xfrm>
                        <a:prstGeom prst="rect"/>
                        <a:noFill/>
                      </wps:spPr>
                      <wps:txbx>
                        <w:txbxContent>
                          <w:tbl>
                            <w:tblPr>
                              <w:tblOverlap w:val="never"/>
                              <w:jc w:val="left"/>
                              <w:tblLayout w:type="fixed"/>
                            </w:tblPr>
                            <w:tblGrid>
                              <w:gridCol w:w="4579"/>
                              <w:gridCol w:w="2030"/>
                              <w:gridCol w:w="2040"/>
                            </w:tblGrid>
                            <w:tr>
                              <w:trPr>
                                <w:tblHeader/>
                                <w:trHeight w:val="346"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杭州西湖软件有限公司</w:t>
                                  </w:r>
                                </w:p>
                              </w:tc>
                            </w:tr>
                            <w:tr>
                              <w:trPr>
                                <w:trHeight w:val="35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购买日</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购买日</w:t>
                                  </w:r>
                                </w:p>
                              </w:tc>
                            </w:tr>
                          </w:tbl>
                          <w:p>
                            <w:pPr>
                              <w:widowControl w:val="0"/>
                              <w:spacing w:line="1" w:lineRule="exact"/>
                            </w:pPr>
                          </w:p>
                        </w:txbxContent>
                      </wps:txbx>
                      <wps:bodyPr lIns="0" tIns="0" rIns="0" bIns="0">
                        <a:noAutoFit/>
                      </wps:bodyPr>
                    </wps:wsp>
                  </a:graphicData>
                </a:graphic>
              </wp:anchor>
            </w:drawing>
          </mc:Choice>
          <mc:Fallback>
            <w:pict>
              <v:shape id="_x0000_s1049" type="#_x0000_t202" style="position:absolute;margin-left:58.450000000000003pt;margin-top:21.pt;width:432.5pt;height:34.800000000000004pt;z-index:-125829373;mso-wrap-distance-left:0;mso-wrap-distance-right:0;mso-position-horizontal-relative:page" filled="f" stroked="f">
                <v:textbox inset="0,0,0,0">
                  <w:txbxContent>
                    <w:tbl>
                      <w:tblPr>
                        <w:tblOverlap w:val="never"/>
                        <w:jc w:val="left"/>
                        <w:tblLayout w:type="fixed"/>
                      </w:tblPr>
                      <w:tblGrid>
                        <w:gridCol w:w="4579"/>
                        <w:gridCol w:w="2030"/>
                        <w:gridCol w:w="2040"/>
                      </w:tblGrid>
                      <w:tr>
                        <w:trPr>
                          <w:tblHeader/>
                          <w:trHeight w:val="346"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杭州西湖软件有限公司</w:t>
                            </w:r>
                          </w:p>
                        </w:tc>
                      </w:tr>
                      <w:tr>
                        <w:trPr>
                          <w:trHeight w:val="35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购买日</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购买日</w:t>
                            </w:r>
                          </w:p>
                        </w:tc>
                      </w:tr>
                    </w:tbl>
                    <w:p>
                      <w:pPr>
                        <w:widowControl w:val="0"/>
                        <w:spacing w:line="1" w:lineRule="exact"/>
                      </w:pPr>
                    </w:p>
                  </w:txbxContent>
                </v:textbox>
                <w10:wrap type="topAndBottom" anchorx="page"/>
              </v:shape>
            </w:pict>
          </mc:Fallback>
        </mc:AlternateContent>
      </w:r>
      <w:bookmarkStart w:id="445" w:name="bookmark445"/>
      <w:bookmarkEnd w:id="445"/>
      <w:r>
        <w:rPr>
          <w:color w:val="000000"/>
          <w:spacing w:val="0"/>
          <w:w w:val="100"/>
          <w:position w:val="0"/>
          <w:sz w:val="22"/>
          <w:szCs w:val="22"/>
        </w:rPr>
        <w:t>被购买方于购买日可辨认资产、负债</w:t>
      </w:r>
    </w:p>
    <w:p>
      <w:pPr>
        <w:pStyle w:val="Style28"/>
        <w:keepNext w:val="0"/>
        <w:keepLines w:val="0"/>
        <w:widowControl w:val="0"/>
        <w:pBdr>
          <w:top w:val="single" w:sz="0" w:space="0" w:color="D9D9D9"/>
          <w:left w:val="single" w:sz="0" w:space="0" w:color="D9D9D9"/>
          <w:bottom w:val="single" w:sz="0" w:space="0" w:color="D9D9D9"/>
          <w:right w:val="single" w:sz="0" w:space="0" w:color="D9D9D9"/>
        </w:pBdr>
        <w:shd w:val="clear" w:color="auto" w:fill="D9D9D9"/>
        <w:bidi w:val="0"/>
        <w:spacing w:before="0" w:after="0" w:line="240" w:lineRule="auto"/>
        <w:ind w:left="0" w:right="0" w:firstLine="0"/>
        <w:jc w:val="center"/>
      </w:pPr>
      <w:r>
        <w:rPr>
          <w:b/>
          <w:bCs/>
          <w:color w:val="000000"/>
          <w:spacing w:val="0"/>
          <w:w w:val="100"/>
          <w:position w:val="0"/>
        </w:rPr>
        <w:t>杭州西湖软件有限公司</w:t>
      </w:r>
    </w:p>
    <w:p>
      <w:pPr>
        <w:pStyle w:val="Style28"/>
        <w:keepNext w:val="0"/>
        <w:keepLines w:val="0"/>
        <w:widowControl w:val="0"/>
        <w:pBdr>
          <w:top w:val="single" w:sz="0" w:space="0" w:color="D9D9D9"/>
          <w:left w:val="single" w:sz="0" w:space="0" w:color="D9D9D9"/>
          <w:bottom w:val="single" w:sz="0" w:space="0" w:color="D9D9D9"/>
          <w:right w:val="single" w:sz="0" w:space="0" w:color="D9D9D9"/>
        </w:pBdr>
        <w:shd w:val="clear" w:color="auto" w:fill="D9D9D9"/>
        <w:tabs>
          <w:tab w:pos="2472" w:val="left"/>
          <w:tab w:leader="hyphen" w:pos="4483" w:val="left"/>
          <w:tab w:leader="hyphen" w:pos="5774" w:val="left"/>
        </w:tabs>
        <w:bidi w:val="0"/>
        <w:spacing w:before="0" w:after="0" w:line="240" w:lineRule="auto"/>
        <w:ind w:left="0" w:right="0" w:firstLine="0"/>
        <w:jc w:val="center"/>
      </w:pPr>
      <w:r>
        <w:rPr>
          <w:b/>
          <w:bCs/>
          <w:color w:val="000000"/>
          <w:spacing w:val="0"/>
          <w:w w:val="100"/>
          <w:position w:val="0"/>
        </w:rPr>
        <w:t>项目</w:t>
        <w:tab/>
        <w:tab/>
        <w:tab/>
      </w:r>
    </w:p>
    <w:p>
      <w:pPr>
        <w:pStyle w:val="Style28"/>
        <w:keepNext w:val="0"/>
        <w:keepLines w:val="0"/>
        <w:widowControl w:val="0"/>
        <w:pBdr>
          <w:top w:val="single" w:sz="0" w:space="0" w:color="D9D9D9"/>
          <w:left w:val="single" w:sz="0" w:space="0" w:color="D9D9D9"/>
          <w:bottom w:val="single" w:sz="0" w:space="0" w:color="D9D9D9"/>
          <w:right w:val="single" w:sz="0" w:space="0" w:color="D9D9D9"/>
        </w:pBdr>
        <w:shd w:val="clear" w:color="auto" w:fill="D9D9D9"/>
        <w:tabs>
          <w:tab w:pos="7386" w:val="left"/>
        </w:tabs>
        <w:bidi w:val="0"/>
        <w:spacing w:before="0" w:after="240" w:line="240" w:lineRule="auto"/>
        <w:ind w:left="5360" w:right="0" w:firstLine="0"/>
        <w:jc w:val="left"/>
      </w:pPr>
      <w:r>
        <w:rPr>
          <w:b/>
          <w:bCs/>
          <w:color w:val="000000"/>
          <w:spacing w:val="0"/>
          <w:w w:val="100"/>
          <w:position w:val="0"/>
        </w:rPr>
        <w:t>购买日</w:t>
        <w:tab/>
        <w:t>购买日</w:t>
      </w:r>
      <w:r>
        <w:br w:type="page"/>
      </w:r>
    </w:p>
    <w:tbl>
      <w:tblPr>
        <w:tblOverlap w:val="never"/>
        <w:jc w:val="left"/>
        <w:tblLayout w:type="fixed"/>
      </w:tblPr>
      <w:tblGrid>
        <w:gridCol w:w="4579"/>
        <w:gridCol w:w="2030"/>
        <w:gridCol w:w="2040"/>
      </w:tblGrid>
      <w:tr>
        <w:trPr>
          <w:trHeight w:val="34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公允价值</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r>
    </w:tbl>
    <w:p>
      <w:pPr>
        <w:widowControl w:val="0"/>
        <w:spacing w:after="259" w:line="1" w:lineRule="exact"/>
      </w:pPr>
    </w:p>
    <w:p>
      <w:pPr>
        <w:pStyle w:val="Style35"/>
        <w:keepNext w:val="0"/>
        <w:keepLines w:val="0"/>
        <w:widowControl w:val="0"/>
        <w:shd w:val="clear" w:color="auto" w:fill="auto"/>
        <w:bidi w:val="0"/>
        <w:spacing w:before="0" w:after="260" w:line="240" w:lineRule="auto"/>
        <w:ind w:left="0" w:right="0" w:firstLine="380"/>
        <w:jc w:val="left"/>
        <w:rPr>
          <w:sz w:val="22"/>
          <w:szCs w:val="22"/>
        </w:rPr>
      </w:pPr>
      <w:bookmarkStart w:id="446" w:name="bookmark446"/>
      <w:r>
        <w:rPr>
          <w:color w:val="000000"/>
          <w:spacing w:val="0"/>
          <w:w w:val="100"/>
          <w:position w:val="0"/>
          <w:sz w:val="22"/>
          <w:szCs w:val="22"/>
        </w:rPr>
        <w:t>2</w:t>
      </w:r>
      <w:bookmarkEnd w:id="446"/>
      <w:r>
        <w:rPr>
          <w:color w:val="000000"/>
          <w:spacing w:val="0"/>
          <w:w w:val="100"/>
          <w:position w:val="0"/>
          <w:sz w:val="22"/>
          <w:szCs w:val="22"/>
        </w:rPr>
        <w:t>、同一控制下企业合并</w:t>
      </w:r>
    </w:p>
    <w:p>
      <w:pPr>
        <w:pStyle w:val="Style35"/>
        <w:keepNext w:val="0"/>
        <w:keepLines w:val="0"/>
        <w:widowControl w:val="0"/>
        <w:shd w:val="clear" w:color="auto" w:fill="auto"/>
        <w:bidi w:val="0"/>
        <w:spacing w:before="0" w:after="260" w:line="240" w:lineRule="auto"/>
        <w:ind w:left="0" w:right="0" w:firstLine="820"/>
        <w:jc w:val="left"/>
        <w:rPr>
          <w:sz w:val="22"/>
          <w:szCs w:val="22"/>
        </w:rPr>
      </w:pPr>
      <w:r>
        <w:rPr>
          <w:color w:val="000000"/>
          <w:spacing w:val="0"/>
          <w:w w:val="100"/>
          <w:position w:val="0"/>
          <w:sz w:val="22"/>
          <w:szCs w:val="22"/>
        </w:rPr>
        <w:t>无</w:t>
      </w:r>
    </w:p>
    <w:p>
      <w:pPr>
        <w:pStyle w:val="Style35"/>
        <w:keepNext w:val="0"/>
        <w:keepLines w:val="0"/>
        <w:widowControl w:val="0"/>
        <w:shd w:val="clear" w:color="auto" w:fill="auto"/>
        <w:bidi w:val="0"/>
        <w:spacing w:before="0" w:after="140" w:line="240" w:lineRule="auto"/>
        <w:ind w:left="0" w:right="0" w:firstLine="380"/>
        <w:jc w:val="left"/>
        <w:rPr>
          <w:sz w:val="22"/>
          <w:szCs w:val="22"/>
        </w:rPr>
      </w:pPr>
      <w:bookmarkStart w:id="447" w:name="bookmark447"/>
      <w:r>
        <w:rPr>
          <w:color w:val="000000"/>
          <w:spacing w:val="0"/>
          <w:w w:val="100"/>
          <w:position w:val="0"/>
          <w:sz w:val="22"/>
          <w:szCs w:val="22"/>
        </w:rPr>
        <w:t>3</w:t>
      </w:r>
      <w:bookmarkEnd w:id="447"/>
      <w:r>
        <w:rPr>
          <w:color w:val="000000"/>
          <w:spacing w:val="0"/>
          <w:w w:val="100"/>
          <w:position w:val="0"/>
          <w:sz w:val="22"/>
          <w:szCs w:val="22"/>
        </w:rPr>
        <w:t>、处置子公司</w:t>
      </w:r>
    </w:p>
    <w:tbl>
      <w:tblPr>
        <w:tblOverlap w:val="never"/>
        <w:jc w:val="center"/>
        <w:tblLayout w:type="fixed"/>
      </w:tblPr>
      <w:tblGrid>
        <w:gridCol w:w="749"/>
        <w:gridCol w:w="749"/>
        <w:gridCol w:w="566"/>
        <w:gridCol w:w="528"/>
        <w:gridCol w:w="917"/>
        <w:gridCol w:w="946"/>
        <w:gridCol w:w="1128"/>
        <w:gridCol w:w="624"/>
        <w:gridCol w:w="614"/>
        <w:gridCol w:w="562"/>
        <w:gridCol w:w="634"/>
        <w:gridCol w:w="686"/>
        <w:gridCol w:w="960"/>
      </w:tblGrid>
      <w:tr>
        <w:trPr>
          <w:trHeight w:val="28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子公司</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股权处置</w:t>
            </w:r>
          </w:p>
          <w:p>
            <w:pPr>
              <w:pStyle w:val="Style20"/>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价款</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307" w:lineRule="exact"/>
              <w:ind w:left="0" w:right="0" w:firstLine="0"/>
              <w:jc w:val="left"/>
              <w:rPr>
                <w:sz w:val="17"/>
                <w:szCs w:val="17"/>
              </w:rPr>
            </w:pPr>
            <w:r>
              <w:rPr>
                <w:b/>
                <w:bCs/>
                <w:color w:val="000000"/>
                <w:spacing w:val="0"/>
                <w:w w:val="100"/>
                <w:position w:val="0"/>
                <w:sz w:val="17"/>
                <w:szCs w:val="17"/>
              </w:rPr>
              <w:t>股权处 置比例</w:t>
            </w:r>
          </w:p>
          <w:p>
            <w:pPr>
              <w:pStyle w:val="Style20"/>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股权</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处置</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方式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丧失控制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权的时点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丧失控制权 时点的确定</w:t>
            </w:r>
          </w:p>
          <w:p>
            <w:pPr>
              <w:pStyle w:val="Style20"/>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依据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b/>
                <w:bCs/>
                <w:color w:val="000000"/>
                <w:spacing w:val="0"/>
                <w:w w:val="100"/>
                <w:position w:val="0"/>
                <w:sz w:val="17"/>
                <w:szCs w:val="17"/>
              </w:rPr>
              <w:t>处置价款与处 置投资对应的 合并财务报表 层面享有该子 公司净资产份 额的差额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b/>
                <w:bCs/>
                <w:color w:val="000000"/>
                <w:spacing w:val="0"/>
                <w:w w:val="100"/>
                <w:position w:val="0"/>
                <w:sz w:val="17"/>
                <w:szCs w:val="17"/>
              </w:rPr>
              <w:t>丧失控 制权之 日剩余 股权的 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b/>
                <w:bCs/>
                <w:color w:val="000000"/>
                <w:spacing w:val="0"/>
                <w:w w:val="100"/>
                <w:position w:val="0"/>
                <w:sz w:val="17"/>
                <w:szCs w:val="17"/>
              </w:rPr>
              <w:t>丧失控 制权之 日剩余 股权的 账面价 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b/>
                <w:bCs/>
                <w:color w:val="000000"/>
                <w:spacing w:val="0"/>
                <w:w w:val="100"/>
                <w:position w:val="0"/>
                <w:sz w:val="17"/>
                <w:szCs w:val="17"/>
              </w:rPr>
              <w:t>丧失控 制权之 日剩余 股权的 公允价 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b/>
                <w:bCs/>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b/>
                <w:bCs/>
                <w:color w:val="000000"/>
                <w:spacing w:val="0"/>
                <w:w w:val="100"/>
                <w:position w:val="0"/>
                <w:sz w:val="17"/>
                <w:szCs w:val="17"/>
              </w:rPr>
              <w:t>与原子公司 股权投资相 关的其他综 合收益转入 投资损益的 金额</w:t>
            </w:r>
          </w:p>
        </w:tc>
      </w:tr>
      <w:tr>
        <w:trPr>
          <w:trHeight w:val="15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Stayntouc h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95,069,56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美国外国投 资管理委员 会 </w:t>
            </w:r>
            <w:r>
              <w:rPr>
                <w:rFonts w:ascii="Times New Roman" w:eastAsia="Times New Roman" w:hAnsi="Times New Roman" w:cs="Times New Roman"/>
                <w:color w:val="000000"/>
                <w:spacing w:val="0"/>
                <w:w w:val="100"/>
                <w:position w:val="0"/>
                <w:sz w:val="18"/>
                <w:szCs w:val="18"/>
              </w:rPr>
              <w:t xml:space="preserve">CFIUS </w:t>
            </w:r>
            <w:r>
              <w:rPr>
                <w:color w:val="000000"/>
                <w:spacing w:val="0"/>
                <w:w w:val="100"/>
                <w:position w:val="0"/>
                <w:sz w:val="17"/>
                <w:szCs w:val="17"/>
              </w:rPr>
              <w:t>确认撤资完 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-173,890,080.2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4,942,651.1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259" w:line="1" w:lineRule="exact"/>
      </w:pPr>
    </w:p>
    <w:p>
      <w:pPr>
        <w:pStyle w:val="Style35"/>
        <w:keepNext w:val="0"/>
        <w:keepLines w:val="0"/>
        <w:widowControl w:val="0"/>
        <w:shd w:val="clear" w:color="auto" w:fill="auto"/>
        <w:bidi w:val="0"/>
        <w:spacing w:before="0" w:after="260" w:line="240" w:lineRule="auto"/>
        <w:ind w:left="0" w:right="0" w:firstLine="380"/>
        <w:jc w:val="left"/>
        <w:rPr>
          <w:sz w:val="22"/>
          <w:szCs w:val="22"/>
        </w:rPr>
      </w:pPr>
      <w:bookmarkStart w:id="448" w:name="bookmark448"/>
      <w:r>
        <w:rPr>
          <w:color w:val="000000"/>
          <w:spacing w:val="0"/>
          <w:w w:val="100"/>
          <w:position w:val="0"/>
          <w:sz w:val="22"/>
          <w:szCs w:val="22"/>
        </w:rPr>
        <w:t>4</w:t>
      </w:r>
      <w:bookmarkEnd w:id="448"/>
      <w:r>
        <w:rPr>
          <w:color w:val="000000"/>
          <w:spacing w:val="0"/>
          <w:w w:val="100"/>
          <w:position w:val="0"/>
          <w:sz w:val="22"/>
          <w:szCs w:val="22"/>
        </w:rPr>
        <w:t>、其他原因的合并范围变动</w:t>
      </w:r>
    </w:p>
    <w:p>
      <w:pPr>
        <w:pStyle w:val="Style38"/>
        <w:keepNext w:val="0"/>
        <w:keepLines w:val="0"/>
        <w:widowControl w:val="0"/>
        <w:shd w:val="clear" w:color="auto" w:fill="auto"/>
        <w:bidi w:val="0"/>
        <w:spacing w:before="0" w:after="360" w:line="313" w:lineRule="exact"/>
        <w:ind w:left="0" w:right="0" w:firstLine="460"/>
        <w:jc w:val="left"/>
        <w:rPr>
          <w:sz w:val="22"/>
          <w:szCs w:val="22"/>
        </w:rPr>
      </w:pPr>
      <w:r>
        <w:rPr>
          <w:rFonts w:ascii="SimSun" w:eastAsia="SimSun" w:hAnsi="SimSun" w:cs="SimSun"/>
          <w:color w:val="000000"/>
          <w:spacing w:val="0"/>
          <w:w w:val="100"/>
          <w:position w:val="0"/>
          <w:sz w:val="22"/>
          <w:szCs w:val="22"/>
        </w:rPr>
        <w:t>与上年相比，本年新设立南宁敏付科技有限公司、广西自贸区敏付科技发展有限公司、</w:t>
      </w:r>
      <w:r>
        <w:rPr>
          <w:color w:val="000000"/>
          <w:spacing w:val="0"/>
          <w:w w:val="100"/>
          <w:position w:val="0"/>
          <w:sz w:val="22"/>
          <w:szCs w:val="22"/>
        </w:rPr>
        <w:t>Shiji Technologies Ltd.</w:t>
      </w:r>
      <w:r>
        <w:rPr>
          <w:rFonts w:ascii="SimSun" w:eastAsia="SimSun" w:hAnsi="SimSun" w:cs="SimSun"/>
          <w:color w:val="000000"/>
          <w:spacing w:val="0"/>
          <w:w w:val="100"/>
          <w:position w:val="0"/>
          <w:sz w:val="22"/>
          <w:szCs w:val="22"/>
        </w:rPr>
        <w:t>共</w:t>
      </w:r>
      <w:r>
        <w:rPr>
          <w:color w:val="000000"/>
          <w:spacing w:val="0"/>
          <w:w w:val="100"/>
          <w:position w:val="0"/>
          <w:sz w:val="22"/>
          <w:szCs w:val="22"/>
        </w:rPr>
        <w:t>3</w:t>
      </w:r>
      <w:r>
        <w:rPr>
          <w:rFonts w:ascii="SimSun" w:eastAsia="SimSun" w:hAnsi="SimSun" w:cs="SimSun"/>
          <w:color w:val="000000"/>
          <w:spacing w:val="0"/>
          <w:w w:val="100"/>
          <w:position w:val="0"/>
          <w:sz w:val="22"/>
          <w:szCs w:val="22"/>
        </w:rPr>
        <w:t>家公司；本年新收购杭州西湖软件有限公司；本年较上年注销</w:t>
      </w:r>
      <w:r>
        <w:rPr>
          <w:color w:val="000000"/>
          <w:spacing w:val="0"/>
          <w:w w:val="100"/>
          <w:position w:val="0"/>
          <w:sz w:val="22"/>
          <w:szCs w:val="22"/>
        </w:rPr>
        <w:t>Straight Shots.r.o</w:t>
      </w:r>
      <w:r>
        <w:rPr>
          <w:rFonts w:ascii="SimSun" w:eastAsia="SimSun" w:hAnsi="SimSun" w:cs="SimSun"/>
          <w:color w:val="000000"/>
          <w:spacing w:val="0"/>
          <w:w w:val="100"/>
          <w:position w:val="0"/>
          <w:sz w:val="22"/>
          <w:szCs w:val="22"/>
        </w:rPr>
        <w:t xml:space="preserve">&gt; </w:t>
      </w:r>
      <w:r>
        <w:rPr>
          <w:rFonts w:ascii="SimSun" w:eastAsia="SimSun" w:hAnsi="SimSun" w:cs="SimSun"/>
          <w:color w:val="000000"/>
          <w:spacing w:val="0"/>
          <w:w w:val="100"/>
          <w:position w:val="0"/>
          <w:sz w:val="22"/>
          <w:szCs w:val="22"/>
        </w:rPr>
        <w:t>北京银科环企软件科技有限公司共</w:t>
      </w:r>
      <w:r>
        <w:rPr>
          <w:color w:val="000000"/>
          <w:spacing w:val="0"/>
          <w:w w:val="100"/>
          <w:position w:val="0"/>
          <w:sz w:val="22"/>
          <w:szCs w:val="22"/>
        </w:rPr>
        <w:t>2</w:t>
      </w:r>
      <w:r>
        <w:rPr>
          <w:rFonts w:ascii="SimSun" w:eastAsia="SimSun" w:hAnsi="SimSun" w:cs="SimSun"/>
          <w:color w:val="000000"/>
          <w:spacing w:val="0"/>
          <w:w w:val="100"/>
          <w:position w:val="0"/>
          <w:sz w:val="22"/>
          <w:szCs w:val="22"/>
        </w:rPr>
        <w:t>家公司；本年较上期，处置子公司</w:t>
      </w:r>
      <w:r>
        <w:rPr>
          <w:color w:val="000000"/>
          <w:spacing w:val="0"/>
          <w:w w:val="100"/>
          <w:position w:val="0"/>
          <w:sz w:val="22"/>
          <w:szCs w:val="22"/>
        </w:rPr>
        <w:t>StayNTouchlOO%</w:t>
      </w:r>
      <w:r>
        <w:rPr>
          <w:rFonts w:ascii="SimSun" w:eastAsia="SimSun" w:hAnsi="SimSun" w:cs="SimSun"/>
          <w:color w:val="000000"/>
          <w:spacing w:val="0"/>
          <w:w w:val="100"/>
          <w:position w:val="0"/>
          <w:sz w:val="22"/>
          <w:szCs w:val="22"/>
        </w:rPr>
        <w:t>股权；本年较 上期共更名</w:t>
      </w:r>
      <w:r>
        <w:rPr>
          <w:color w:val="000000"/>
          <w:spacing w:val="0"/>
          <w:w w:val="100"/>
          <w:position w:val="0"/>
          <w:sz w:val="22"/>
          <w:szCs w:val="22"/>
        </w:rPr>
        <w:t>3</w:t>
      </w:r>
      <w:r>
        <w:rPr>
          <w:rFonts w:ascii="SimSun" w:eastAsia="SimSun" w:hAnsi="SimSun" w:cs="SimSun"/>
          <w:color w:val="000000"/>
          <w:spacing w:val="0"/>
          <w:w w:val="100"/>
          <w:position w:val="0"/>
          <w:sz w:val="22"/>
          <w:szCs w:val="22"/>
        </w:rPr>
        <w:t xml:space="preserve">家公司，分别为银科环企软件（苏州）有限公司更名为石基环企软件（苏州）有限公司， </w:t>
      </w:r>
      <w:r>
        <w:rPr>
          <w:color w:val="000000"/>
          <w:spacing w:val="0"/>
          <w:w w:val="100"/>
          <w:position w:val="0"/>
          <w:sz w:val="22"/>
          <w:szCs w:val="22"/>
        </w:rPr>
        <w:t>My Check（ UK） Limited</w:t>
      </w:r>
      <w:r>
        <w:rPr>
          <w:rFonts w:ascii="SimSun" w:eastAsia="SimSun" w:hAnsi="SimSun" w:cs="SimSun"/>
          <w:color w:val="000000"/>
          <w:spacing w:val="0"/>
          <w:w w:val="100"/>
          <w:position w:val="0"/>
          <w:sz w:val="22"/>
          <w:szCs w:val="22"/>
        </w:rPr>
        <w:t>更名为</w:t>
      </w:r>
      <w:r>
        <w:rPr>
          <w:color w:val="000000"/>
          <w:spacing w:val="0"/>
          <w:w w:val="100"/>
          <w:position w:val="0"/>
          <w:sz w:val="22"/>
          <w:szCs w:val="22"/>
        </w:rPr>
        <w:t>Shiji（UK） Limited</w:t>
      </w:r>
      <w:r>
        <w:rPr>
          <w:rFonts w:ascii="SimSun" w:eastAsia="SimSun" w:hAnsi="SimSun" w:cs="SimSun"/>
          <w:color w:val="000000"/>
          <w:spacing w:val="0"/>
          <w:w w:val="100"/>
          <w:position w:val="0"/>
          <w:sz w:val="22"/>
          <w:szCs w:val="22"/>
        </w:rPr>
        <w:t xml:space="preserve">&gt; </w:t>
      </w:r>
      <w:r>
        <w:rPr>
          <w:color w:val="000000"/>
          <w:spacing w:val="0"/>
          <w:w w:val="100"/>
          <w:position w:val="0"/>
          <w:sz w:val="22"/>
          <w:szCs w:val="22"/>
        </w:rPr>
        <w:t>Review Rank S.A.</w:t>
      </w:r>
      <w:r>
        <w:rPr>
          <w:rFonts w:ascii="SimSun" w:eastAsia="SimSun" w:hAnsi="SimSun" w:cs="SimSun"/>
          <w:color w:val="000000"/>
          <w:spacing w:val="0"/>
          <w:w w:val="100"/>
          <w:position w:val="0"/>
          <w:sz w:val="22"/>
          <w:szCs w:val="22"/>
        </w:rPr>
        <w:t>更名为</w:t>
      </w:r>
      <w:r>
        <w:rPr>
          <w:color w:val="000000"/>
          <w:spacing w:val="0"/>
          <w:w w:val="100"/>
          <w:position w:val="0"/>
          <w:sz w:val="22"/>
          <w:szCs w:val="22"/>
        </w:rPr>
        <w:t>Shiji Informantion Technology Spain,S.A</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本年对股权结构进行重整，其中原隶属于</w:t>
      </w:r>
      <w:r>
        <w:rPr>
          <w:color w:val="000000"/>
          <w:spacing w:val="0"/>
          <w:w w:val="100"/>
          <w:position w:val="0"/>
          <w:sz w:val="22"/>
          <w:szCs w:val="22"/>
        </w:rPr>
        <w:t>Shiji Informantion Technology Spain,S.A</w:t>
      </w:r>
      <w:r>
        <w:rPr>
          <w:rFonts w:ascii="SimSun" w:eastAsia="SimSun" w:hAnsi="SimSun" w:cs="SimSun"/>
          <w:color w:val="000000"/>
          <w:spacing w:val="0"/>
          <w:w w:val="100"/>
          <w:position w:val="0"/>
          <w:sz w:val="22"/>
          <w:szCs w:val="22"/>
        </w:rPr>
        <w:t>的</w:t>
      </w:r>
      <w:r>
        <w:rPr>
          <w:color w:val="000000"/>
          <w:spacing w:val="0"/>
          <w:w w:val="100"/>
          <w:position w:val="0"/>
          <w:sz w:val="22"/>
          <w:szCs w:val="22"/>
        </w:rPr>
        <w:t>Review Rank S.A.</w:t>
      </w:r>
      <w:r>
        <w:rPr>
          <w:rFonts w:ascii="SimSun" w:eastAsia="SimSun" w:hAnsi="SimSun" w:cs="SimSun"/>
          <w:color w:val="000000"/>
          <w:spacing w:val="0"/>
          <w:w w:val="100"/>
          <w:position w:val="0"/>
          <w:sz w:val="22"/>
          <w:szCs w:val="22"/>
        </w:rPr>
        <w:t>、</w:t>
      </w:r>
      <w:r>
        <w:rPr>
          <w:color w:val="000000"/>
          <w:spacing w:val="0"/>
          <w:w w:val="100"/>
          <w:position w:val="0"/>
          <w:sz w:val="22"/>
          <w:szCs w:val="22"/>
        </w:rPr>
        <w:t>Review Pro Inc</w:t>
      </w:r>
      <w:r>
        <w:rPr>
          <w:rFonts w:ascii="SimSun" w:eastAsia="SimSun" w:hAnsi="SimSun" w:cs="SimSun"/>
          <w:color w:val="000000"/>
          <w:spacing w:val="0"/>
          <w:w w:val="100"/>
          <w:position w:val="0"/>
          <w:sz w:val="22"/>
          <w:szCs w:val="22"/>
        </w:rPr>
        <w:t>分别以吸收合并的方式并入</w:t>
      </w:r>
      <w:r>
        <w:rPr>
          <w:color w:val="000000"/>
          <w:spacing w:val="0"/>
          <w:w w:val="100"/>
          <w:position w:val="0"/>
          <w:sz w:val="22"/>
          <w:szCs w:val="22"/>
        </w:rPr>
        <w:t>SHIJI （SINGAPORE） PTE. LTD.</w:t>
      </w:r>
      <w:r>
        <w:rPr>
          <w:rFonts w:ascii="SimSun" w:eastAsia="SimSun" w:hAnsi="SimSun" w:cs="SimSun"/>
          <w:color w:val="000000"/>
          <w:spacing w:val="0"/>
          <w:w w:val="100"/>
          <w:position w:val="0"/>
          <w:sz w:val="22"/>
          <w:szCs w:val="22"/>
        </w:rPr>
        <w:t>、</w:t>
      </w:r>
      <w:r>
        <w:rPr>
          <w:color w:val="000000"/>
          <w:spacing w:val="0"/>
          <w:w w:val="100"/>
          <w:position w:val="0"/>
          <w:sz w:val="22"/>
          <w:szCs w:val="22"/>
        </w:rPr>
        <w:t>Shiji（US）Inc</w:t>
      </w:r>
      <w:r>
        <w:rPr>
          <w:rFonts w:ascii="SimSun" w:eastAsia="SimSun" w:hAnsi="SimSun" w:cs="SimSun"/>
          <w:color w:val="000000"/>
          <w:spacing w:val="0"/>
          <w:w w:val="100"/>
          <w:position w:val="0"/>
          <w:sz w:val="22"/>
          <w:szCs w:val="22"/>
        </w:rPr>
        <w:t xml:space="preserve">。 </w:t>
      </w:r>
      <w:r>
        <w:rPr>
          <w:rFonts w:ascii="SimSun" w:eastAsia="SimSun" w:hAnsi="SimSun" w:cs="SimSun"/>
          <w:color w:val="000000"/>
          <w:spacing w:val="0"/>
          <w:w w:val="100"/>
          <w:position w:val="0"/>
          <w:sz w:val="22"/>
          <w:szCs w:val="22"/>
        </w:rPr>
        <w:t>详见本附注</w:t>
      </w:r>
      <w:r>
        <w:rPr>
          <w:color w:val="000000"/>
          <w:spacing w:val="0"/>
          <w:w w:val="100"/>
          <w:position w:val="0"/>
          <w:sz w:val="22"/>
          <w:szCs w:val="22"/>
        </w:rPr>
        <w:t>“</w:t>
      </w:r>
      <w:r>
        <w:rPr>
          <w:rFonts w:ascii="SimSun" w:eastAsia="SimSun" w:hAnsi="SimSun" w:cs="SimSun"/>
          <w:color w:val="000000"/>
          <w:spacing w:val="0"/>
          <w:w w:val="100"/>
          <w:position w:val="0"/>
          <w:sz w:val="22"/>
          <w:szCs w:val="22"/>
        </w:rPr>
        <w:t>二、合并财务报表范围</w:t>
      </w:r>
      <w:r>
        <w:rPr>
          <w:color w:val="000000"/>
          <w:spacing w:val="0"/>
          <w:w w:val="100"/>
          <w:position w:val="0"/>
          <w:sz w:val="22"/>
          <w:szCs w:val="22"/>
        </w:rPr>
        <w:t>”</w:t>
      </w:r>
      <w:r>
        <w:rPr>
          <w:rFonts w:ascii="SimSun" w:eastAsia="SimSun" w:hAnsi="SimSun" w:cs="SimSun"/>
          <w:color w:val="000000"/>
          <w:spacing w:val="0"/>
          <w:w w:val="100"/>
          <w:position w:val="0"/>
          <w:sz w:val="22"/>
          <w:szCs w:val="22"/>
        </w:rPr>
        <w:t>相关内容。</w:t>
      </w:r>
    </w:p>
    <w:p>
      <w:pPr>
        <w:pStyle w:val="Style24"/>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九</w:t>
      </w:r>
      <w:bookmarkEnd w:id="451"/>
      <w:r>
        <w:rPr>
          <w:color w:val="000000"/>
          <w:spacing w:val="0"/>
          <w:w w:val="100"/>
          <w:position w:val="0"/>
        </w:rPr>
        <w:t>、聘任、解聘会计师事务所情况</w:t>
      </w:r>
      <w:bookmarkEnd w:id="449"/>
      <w:bookmarkEnd w:id="450"/>
      <w:bookmarkEnd w:id="45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bl>
    <w:p>
      <w:pPr>
        <w:widowControl w:val="0"/>
        <w:spacing w:line="1" w:lineRule="exact"/>
      </w:pP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张昆、张海啸</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r>
        <w:rPr>
          <w:color w:val="000000"/>
          <w:spacing w:val="0"/>
          <w:w w:val="100"/>
          <w:position w:val="0"/>
        </w:rPr>
        <w:t>十、年度报告披露后面临退市情况</w:t>
      </w:r>
      <w:bookmarkEnd w:id="453"/>
      <w:bookmarkEnd w:id="454"/>
      <w:bookmarkEnd w:id="45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r>
        <w:rPr>
          <w:color w:val="000000"/>
          <w:spacing w:val="0"/>
          <w:w w:val="100"/>
          <w:position w:val="0"/>
        </w:rPr>
        <w:t>十一、破产重整相关事项</w:t>
      </w:r>
      <w:bookmarkEnd w:id="456"/>
      <w:bookmarkEnd w:id="457"/>
      <w:bookmarkEnd w:id="45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r>
        <w:rPr>
          <w:color w:val="000000"/>
          <w:spacing w:val="0"/>
          <w:w w:val="100"/>
          <w:position w:val="0"/>
        </w:rPr>
        <w:t>十二、重大诉讼、仲裁事项</w:t>
      </w:r>
      <w:bookmarkEnd w:id="459"/>
      <w:bookmarkEnd w:id="460"/>
      <w:bookmarkEnd w:id="461"/>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r>
        <w:rPr>
          <w:color w:val="000000"/>
          <w:spacing w:val="0"/>
          <w:w w:val="100"/>
          <w:position w:val="0"/>
        </w:rPr>
        <w:t>十三、处罚及整改情况</w:t>
      </w:r>
      <w:bookmarkEnd w:id="462"/>
      <w:bookmarkEnd w:id="463"/>
      <w:bookmarkEnd w:id="46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r>
        <w:rPr>
          <w:color w:val="000000"/>
          <w:spacing w:val="0"/>
          <w:w w:val="100"/>
          <w:position w:val="0"/>
        </w:rPr>
        <w:t>十四、公司及其控股股东、实际控制人的诚信状况</w:t>
      </w:r>
      <w:bookmarkEnd w:id="465"/>
      <w:bookmarkEnd w:id="466"/>
      <w:bookmarkEnd w:id="467"/>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公司及其控股股东、实际控制人不存在任何不诚信的行为，包括但不限于：不存在未履行的法院生效判决、 所负数额较大的债务到期未清偿等情况。</w:t>
      </w:r>
    </w:p>
    <w:p>
      <w:pPr>
        <w:pStyle w:val="Style24"/>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r>
        <w:rPr>
          <w:color w:val="000000"/>
          <w:spacing w:val="0"/>
          <w:w w:val="100"/>
          <w:position w:val="0"/>
        </w:rPr>
        <w:t>十五、公司股权激励计划、员工持股计划或其他员工激励措施的实施情况</w:t>
      </w:r>
      <w:bookmarkEnd w:id="468"/>
      <w:bookmarkEnd w:id="469"/>
      <w:bookmarkEnd w:id="470"/>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40" w:line="312" w:lineRule="exact"/>
        <w:ind w:left="0" w:right="0" w:firstLine="440"/>
        <w:jc w:val="both"/>
      </w:pPr>
      <w:bookmarkStart w:id="471" w:name="bookmark471"/>
      <w:r>
        <w:rPr>
          <w:rFonts w:ascii="Times New Roman" w:eastAsia="Times New Roman" w:hAnsi="Times New Roman" w:cs="Times New Roman"/>
          <w:color w:val="000000"/>
          <w:spacing w:val="0"/>
          <w:w w:val="100"/>
          <w:position w:val="0"/>
        </w:rPr>
        <w:t>1</w:t>
      </w:r>
      <w:bookmarkEnd w:id="471"/>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日，公司召开第五届董事会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年第九次临时会议审议通过《关于</w:t>
      </w:r>
      <w:r>
        <w:rPr>
          <w:color w:val="000000"/>
          <w:spacing w:val="0"/>
          <w:w w:val="100"/>
          <w:position w:val="0"/>
        </w:rPr>
        <w:t>〈</w:t>
      </w:r>
      <w:r>
        <w:rPr>
          <w:color w:val="000000"/>
          <w:spacing w:val="0"/>
          <w:w w:val="100"/>
          <w:position w:val="0"/>
        </w:rPr>
        <w:t>北京中长石基信 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日刊登于《中国证券报》、《证券时报》以及巨潮资讯网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的相关公告。</w:t>
      </w:r>
    </w:p>
    <w:p>
      <w:pPr>
        <w:pStyle w:val="Style35"/>
        <w:keepNext w:val="0"/>
        <w:keepLines w:val="0"/>
        <w:widowControl w:val="0"/>
        <w:shd w:val="clear" w:color="auto" w:fill="auto"/>
        <w:tabs>
          <w:tab w:pos="685" w:val="left"/>
        </w:tabs>
        <w:bidi w:val="0"/>
        <w:spacing w:before="0" w:after="0" w:line="312" w:lineRule="exact"/>
        <w:ind w:left="0" w:right="0" w:firstLine="440"/>
        <w:jc w:val="both"/>
      </w:pPr>
      <w:bookmarkStart w:id="472" w:name="bookmark472"/>
      <w:r>
        <w:rPr>
          <w:rFonts w:ascii="Times New Roman" w:eastAsia="Times New Roman" w:hAnsi="Times New Roman" w:cs="Times New Roman"/>
          <w:color w:val="000000"/>
          <w:spacing w:val="0"/>
          <w:w w:val="100"/>
          <w:position w:val="0"/>
        </w:rPr>
        <w:t>2</w:t>
      </w:r>
      <w:bookmarkEnd w:id="472"/>
      <w:r>
        <w:rPr>
          <w:color w:val="000000"/>
          <w:spacing w:val="0"/>
          <w:w w:val="100"/>
          <w:position w:val="0"/>
        </w:rPr>
        <w:t>、</w:t>
        <w:tab/>
        <w:t>为了公司股权激励计划严格符合《股权激励管理办法》及深交所备忘录等配套制度规定，公司对 《</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及其摘要》进行了修订，并于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日召开第五届董事会</w:t>
      </w:r>
      <w:r>
        <w:rPr>
          <w:rFonts w:ascii="Times New Roman" w:eastAsia="Times New Roman" w:hAnsi="Times New Roman" w:cs="Times New Roman"/>
          <w:color w:val="000000"/>
          <w:spacing w:val="0"/>
          <w:w w:val="100"/>
          <w:position w:val="0"/>
        </w:rPr>
        <w:t>2016</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年第十次临时会议审议通过《关于</w:t>
      </w:r>
      <w:r>
        <w:rPr>
          <w:color w:val="000000"/>
          <w:spacing w:val="0"/>
          <w:w w:val="100"/>
          <w:position w:val="0"/>
        </w:rPr>
        <w:t>〈</w:t>
      </w: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年股票期权激励计划（草案 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日刊登于《中国证券报》、《证券时报》以及 </w:t>
      </w:r>
      <w:r>
        <w:rPr>
          <w:rStyle w:val="CharStyle39"/>
          <w:rFonts w:ascii="SimSun" w:eastAsia="SimSun" w:hAnsi="SimSun" w:cs="SimSun"/>
        </w:rPr>
        <w:t>巨潮资讯网</w:t>
      </w:r>
      <w:r>
        <w:rPr>
          <w:rStyle w:val="CharStyle39"/>
        </w:rPr>
        <w:t>www.cninfo.com.cn</w:t>
      </w:r>
      <w:r>
        <w:rPr>
          <w:rStyle w:val="CharStyle39"/>
          <w:rFonts w:ascii="SimSun" w:eastAsia="SimSun" w:hAnsi="SimSun" w:cs="SimSun"/>
        </w:rPr>
        <w:t>的相关公告。</w:t>
      </w:r>
    </w:p>
    <w:p>
      <w:pPr>
        <w:pStyle w:val="Style35"/>
        <w:keepNext w:val="0"/>
        <w:keepLines w:val="0"/>
        <w:widowControl w:val="0"/>
        <w:shd w:val="clear" w:color="auto" w:fill="auto"/>
        <w:tabs>
          <w:tab w:pos="750" w:val="left"/>
        </w:tabs>
        <w:bidi w:val="0"/>
        <w:spacing w:before="0" w:after="0" w:line="312" w:lineRule="exact"/>
        <w:ind w:left="0" w:right="0" w:firstLine="440"/>
        <w:jc w:val="both"/>
      </w:pPr>
      <w:bookmarkStart w:id="473" w:name="bookmark473"/>
      <w:r>
        <w:rPr>
          <w:rFonts w:ascii="Times New Roman" w:eastAsia="Times New Roman" w:hAnsi="Times New Roman" w:cs="Times New Roman"/>
          <w:color w:val="000000"/>
          <w:spacing w:val="0"/>
          <w:w w:val="100"/>
          <w:position w:val="0"/>
        </w:rPr>
        <w:t>3</w:t>
      </w:r>
      <w:bookmarkEnd w:id="47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年第三次临时股东大会审议通过上述议案，公司确定</w:t>
      </w:r>
      <w:r>
        <w:rPr>
          <w:rFonts w:ascii="Times New Roman" w:eastAsia="Times New Roman" w:hAnsi="Times New Roman" w:cs="Times New Roman"/>
          <w:color w:val="000000"/>
          <w:spacing w:val="0"/>
          <w:w w:val="100"/>
          <w:position w:val="0"/>
        </w:rPr>
        <w:t>2016</w:t>
      </w:r>
      <w:r>
        <w:rPr>
          <w:color w:val="000000"/>
          <w:spacing w:val="0"/>
          <w:w w:val="100"/>
          <w:position w:val="0"/>
        </w:rPr>
        <w:t>年股权激 励计划为：公司拟授予激励对象</w:t>
      </w:r>
      <w:r>
        <w:rPr>
          <w:rFonts w:ascii="Times New Roman" w:eastAsia="Times New Roman" w:hAnsi="Times New Roman" w:cs="Times New Roman"/>
          <w:color w:val="000000"/>
          <w:spacing w:val="0"/>
          <w:w w:val="100"/>
          <w:position w:val="0"/>
        </w:rPr>
        <w:t>800</w:t>
      </w:r>
      <w:r>
        <w:rPr>
          <w:color w:val="000000"/>
          <w:spacing w:val="0"/>
          <w:w w:val="100"/>
          <w:position w:val="0"/>
        </w:rPr>
        <w:t>万份股票期权（首次授予</w:t>
      </w:r>
      <w:r>
        <w:rPr>
          <w:rFonts w:ascii="Times New Roman" w:eastAsia="Times New Roman" w:hAnsi="Times New Roman" w:cs="Times New Roman"/>
          <w:color w:val="000000"/>
          <w:spacing w:val="0"/>
          <w:w w:val="100"/>
          <w:position w:val="0"/>
        </w:rPr>
        <w:t>738.5</w:t>
      </w:r>
      <w:r>
        <w:rPr>
          <w:color w:val="000000"/>
          <w:spacing w:val="0"/>
          <w:w w:val="100"/>
          <w:position w:val="0"/>
        </w:rPr>
        <w:t>万股，预留</w:t>
      </w:r>
      <w:r>
        <w:rPr>
          <w:rFonts w:ascii="Times New Roman" w:eastAsia="Times New Roman" w:hAnsi="Times New Roman" w:cs="Times New Roman"/>
          <w:color w:val="000000"/>
          <w:spacing w:val="0"/>
          <w:w w:val="100"/>
          <w:position w:val="0"/>
        </w:rPr>
        <w:t>61.5</w:t>
      </w:r>
      <w:r>
        <w:rPr>
          <w:color w:val="000000"/>
          <w:spacing w:val="0"/>
          <w:w w:val="100"/>
          <w:position w:val="0"/>
        </w:rPr>
        <w:t xml:space="preserve">万股），首次授予对象 </w:t>
      </w:r>
      <w:r>
        <w:rPr>
          <w:rFonts w:ascii="Times New Roman" w:eastAsia="Times New Roman" w:hAnsi="Times New Roman" w:cs="Times New Roman"/>
          <w:color w:val="000000"/>
          <w:spacing w:val="0"/>
          <w:w w:val="100"/>
          <w:position w:val="0"/>
        </w:rPr>
        <w:t>510</w:t>
      </w:r>
      <w:r>
        <w:rPr>
          <w:color w:val="000000"/>
          <w:spacing w:val="0"/>
          <w:w w:val="100"/>
          <w:position w:val="0"/>
        </w:rPr>
        <w:t>人，行权价格为</w:t>
      </w:r>
      <w:r>
        <w:rPr>
          <w:rFonts w:ascii="Times New Roman" w:eastAsia="Times New Roman" w:hAnsi="Times New Roman" w:cs="Times New Roman"/>
          <w:color w:val="000000"/>
          <w:spacing w:val="0"/>
          <w:w w:val="100"/>
          <w:position w:val="0"/>
        </w:rPr>
        <w:t>25.38</w:t>
      </w:r>
      <w:r>
        <w:rPr>
          <w:color w:val="000000"/>
          <w:spacing w:val="0"/>
          <w:w w:val="100"/>
          <w:position w:val="0"/>
        </w:rPr>
        <w:t>元，自授权日开始经过</w:t>
      </w:r>
      <w:r>
        <w:rPr>
          <w:rFonts w:ascii="Times New Roman" w:eastAsia="Times New Roman" w:hAnsi="Times New Roman" w:cs="Times New Roman"/>
          <w:color w:val="000000"/>
          <w:spacing w:val="0"/>
          <w:w w:val="100"/>
          <w:position w:val="0"/>
        </w:rPr>
        <w:t>24</w:t>
      </w:r>
      <w:r>
        <w:rPr>
          <w:color w:val="000000"/>
          <w:spacing w:val="0"/>
          <w:w w:val="100"/>
          <w:position w:val="0"/>
        </w:rPr>
        <w:t>个月的等待期，在满足行权条件的前提下，在可行权日 按照</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的行权比例分三期行权。详见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日刊登于《中国证券报》、《证券时报》 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的相关公告。</w:t>
      </w:r>
    </w:p>
    <w:p>
      <w:pPr>
        <w:pStyle w:val="Style35"/>
        <w:keepNext w:val="0"/>
        <w:keepLines w:val="0"/>
        <w:widowControl w:val="0"/>
        <w:shd w:val="clear" w:color="auto" w:fill="auto"/>
        <w:tabs>
          <w:tab w:pos="750" w:val="left"/>
        </w:tabs>
        <w:bidi w:val="0"/>
        <w:spacing w:before="0" w:after="0" w:line="312" w:lineRule="exact"/>
        <w:ind w:left="0" w:right="0" w:firstLine="440"/>
        <w:jc w:val="both"/>
      </w:pPr>
      <w:bookmarkStart w:id="474" w:name="bookmark474"/>
      <w:r>
        <w:rPr>
          <w:rFonts w:ascii="Times New Roman" w:eastAsia="Times New Roman" w:hAnsi="Times New Roman" w:cs="Times New Roman"/>
          <w:color w:val="000000"/>
          <w:spacing w:val="0"/>
          <w:w w:val="100"/>
          <w:position w:val="0"/>
        </w:rPr>
        <w:t>4</w:t>
      </w:r>
      <w:bookmarkEnd w:id="474"/>
      <w:r>
        <w:rPr>
          <w:color w:val="000000"/>
          <w:spacing w:val="0"/>
          <w:w w:val="100"/>
          <w:position w:val="0"/>
        </w:rPr>
        <w:t>、</w:t>
        <w:tab/>
        <w:t>根据股东大会授权及激励对象因离职或个人原因放弃本次授予的股票期权，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 司召开第五届董事会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年第十四次临时会议审议通过《关于调整</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年股票期权激励计划授予对象及授 予数量的议案》及《关于公司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年股票期权激励计划首次授予事项的议案》，确定以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日作 为股票期权激励计划的首次授予日，将首次授予激励对象由</w:t>
      </w:r>
      <w:r>
        <w:rPr>
          <w:rFonts w:ascii="Times New Roman" w:eastAsia="Times New Roman" w:hAnsi="Times New Roman" w:cs="Times New Roman"/>
          <w:color w:val="000000"/>
          <w:spacing w:val="0"/>
          <w:w w:val="100"/>
          <w:position w:val="0"/>
        </w:rPr>
        <w:t>510</w:t>
      </w:r>
      <w:r>
        <w:rPr>
          <w:color w:val="000000"/>
          <w:spacing w:val="0"/>
          <w:w w:val="100"/>
          <w:position w:val="0"/>
        </w:rPr>
        <w:t>名调整为</w:t>
      </w:r>
      <w:r>
        <w:rPr>
          <w:rFonts w:ascii="Times New Roman" w:eastAsia="Times New Roman" w:hAnsi="Times New Roman" w:cs="Times New Roman"/>
          <w:color w:val="000000"/>
          <w:spacing w:val="0"/>
          <w:w w:val="100"/>
          <w:position w:val="0"/>
        </w:rPr>
        <w:t>506</w:t>
      </w:r>
      <w:r>
        <w:rPr>
          <w:color w:val="000000"/>
          <w:spacing w:val="0"/>
          <w:w w:val="100"/>
          <w:position w:val="0"/>
        </w:rPr>
        <w:t>名，授予的股票期权数量由</w:t>
      </w:r>
      <w:r>
        <w:rPr>
          <w:rFonts w:ascii="Times New Roman" w:eastAsia="Times New Roman" w:hAnsi="Times New Roman" w:cs="Times New Roman"/>
          <w:color w:val="000000"/>
          <w:spacing w:val="0"/>
          <w:w w:val="100"/>
          <w:position w:val="0"/>
        </w:rPr>
        <w:t xml:space="preserve">800 </w:t>
      </w:r>
      <w:r>
        <w:rPr>
          <w:color w:val="000000"/>
          <w:spacing w:val="0"/>
          <w:w w:val="100"/>
          <w:position w:val="0"/>
        </w:rPr>
        <w:t>万份（首次授予</w:t>
      </w:r>
      <w:r>
        <w:rPr>
          <w:rFonts w:ascii="Times New Roman" w:eastAsia="Times New Roman" w:hAnsi="Times New Roman" w:cs="Times New Roman"/>
          <w:color w:val="000000"/>
          <w:spacing w:val="0"/>
          <w:w w:val="100"/>
          <w:position w:val="0"/>
        </w:rPr>
        <w:t>738.5</w:t>
      </w:r>
      <w:r>
        <w:rPr>
          <w:color w:val="000000"/>
          <w:spacing w:val="0"/>
          <w:w w:val="100"/>
          <w:position w:val="0"/>
        </w:rPr>
        <w:t>万份，预留</w:t>
      </w:r>
      <w:r>
        <w:rPr>
          <w:rFonts w:ascii="Times New Roman" w:eastAsia="Times New Roman" w:hAnsi="Times New Roman" w:cs="Times New Roman"/>
          <w:color w:val="000000"/>
          <w:spacing w:val="0"/>
          <w:w w:val="100"/>
          <w:position w:val="0"/>
        </w:rPr>
        <w:t>61.5</w:t>
      </w:r>
      <w:r>
        <w:rPr>
          <w:color w:val="000000"/>
          <w:spacing w:val="0"/>
          <w:w w:val="100"/>
          <w:position w:val="0"/>
        </w:rPr>
        <w:t>万份）调整为</w:t>
      </w:r>
      <w:r>
        <w:rPr>
          <w:rFonts w:ascii="Times New Roman" w:eastAsia="Times New Roman" w:hAnsi="Times New Roman" w:cs="Times New Roman"/>
          <w:color w:val="000000"/>
          <w:spacing w:val="0"/>
          <w:w w:val="100"/>
          <w:position w:val="0"/>
        </w:rPr>
        <w:t>797.28</w:t>
      </w:r>
      <w:r>
        <w:rPr>
          <w:color w:val="000000"/>
          <w:spacing w:val="0"/>
          <w:w w:val="100"/>
          <w:position w:val="0"/>
        </w:rPr>
        <w:t>万份（首次授予</w:t>
      </w:r>
      <w:r>
        <w:rPr>
          <w:rFonts w:ascii="Times New Roman" w:eastAsia="Times New Roman" w:hAnsi="Times New Roman" w:cs="Times New Roman"/>
          <w:color w:val="000000"/>
          <w:spacing w:val="0"/>
          <w:w w:val="100"/>
          <w:position w:val="0"/>
        </w:rPr>
        <w:t>735.78</w:t>
      </w:r>
      <w:r>
        <w:rPr>
          <w:color w:val="000000"/>
          <w:spacing w:val="0"/>
          <w:w w:val="100"/>
          <w:position w:val="0"/>
        </w:rPr>
        <w:t>万份，预留</w:t>
      </w:r>
      <w:r>
        <w:rPr>
          <w:rFonts w:ascii="Times New Roman" w:eastAsia="Times New Roman" w:hAnsi="Times New Roman" w:cs="Times New Roman"/>
          <w:color w:val="000000"/>
          <w:spacing w:val="0"/>
          <w:w w:val="100"/>
          <w:position w:val="0"/>
        </w:rPr>
        <w:t>61.5</w:t>
      </w:r>
      <w:r>
        <w:rPr>
          <w:color w:val="000000"/>
          <w:spacing w:val="0"/>
          <w:w w:val="100"/>
          <w:position w:val="0"/>
        </w:rPr>
        <w:t>万份）。详 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日刊登于《中国证券报》、《证券时报》以及巨潮资讯网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的相关公告。</w:t>
      </w:r>
    </w:p>
    <w:p>
      <w:pPr>
        <w:pStyle w:val="Style35"/>
        <w:keepNext w:val="0"/>
        <w:keepLines w:val="0"/>
        <w:widowControl w:val="0"/>
        <w:shd w:val="clear" w:color="auto" w:fill="auto"/>
        <w:tabs>
          <w:tab w:pos="750" w:val="left"/>
        </w:tabs>
        <w:bidi w:val="0"/>
        <w:spacing w:before="0" w:after="0" w:line="312" w:lineRule="exact"/>
        <w:ind w:left="0" w:right="0" w:firstLine="440"/>
        <w:jc w:val="both"/>
      </w:pPr>
      <w:bookmarkStart w:id="475" w:name="bookmark475"/>
      <w:r>
        <w:rPr>
          <w:rFonts w:ascii="Times New Roman" w:eastAsia="Times New Roman" w:hAnsi="Times New Roman" w:cs="Times New Roman"/>
          <w:color w:val="000000"/>
          <w:spacing w:val="0"/>
          <w:w w:val="100"/>
          <w:position w:val="0"/>
        </w:rPr>
        <w:t>5</w:t>
      </w:r>
      <w:bookmarkEnd w:id="475"/>
      <w:r>
        <w:rPr>
          <w:color w:val="000000"/>
          <w:spacing w:val="0"/>
          <w:w w:val="100"/>
          <w:position w:val="0"/>
        </w:rPr>
        <w:t>、</w:t>
        <w:tab/>
        <w:t>根据股东大会授权董事会办理公司股票期权激励计划的相关事宜，且经深圳证券交易所及中国证 券登记结算有限责任公司深圳分公司审核确认，公司于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日完成股票期权首次授予的登记工作, 期权简称：石基</w:t>
      </w:r>
      <w:r>
        <w:rPr>
          <w:rFonts w:ascii="Times New Roman" w:eastAsia="Times New Roman" w:hAnsi="Times New Roman" w:cs="Times New Roman"/>
          <w:color w:val="000000"/>
          <w:spacing w:val="0"/>
          <w:w w:val="100"/>
          <w:position w:val="0"/>
        </w:rPr>
        <w:t>JLC</w:t>
      </w:r>
      <w:r>
        <w:rPr>
          <w:rFonts w:ascii="Times New Roman" w:eastAsia="Times New Roman" w:hAnsi="Times New Roman" w:cs="Times New Roman"/>
          <w:color w:val="000000"/>
          <w:spacing w:val="0"/>
          <w:w w:val="100"/>
          <w:position w:val="0"/>
        </w:rPr>
        <w:t>2</w:t>
      </w:r>
      <w:r>
        <w:rPr>
          <w:color w:val="000000"/>
          <w:spacing w:val="0"/>
          <w:w w:val="100"/>
          <w:position w:val="0"/>
        </w:rPr>
        <w:t>；期权代码：</w:t>
      </w:r>
      <w:r>
        <w:rPr>
          <w:rFonts w:ascii="Times New Roman" w:eastAsia="Times New Roman" w:hAnsi="Times New Roman" w:cs="Times New Roman"/>
          <w:color w:val="000000"/>
          <w:spacing w:val="0"/>
          <w:w w:val="100"/>
          <w:position w:val="0"/>
        </w:rPr>
        <w:t>037724</w:t>
      </w:r>
      <w:r>
        <w:rPr>
          <w:color w:val="000000"/>
          <w:spacing w:val="0"/>
          <w:w w:val="100"/>
          <w:position w:val="0"/>
        </w:rPr>
        <w:t>。首次授予</w:t>
      </w:r>
      <w:r>
        <w:rPr>
          <w:rFonts w:ascii="Times New Roman" w:eastAsia="Times New Roman" w:hAnsi="Times New Roman" w:cs="Times New Roman"/>
          <w:color w:val="000000"/>
          <w:spacing w:val="0"/>
          <w:w w:val="100"/>
          <w:position w:val="0"/>
        </w:rPr>
        <w:t>506</w:t>
      </w:r>
      <w:r>
        <w:rPr>
          <w:color w:val="000000"/>
          <w:spacing w:val="0"/>
          <w:w w:val="100"/>
          <w:position w:val="0"/>
        </w:rPr>
        <w:t>名激励对象</w:t>
      </w:r>
      <w:r>
        <w:rPr>
          <w:rFonts w:ascii="Times New Roman" w:eastAsia="Times New Roman" w:hAnsi="Times New Roman" w:cs="Times New Roman"/>
          <w:color w:val="000000"/>
          <w:spacing w:val="0"/>
          <w:w w:val="100"/>
          <w:position w:val="0"/>
        </w:rPr>
        <w:t>735.78</w:t>
      </w:r>
      <w:r>
        <w:rPr>
          <w:color w:val="000000"/>
          <w:spacing w:val="0"/>
          <w:w w:val="100"/>
          <w:position w:val="0"/>
        </w:rPr>
        <w:t>万股股票期权，授予价格</w:t>
      </w:r>
      <w:r>
        <w:rPr>
          <w:rFonts w:ascii="Times New Roman" w:eastAsia="Times New Roman" w:hAnsi="Times New Roman" w:cs="Times New Roman"/>
          <w:color w:val="000000"/>
          <w:spacing w:val="0"/>
          <w:w w:val="100"/>
          <w:position w:val="0"/>
        </w:rPr>
        <w:t xml:space="preserve">25.38 </w:t>
      </w:r>
      <w:r>
        <w:rPr>
          <w:color w:val="000000"/>
          <w:spacing w:val="0"/>
          <w:w w:val="100"/>
          <w:position w:val="0"/>
        </w:rPr>
        <w:t>元，期权有效期</w:t>
      </w:r>
      <w:r>
        <w:rPr>
          <w:rFonts w:ascii="Times New Roman" w:eastAsia="Times New Roman" w:hAnsi="Times New Roman" w:cs="Times New Roman"/>
          <w:color w:val="000000"/>
          <w:spacing w:val="0"/>
          <w:w w:val="100"/>
          <w:position w:val="0"/>
        </w:rPr>
        <w:t>60</w:t>
      </w:r>
      <w:r>
        <w:rPr>
          <w:color w:val="000000"/>
          <w:spacing w:val="0"/>
          <w:w w:val="100"/>
          <w:position w:val="0"/>
        </w:rPr>
        <w:t>个月，等待期</w:t>
      </w:r>
      <w:r>
        <w:rPr>
          <w:rFonts w:ascii="Times New Roman" w:eastAsia="Times New Roman" w:hAnsi="Times New Roman" w:cs="Times New Roman"/>
          <w:color w:val="000000"/>
          <w:spacing w:val="0"/>
          <w:w w:val="100"/>
          <w:position w:val="0"/>
        </w:rPr>
        <w:t>24</w:t>
      </w:r>
      <w:r>
        <w:rPr>
          <w:color w:val="000000"/>
          <w:spacing w:val="0"/>
          <w:w w:val="100"/>
          <w:position w:val="0"/>
        </w:rPr>
        <w:t>个月，分三期行权。详见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日刊登于《中国证券报》、《证 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年股票期权激励计划首次授予登记完成的公告》</w:t>
      </w:r>
    </w:p>
    <w:p>
      <w:pPr>
        <w:pStyle w:val="Style38"/>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2016-71 </w:t>
      </w:r>
      <w:r>
        <w:rPr>
          <w:rFonts w:ascii="SimSun" w:eastAsia="SimSun" w:hAnsi="SimSun" w:cs="SimSun"/>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bookmarkStart w:id="476" w:name="bookmark476"/>
      <w:r>
        <w:rPr>
          <w:rFonts w:ascii="Times New Roman" w:eastAsia="Times New Roman" w:hAnsi="Times New Roman" w:cs="Times New Roman"/>
          <w:color w:val="000000"/>
          <w:spacing w:val="0"/>
          <w:w w:val="100"/>
          <w:position w:val="0"/>
        </w:rPr>
        <w:t>6</w:t>
      </w:r>
      <w:bookmarkEnd w:id="476"/>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日，鉴于公司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年度利润分配方案已实施完毕，根据公司《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 划（草案修订稿）》的相关规定及</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年第三次临时股东大会的授权，公司召开第六届董事会</w:t>
      </w:r>
      <w:r>
        <w:rPr>
          <w:rFonts w:ascii="Times New Roman" w:eastAsia="Times New Roman" w:hAnsi="Times New Roman" w:cs="Times New Roman"/>
          <w:color w:val="000000"/>
          <w:spacing w:val="0"/>
          <w:w w:val="100"/>
          <w:position w:val="0"/>
        </w:rPr>
        <w:t>2017</w:t>
      </w:r>
      <w:r>
        <w:rPr>
          <w:color w:val="000000"/>
          <w:spacing w:val="0"/>
          <w:w w:val="100"/>
          <w:position w:val="0"/>
        </w:rPr>
        <w:t>年第 六次临时会议审议通过《关于调整公司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年股票期权激励计划首次授予期权行权价格的议案》，同意公 司董事会对公司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年股票期权激励计划首次授予期权的行权价格由原行权价格</w:t>
      </w:r>
      <w:r>
        <w:rPr>
          <w:rFonts w:ascii="Times New Roman" w:eastAsia="Times New Roman" w:hAnsi="Times New Roman" w:cs="Times New Roman"/>
          <w:color w:val="000000"/>
          <w:spacing w:val="0"/>
          <w:w w:val="100"/>
          <w:position w:val="0"/>
        </w:rPr>
        <w:t>25.38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25.34</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股（行权价格保留两位小数）。详见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日刊登于《中国证券报》、《证券时报》及巨潮资讯网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年股票期权激励计划首次授予期权行权价格的公告》（</w:t>
      </w:r>
      <w:r>
        <w:rPr>
          <w:rFonts w:ascii="Times New Roman" w:eastAsia="Times New Roman" w:hAnsi="Times New Roman" w:cs="Times New Roman"/>
          <w:color w:val="000000"/>
          <w:spacing w:val="0"/>
          <w:w w:val="100"/>
          <w:position w:val="0"/>
        </w:rPr>
        <w:t>2017-36</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bookmarkStart w:id="477" w:name="bookmark477"/>
      <w:r>
        <w:rPr>
          <w:rFonts w:ascii="Times New Roman" w:eastAsia="Times New Roman" w:hAnsi="Times New Roman" w:cs="Times New Roman"/>
          <w:color w:val="000000"/>
          <w:spacing w:val="0"/>
          <w:w w:val="100"/>
          <w:position w:val="0"/>
        </w:rPr>
        <w:t>7</w:t>
      </w:r>
      <w:bookmarkEnd w:id="477"/>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日，公司召开第六届董事会</w:t>
      </w:r>
      <w:r>
        <w:rPr>
          <w:rFonts w:ascii="Times New Roman" w:eastAsia="Times New Roman" w:hAnsi="Times New Roman" w:cs="Times New Roman"/>
          <w:color w:val="000000"/>
          <w:spacing w:val="0"/>
          <w:w w:val="100"/>
          <w:position w:val="0"/>
        </w:rPr>
        <w:t>2017</w:t>
      </w:r>
      <w:r>
        <w:rPr>
          <w:color w:val="000000"/>
          <w:spacing w:val="0"/>
          <w:w w:val="100"/>
          <w:position w:val="0"/>
        </w:rPr>
        <w:t>年第七次临时会议审议通过《关于调整</w:t>
      </w:r>
      <w:r>
        <w:rPr>
          <w:rFonts w:ascii="Times New Roman" w:eastAsia="Times New Roman" w:hAnsi="Times New Roman" w:cs="Times New Roman"/>
          <w:color w:val="000000"/>
          <w:spacing w:val="0"/>
          <w:w w:val="100"/>
          <w:position w:val="0"/>
        </w:rPr>
        <w:t>2016</w:t>
      </w:r>
      <w:r>
        <w:rPr>
          <w:color w:val="000000"/>
          <w:spacing w:val="0"/>
          <w:w w:val="100"/>
          <w:position w:val="0"/>
        </w:rPr>
        <w:t>年股票期 权激励计划首次授予对象、授予数量及注销部分期权的议案》及《关于公司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年股票期权激励计划预留 股票期权授予相关事项的议案》，将公司股权激励计划首次授予的激励对象人数由</w:t>
      </w:r>
      <w:r>
        <w:rPr>
          <w:rFonts w:ascii="Times New Roman" w:eastAsia="Times New Roman" w:hAnsi="Times New Roman" w:cs="Times New Roman"/>
          <w:color w:val="000000"/>
          <w:spacing w:val="0"/>
          <w:w w:val="100"/>
          <w:position w:val="0"/>
        </w:rPr>
        <w:t>506</w:t>
      </w:r>
      <w:r>
        <w:rPr>
          <w:color w:val="000000"/>
          <w:spacing w:val="0"/>
          <w:w w:val="100"/>
          <w:position w:val="0"/>
        </w:rPr>
        <w:t>名调整为</w:t>
      </w:r>
      <w:r>
        <w:rPr>
          <w:rFonts w:ascii="Times New Roman" w:eastAsia="Times New Roman" w:hAnsi="Times New Roman" w:cs="Times New Roman"/>
          <w:color w:val="000000"/>
          <w:spacing w:val="0"/>
          <w:w w:val="100"/>
          <w:position w:val="0"/>
        </w:rPr>
        <w:t>494</w:t>
      </w:r>
      <w:r>
        <w:rPr>
          <w:color w:val="000000"/>
          <w:spacing w:val="0"/>
          <w:w w:val="100"/>
          <w:position w:val="0"/>
        </w:rPr>
        <w:t>名，授 予的股票期权数量由</w:t>
      </w:r>
      <w:r>
        <w:rPr>
          <w:rFonts w:ascii="Times New Roman" w:eastAsia="Times New Roman" w:hAnsi="Times New Roman" w:cs="Times New Roman"/>
          <w:color w:val="000000"/>
          <w:spacing w:val="0"/>
          <w:w w:val="100"/>
          <w:position w:val="0"/>
        </w:rPr>
        <w:t>797.28</w:t>
      </w:r>
      <w:r>
        <w:rPr>
          <w:color w:val="000000"/>
          <w:spacing w:val="0"/>
          <w:w w:val="100"/>
          <w:position w:val="0"/>
        </w:rPr>
        <w:t>万股（其中首次授予</w:t>
      </w:r>
      <w:r>
        <w:rPr>
          <w:rFonts w:ascii="Times New Roman" w:eastAsia="Times New Roman" w:hAnsi="Times New Roman" w:cs="Times New Roman"/>
          <w:color w:val="000000"/>
          <w:spacing w:val="0"/>
          <w:w w:val="100"/>
          <w:position w:val="0"/>
        </w:rPr>
        <w:t>735.78</w:t>
      </w:r>
      <w:r>
        <w:rPr>
          <w:color w:val="000000"/>
          <w:spacing w:val="0"/>
          <w:w w:val="100"/>
          <w:position w:val="0"/>
        </w:rPr>
        <w:t>万股，预留</w:t>
      </w:r>
      <w:r>
        <w:rPr>
          <w:rFonts w:ascii="Times New Roman" w:eastAsia="Times New Roman" w:hAnsi="Times New Roman" w:cs="Times New Roman"/>
          <w:color w:val="000000"/>
          <w:spacing w:val="0"/>
          <w:w w:val="100"/>
          <w:position w:val="0"/>
        </w:rPr>
        <w:t>61.5</w:t>
      </w:r>
      <w:r>
        <w:rPr>
          <w:color w:val="000000"/>
          <w:spacing w:val="0"/>
          <w:w w:val="100"/>
          <w:position w:val="0"/>
        </w:rPr>
        <w:t>万股）调整为</w:t>
      </w:r>
      <w:r>
        <w:rPr>
          <w:rFonts w:ascii="Times New Roman" w:eastAsia="Times New Roman" w:hAnsi="Times New Roman" w:cs="Times New Roman"/>
          <w:color w:val="000000"/>
          <w:spacing w:val="0"/>
          <w:w w:val="100"/>
          <w:position w:val="0"/>
        </w:rPr>
        <w:t>786.23</w:t>
      </w:r>
      <w:r>
        <w:rPr>
          <w:color w:val="000000"/>
          <w:spacing w:val="0"/>
          <w:w w:val="100"/>
          <w:position w:val="0"/>
        </w:rPr>
        <w:t>万股（其中首次 授予</w:t>
      </w:r>
      <w:r>
        <w:rPr>
          <w:rFonts w:ascii="Times New Roman" w:eastAsia="Times New Roman" w:hAnsi="Times New Roman" w:cs="Times New Roman"/>
          <w:color w:val="000000"/>
          <w:spacing w:val="0"/>
          <w:w w:val="100"/>
          <w:position w:val="0"/>
        </w:rPr>
        <w:t>724.73</w:t>
      </w:r>
      <w:r>
        <w:rPr>
          <w:color w:val="000000"/>
          <w:spacing w:val="0"/>
          <w:w w:val="100"/>
          <w:position w:val="0"/>
        </w:rPr>
        <w:t>万股，预留</w:t>
      </w:r>
      <w:r>
        <w:rPr>
          <w:rFonts w:ascii="Times New Roman" w:eastAsia="Times New Roman" w:hAnsi="Times New Roman" w:cs="Times New Roman"/>
          <w:color w:val="000000"/>
          <w:spacing w:val="0"/>
          <w:w w:val="100"/>
          <w:position w:val="0"/>
        </w:rPr>
        <w:t>61.5</w:t>
      </w:r>
      <w:r>
        <w:rPr>
          <w:color w:val="000000"/>
          <w:spacing w:val="0"/>
          <w:w w:val="100"/>
          <w:position w:val="0"/>
        </w:rPr>
        <w:t>万股），同时同意向</w:t>
      </w:r>
      <w:r>
        <w:rPr>
          <w:rFonts w:ascii="Times New Roman" w:eastAsia="Times New Roman" w:hAnsi="Times New Roman" w:cs="Times New Roman"/>
          <w:color w:val="000000"/>
          <w:spacing w:val="0"/>
          <w:w w:val="100"/>
          <w:position w:val="0"/>
        </w:rPr>
        <w:t>32</w:t>
      </w:r>
      <w:r>
        <w:rPr>
          <w:color w:val="000000"/>
          <w:spacing w:val="0"/>
          <w:w w:val="100"/>
          <w:position w:val="0"/>
        </w:rPr>
        <w:t>名股权激励对象授予预留的</w:t>
      </w:r>
      <w:r>
        <w:rPr>
          <w:rFonts w:ascii="Times New Roman" w:eastAsia="Times New Roman" w:hAnsi="Times New Roman" w:cs="Times New Roman"/>
          <w:color w:val="000000"/>
          <w:spacing w:val="0"/>
          <w:w w:val="100"/>
          <w:position w:val="0"/>
        </w:rPr>
        <w:t>61.5</w:t>
      </w:r>
      <w:r>
        <w:rPr>
          <w:color w:val="000000"/>
          <w:spacing w:val="0"/>
          <w:w w:val="100"/>
          <w:position w:val="0"/>
        </w:rPr>
        <w:t>万股股票期权。详见</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日刊登于《中国证券报》、《证券时报》及巨潮资讯网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的相关公告。</w:t>
      </w:r>
    </w:p>
    <w:p>
      <w:pPr>
        <w:pStyle w:val="Style35"/>
        <w:keepNext w:val="0"/>
        <w:keepLines w:val="0"/>
        <w:widowControl w:val="0"/>
        <w:shd w:val="clear" w:color="auto" w:fill="auto"/>
        <w:tabs>
          <w:tab w:pos="750" w:val="left"/>
        </w:tabs>
        <w:bidi w:val="0"/>
        <w:spacing w:before="0" w:after="0" w:line="312" w:lineRule="exact"/>
        <w:ind w:left="0" w:right="0" w:firstLine="440"/>
        <w:jc w:val="both"/>
      </w:pPr>
      <w:bookmarkStart w:id="478" w:name="bookmark478"/>
      <w:r>
        <w:rPr>
          <w:rFonts w:ascii="Times New Roman" w:eastAsia="Times New Roman" w:hAnsi="Times New Roman" w:cs="Times New Roman"/>
          <w:color w:val="000000"/>
          <w:spacing w:val="0"/>
          <w:w w:val="100"/>
          <w:position w:val="0"/>
        </w:rPr>
        <w:t>8</w:t>
      </w:r>
      <w:bookmarkEnd w:id="478"/>
      <w:r>
        <w:rPr>
          <w:color w:val="000000"/>
          <w:spacing w:val="0"/>
          <w:w w:val="100"/>
          <w:position w:val="0"/>
        </w:rPr>
        <w:t>、</w:t>
        <w:tab/>
        <w:t>经深圳证券交易所及中国证券登记结算有限责任公司深圳分公司审核确认，公司于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完成</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年股票期权激励计划预留股份授予登记工作，期权简称：石基</w:t>
      </w:r>
      <w:r>
        <w:rPr>
          <w:rFonts w:ascii="Times New Roman" w:eastAsia="Times New Roman" w:hAnsi="Times New Roman" w:cs="Times New Roman"/>
          <w:color w:val="000000"/>
          <w:spacing w:val="0"/>
          <w:w w:val="100"/>
          <w:position w:val="0"/>
        </w:rPr>
        <w:t>JLC3</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rPr>
        <w:t>037747</w:t>
      </w:r>
      <w:r>
        <w:rPr>
          <w:color w:val="000000"/>
          <w:spacing w:val="0"/>
          <w:w w:val="100"/>
          <w:position w:val="0"/>
        </w:rPr>
        <w:t>。预留授 予</w:t>
      </w:r>
      <w:r>
        <w:rPr>
          <w:rFonts w:ascii="Times New Roman" w:eastAsia="Times New Roman" w:hAnsi="Times New Roman" w:cs="Times New Roman"/>
          <w:color w:val="000000"/>
          <w:spacing w:val="0"/>
          <w:w w:val="100"/>
          <w:position w:val="0"/>
        </w:rPr>
        <w:t>32</w:t>
      </w:r>
      <w:r>
        <w:rPr>
          <w:color w:val="000000"/>
          <w:spacing w:val="0"/>
          <w:w w:val="100"/>
          <w:position w:val="0"/>
        </w:rPr>
        <w:t>名激励对象</w:t>
      </w:r>
      <w:r>
        <w:rPr>
          <w:rFonts w:ascii="Times New Roman" w:eastAsia="Times New Roman" w:hAnsi="Times New Roman" w:cs="Times New Roman"/>
          <w:color w:val="000000"/>
          <w:spacing w:val="0"/>
          <w:w w:val="100"/>
          <w:position w:val="0"/>
        </w:rPr>
        <w:t>61.5</w:t>
      </w:r>
      <w:r>
        <w:rPr>
          <w:color w:val="000000"/>
          <w:spacing w:val="0"/>
          <w:w w:val="100"/>
          <w:position w:val="0"/>
        </w:rPr>
        <w:t>万股股票期权，授予价格</w:t>
      </w:r>
      <w:r>
        <w:rPr>
          <w:rFonts w:ascii="Times New Roman" w:eastAsia="Times New Roman" w:hAnsi="Times New Roman" w:cs="Times New Roman"/>
          <w:color w:val="000000"/>
          <w:spacing w:val="0"/>
          <w:w w:val="100"/>
          <w:position w:val="0"/>
        </w:rPr>
        <w:t>25.34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股，期权有效期</w:t>
      </w:r>
      <w:r>
        <w:rPr>
          <w:rFonts w:ascii="Times New Roman" w:eastAsia="Times New Roman" w:hAnsi="Times New Roman" w:cs="Times New Roman"/>
          <w:color w:val="000000"/>
          <w:spacing w:val="0"/>
          <w:w w:val="100"/>
          <w:position w:val="0"/>
        </w:rPr>
        <w:t>48</w:t>
      </w:r>
      <w:r>
        <w:rPr>
          <w:color w:val="000000"/>
          <w:spacing w:val="0"/>
          <w:w w:val="100"/>
          <w:position w:val="0"/>
        </w:rPr>
        <w:t>个月，等待期</w:t>
      </w:r>
      <w:r>
        <w:rPr>
          <w:rFonts w:ascii="Times New Roman" w:eastAsia="Times New Roman" w:hAnsi="Times New Roman" w:cs="Times New Roman"/>
          <w:color w:val="000000"/>
          <w:spacing w:val="0"/>
          <w:w w:val="100"/>
          <w:position w:val="0"/>
        </w:rPr>
        <w:t>24</w:t>
      </w:r>
      <w:r>
        <w:rPr>
          <w:color w:val="000000"/>
          <w:spacing w:val="0"/>
          <w:w w:val="100"/>
          <w:position w:val="0"/>
        </w:rPr>
        <w:t>个月，分两期行权。 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日刊登于《中国证券报》、《证券时报》及巨潮资讯网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年股票期权激励计划预留股票期权授予登记完成的公告》（</w:t>
      </w:r>
      <w:r>
        <w:rPr>
          <w:rFonts w:ascii="Times New Roman" w:eastAsia="Times New Roman" w:hAnsi="Times New Roman" w:cs="Times New Roman"/>
          <w:color w:val="000000"/>
          <w:spacing w:val="0"/>
          <w:w w:val="100"/>
          <w:position w:val="0"/>
        </w:rPr>
        <w:t>2017-47</w:t>
      </w:r>
      <w:r>
        <w:rPr>
          <w:color w:val="000000"/>
          <w:spacing w:val="0"/>
          <w:w w:val="100"/>
          <w:position w:val="0"/>
        </w:rPr>
        <w:t>）。</w:t>
      </w:r>
    </w:p>
    <w:p>
      <w:pPr>
        <w:pStyle w:val="Style35"/>
        <w:keepNext w:val="0"/>
        <w:keepLines w:val="0"/>
        <w:widowControl w:val="0"/>
        <w:shd w:val="clear" w:color="auto" w:fill="auto"/>
        <w:tabs>
          <w:tab w:pos="750" w:val="left"/>
        </w:tabs>
        <w:bidi w:val="0"/>
        <w:spacing w:before="0" w:after="0" w:line="312" w:lineRule="exact"/>
        <w:ind w:left="0" w:right="0" w:firstLine="440"/>
        <w:jc w:val="both"/>
      </w:pPr>
      <w:bookmarkStart w:id="479" w:name="bookmark479"/>
      <w:r>
        <w:rPr>
          <w:rFonts w:ascii="Times New Roman" w:eastAsia="Times New Roman" w:hAnsi="Times New Roman" w:cs="Times New Roman"/>
          <w:color w:val="000000"/>
          <w:spacing w:val="0"/>
          <w:w w:val="100"/>
          <w:position w:val="0"/>
        </w:rPr>
        <w:t>9</w:t>
      </w:r>
      <w:bookmarkEnd w:id="479"/>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日，鉴于公司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年度利润分配方案已实施完毕，根据公司《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 划（草案修订稿）》的相关规定及</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年第三次临时股东大会的授权，公司召开第六届董事会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 四次临时会议审议通过《关于调整公司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w:t>
      </w:r>
      <w:r>
        <w:rPr>
          <w:color w:val="000000"/>
          <w:spacing w:val="0"/>
          <w:w w:val="100"/>
          <w:position w:val="0"/>
        </w:rPr>
        <w:t>〉</w:t>
      </w:r>
      <w:r>
        <w:rPr>
          <w:color w:val="000000"/>
          <w:spacing w:val="0"/>
          <w:w w:val="100"/>
          <w:position w:val="0"/>
        </w:rPr>
        <w:t>授予期权行权价格的议案》，同意公司 董事会对公司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年股票期权激励计划首次及预留授予期权的行权价格由原行权价格</w:t>
      </w:r>
      <w:r>
        <w:rPr>
          <w:rFonts w:ascii="Times New Roman" w:eastAsia="Times New Roman" w:hAnsi="Times New Roman" w:cs="Times New Roman"/>
          <w:color w:val="000000"/>
          <w:spacing w:val="0"/>
          <w:w w:val="100"/>
          <w:position w:val="0"/>
        </w:rPr>
        <w:t>25.34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rPr>
        <w:t>25.24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股（行权价格保留两位小数）。详见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日刊登于《中国证券报》、《证券时报》及巨潮 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年股票期权激励计划授予期权行权价格的公告》</w:t>
      </w:r>
    </w:p>
    <w:p>
      <w:pPr>
        <w:pStyle w:val="Style38"/>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rPr>
        <w:t>（</w:t>
      </w:r>
      <w:r>
        <w:rPr>
          <w:color w:val="000000"/>
          <w:spacing w:val="0"/>
          <w:w w:val="100"/>
          <w:position w:val="0"/>
        </w:rPr>
        <w:t>2018-33</w:t>
      </w:r>
      <w:r>
        <w:rPr>
          <w:rFonts w:ascii="SimSun" w:eastAsia="SimSun" w:hAnsi="SimSun" w:cs="SimSun"/>
          <w:color w:val="000000"/>
          <w:spacing w:val="0"/>
          <w:w w:val="100"/>
          <w:position w:val="0"/>
        </w:rPr>
        <w:t>）。</w:t>
      </w:r>
    </w:p>
    <w:p>
      <w:pPr>
        <w:pStyle w:val="Style35"/>
        <w:keepNext w:val="0"/>
        <w:keepLines w:val="0"/>
        <w:widowControl w:val="0"/>
        <w:shd w:val="clear" w:color="auto" w:fill="auto"/>
        <w:tabs>
          <w:tab w:pos="831" w:val="left"/>
        </w:tabs>
        <w:bidi w:val="0"/>
        <w:spacing w:before="0" w:after="0" w:line="312" w:lineRule="exact"/>
        <w:ind w:left="0" w:right="0" w:firstLine="440"/>
        <w:jc w:val="both"/>
      </w:pPr>
      <w:bookmarkStart w:id="480" w:name="bookmark480"/>
      <w:r>
        <w:rPr>
          <w:rFonts w:ascii="Times New Roman" w:eastAsia="Times New Roman" w:hAnsi="Times New Roman" w:cs="Times New Roman"/>
          <w:color w:val="000000"/>
          <w:spacing w:val="0"/>
          <w:w w:val="100"/>
          <w:position w:val="0"/>
        </w:rPr>
        <w:t>1</w:t>
      </w:r>
      <w:bookmarkEnd w:id="480"/>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日，公司召开第六届董事会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年第六次临时会议审议通过《关于调整</w:t>
      </w:r>
      <w:r>
        <w:rPr>
          <w:rFonts w:ascii="Times New Roman" w:eastAsia="Times New Roman" w:hAnsi="Times New Roman" w:cs="Times New Roman"/>
          <w:color w:val="000000"/>
          <w:spacing w:val="0"/>
          <w:w w:val="100"/>
          <w:position w:val="0"/>
        </w:rPr>
        <w:t>2016</w:t>
      </w:r>
      <w:r>
        <w:rPr>
          <w:color w:val="000000"/>
          <w:spacing w:val="0"/>
          <w:w w:val="100"/>
          <w:position w:val="0"/>
        </w:rPr>
        <w:t>年股票 期权激励计划授予对象、授予数量及注销部分期权的议案》，公司股权激励计划首次授予的激励对象人数</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w:t>
      </w:r>
      <w:r>
        <w:rPr>
          <w:rFonts w:ascii="Times New Roman" w:eastAsia="Times New Roman" w:hAnsi="Times New Roman" w:cs="Times New Roman"/>
          <w:color w:val="000000"/>
          <w:spacing w:val="0"/>
          <w:w w:val="100"/>
          <w:position w:val="0"/>
        </w:rPr>
        <w:t>494</w:t>
      </w:r>
      <w:r>
        <w:rPr>
          <w:color w:val="000000"/>
          <w:spacing w:val="0"/>
          <w:w w:val="100"/>
          <w:position w:val="0"/>
        </w:rPr>
        <w:t>名调整为</w:t>
      </w:r>
      <w:r>
        <w:rPr>
          <w:rFonts w:ascii="Times New Roman" w:eastAsia="Times New Roman" w:hAnsi="Times New Roman" w:cs="Times New Roman"/>
          <w:color w:val="000000"/>
          <w:spacing w:val="0"/>
          <w:w w:val="100"/>
          <w:position w:val="0"/>
        </w:rPr>
        <w:t>462</w:t>
      </w:r>
      <w:r>
        <w:rPr>
          <w:color w:val="000000"/>
          <w:spacing w:val="0"/>
          <w:w w:val="100"/>
          <w:position w:val="0"/>
        </w:rPr>
        <w:t>名，预留授予的激励对象人数由</w:t>
      </w:r>
      <w:r>
        <w:rPr>
          <w:rFonts w:ascii="Times New Roman" w:eastAsia="Times New Roman" w:hAnsi="Times New Roman" w:cs="Times New Roman"/>
          <w:color w:val="000000"/>
          <w:spacing w:val="0"/>
          <w:w w:val="100"/>
          <w:position w:val="0"/>
        </w:rPr>
        <w:t>32</w:t>
      </w:r>
      <w:r>
        <w:rPr>
          <w:color w:val="000000"/>
          <w:spacing w:val="0"/>
          <w:w w:val="100"/>
          <w:position w:val="0"/>
        </w:rPr>
        <w:t>名调整为</w:t>
      </w:r>
      <w:r>
        <w:rPr>
          <w:rFonts w:ascii="Times New Roman" w:eastAsia="Times New Roman" w:hAnsi="Times New Roman" w:cs="Times New Roman"/>
          <w:color w:val="000000"/>
          <w:spacing w:val="0"/>
          <w:w w:val="100"/>
          <w:position w:val="0"/>
        </w:rPr>
        <w:t>29</w:t>
      </w:r>
      <w:r>
        <w:rPr>
          <w:color w:val="000000"/>
          <w:spacing w:val="0"/>
          <w:w w:val="100"/>
          <w:position w:val="0"/>
        </w:rPr>
        <w:t>名，授予的股票期权数量由</w:t>
      </w:r>
      <w:r>
        <w:rPr>
          <w:rFonts w:ascii="Times New Roman" w:eastAsia="Times New Roman" w:hAnsi="Times New Roman" w:cs="Times New Roman"/>
          <w:color w:val="000000"/>
          <w:spacing w:val="0"/>
          <w:w w:val="100"/>
          <w:position w:val="0"/>
        </w:rPr>
        <w:t>786.23</w:t>
      </w:r>
      <w:r>
        <w:rPr>
          <w:color w:val="000000"/>
          <w:spacing w:val="0"/>
          <w:w w:val="100"/>
          <w:position w:val="0"/>
        </w:rPr>
        <w:t>万股（其 中首次授予</w:t>
      </w:r>
      <w:r>
        <w:rPr>
          <w:rFonts w:ascii="Times New Roman" w:eastAsia="Times New Roman" w:hAnsi="Times New Roman" w:cs="Times New Roman"/>
          <w:color w:val="000000"/>
          <w:spacing w:val="0"/>
          <w:w w:val="100"/>
          <w:position w:val="0"/>
        </w:rPr>
        <w:t>724.73</w:t>
      </w:r>
      <w:r>
        <w:rPr>
          <w:color w:val="000000"/>
          <w:spacing w:val="0"/>
          <w:w w:val="100"/>
          <w:position w:val="0"/>
        </w:rPr>
        <w:t>万股，预留</w:t>
      </w:r>
      <w:r>
        <w:rPr>
          <w:rFonts w:ascii="Times New Roman" w:eastAsia="Times New Roman" w:hAnsi="Times New Roman" w:cs="Times New Roman"/>
          <w:color w:val="000000"/>
          <w:spacing w:val="0"/>
          <w:w w:val="100"/>
          <w:position w:val="0"/>
        </w:rPr>
        <w:t>61.5</w:t>
      </w:r>
      <w:r>
        <w:rPr>
          <w:color w:val="000000"/>
          <w:spacing w:val="0"/>
          <w:w w:val="100"/>
          <w:position w:val="0"/>
        </w:rPr>
        <w:t>万股）调整为</w:t>
      </w:r>
      <w:r>
        <w:rPr>
          <w:rFonts w:ascii="Times New Roman" w:eastAsia="Times New Roman" w:hAnsi="Times New Roman" w:cs="Times New Roman"/>
          <w:color w:val="000000"/>
          <w:spacing w:val="0"/>
          <w:w w:val="100"/>
          <w:position w:val="0"/>
        </w:rPr>
        <w:t>752.76</w:t>
      </w:r>
      <w:r>
        <w:rPr>
          <w:color w:val="000000"/>
          <w:spacing w:val="0"/>
          <w:w w:val="100"/>
          <w:position w:val="0"/>
        </w:rPr>
        <w:t>万股（其中首次授予</w:t>
      </w:r>
      <w:r>
        <w:rPr>
          <w:rFonts w:ascii="Times New Roman" w:eastAsia="Times New Roman" w:hAnsi="Times New Roman" w:cs="Times New Roman"/>
          <w:color w:val="000000"/>
          <w:spacing w:val="0"/>
          <w:w w:val="100"/>
          <w:position w:val="0"/>
        </w:rPr>
        <w:t>693.76</w:t>
      </w:r>
      <w:r>
        <w:rPr>
          <w:color w:val="000000"/>
          <w:spacing w:val="0"/>
          <w:w w:val="100"/>
          <w:position w:val="0"/>
        </w:rPr>
        <w:t>万股，预留</w:t>
      </w:r>
      <w:r>
        <w:rPr>
          <w:rFonts w:ascii="Times New Roman" w:eastAsia="Times New Roman" w:hAnsi="Times New Roman" w:cs="Times New Roman"/>
          <w:color w:val="000000"/>
          <w:spacing w:val="0"/>
          <w:w w:val="100"/>
          <w:position w:val="0"/>
        </w:rPr>
        <w:t>59</w:t>
      </w:r>
      <w:r>
        <w:rPr>
          <w:color w:val="000000"/>
          <w:spacing w:val="0"/>
          <w:w w:val="100"/>
          <w:position w:val="0"/>
        </w:rPr>
        <w:t>万股），详 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日刊登于《中国证券报》、《证券时报》及巨潮资讯网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的《关于调整</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年股票期权激励计划授予对象、授予数量及注销部分期权的公告》（</w:t>
      </w:r>
      <w:r>
        <w:rPr>
          <w:rFonts w:ascii="Times New Roman" w:eastAsia="Times New Roman" w:hAnsi="Times New Roman" w:cs="Times New Roman"/>
          <w:color w:val="000000"/>
          <w:spacing w:val="0"/>
          <w:w w:val="100"/>
          <w:position w:val="0"/>
        </w:rPr>
        <w:t>2018-46</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同日，公司召开第六届董事会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年第六次临时会议审议通过《关于公司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 次授予股票期权第一个行权期可行权的议案》及《关于公司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年股票期权激励计划首次授予股票期权采 用自主行权模式的议案》，公司首次授予股票期权采用自主行权方式，第一个行权期自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 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日止（法定禁止行权期除外），第一期行权涉及激励对象</w:t>
      </w:r>
      <w:r>
        <w:rPr>
          <w:rFonts w:ascii="Times New Roman" w:eastAsia="Times New Roman" w:hAnsi="Times New Roman" w:cs="Times New Roman"/>
          <w:color w:val="000000"/>
          <w:spacing w:val="0"/>
          <w:w w:val="100"/>
          <w:position w:val="0"/>
        </w:rPr>
        <w:t>462</w:t>
      </w:r>
      <w:r>
        <w:rPr>
          <w:color w:val="000000"/>
          <w:spacing w:val="0"/>
          <w:w w:val="100"/>
          <w:position w:val="0"/>
        </w:rPr>
        <w:t>人（首次授予），可行权期 权数量</w:t>
      </w:r>
      <w:r>
        <w:rPr>
          <w:rFonts w:ascii="Times New Roman" w:eastAsia="Times New Roman" w:hAnsi="Times New Roman" w:cs="Times New Roman"/>
          <w:color w:val="000000"/>
          <w:spacing w:val="0"/>
          <w:w w:val="100"/>
          <w:position w:val="0"/>
        </w:rPr>
        <w:t>208.128</w:t>
      </w:r>
      <w:r>
        <w:rPr>
          <w:color w:val="000000"/>
          <w:spacing w:val="0"/>
          <w:w w:val="100"/>
          <w:position w:val="0"/>
        </w:rPr>
        <w:t>万份，详见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日刊登于《中国证券报》、《证券时报》及巨潮资讯网 </w:t>
      </w:r>
      <w:r>
        <w:rPr>
          <w:rFonts w:ascii="Times New Roman" w:eastAsia="Times New Roman" w:hAnsi="Times New Roman" w:cs="Times New Roman"/>
          <w:color w:val="000000"/>
          <w:spacing w:val="0"/>
          <w:w w:val="100"/>
          <w:position w:val="0"/>
        </w:rPr>
        <w:t>www .cninfo.com.cn</w:t>
      </w:r>
      <w:r>
        <w:rPr>
          <w:color w:val="000000"/>
          <w:spacing w:val="0"/>
          <w:w w:val="100"/>
          <w:position w:val="0"/>
        </w:rPr>
        <w:t>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年股票期权激励计划首次授予股票期权第一个行权期可行权的公告》</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2018-47</w:t>
      </w:r>
      <w:r>
        <w:rPr>
          <w:color w:val="000000"/>
          <w:spacing w:val="0"/>
          <w:w w:val="100"/>
          <w:position w:val="0"/>
        </w:rPr>
        <w:t>）以及《关于公司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年股票期权激励计划首次授予股票期权采用自主行权模式的公告》 （</w:t>
      </w:r>
      <w:r>
        <w:rPr>
          <w:rFonts w:ascii="Times New Roman" w:eastAsia="Times New Roman" w:hAnsi="Times New Roman" w:cs="Times New Roman"/>
          <w:color w:val="000000"/>
          <w:spacing w:val="0"/>
          <w:w w:val="100"/>
          <w:position w:val="0"/>
        </w:rPr>
        <w:t>2018-48</w:t>
      </w:r>
      <w:r>
        <w:rPr>
          <w:color w:val="000000"/>
          <w:spacing w:val="0"/>
          <w:w w:val="100"/>
          <w:position w:val="0"/>
        </w:rPr>
        <w:t>）。</w:t>
      </w:r>
    </w:p>
    <w:p>
      <w:pPr>
        <w:pStyle w:val="Style35"/>
        <w:keepNext w:val="0"/>
        <w:keepLines w:val="0"/>
        <w:widowControl w:val="0"/>
        <w:shd w:val="clear" w:color="auto" w:fill="auto"/>
        <w:tabs>
          <w:tab w:pos="836" w:val="left"/>
        </w:tabs>
        <w:bidi w:val="0"/>
        <w:spacing w:before="0" w:after="0" w:line="313" w:lineRule="exact"/>
        <w:ind w:left="0" w:right="0" w:firstLine="440"/>
        <w:jc w:val="both"/>
      </w:pPr>
      <w:bookmarkStart w:id="481" w:name="bookmark481"/>
      <w:r>
        <w:rPr>
          <w:rFonts w:ascii="Times New Roman" w:eastAsia="Times New Roman" w:hAnsi="Times New Roman" w:cs="Times New Roman"/>
          <w:color w:val="000000"/>
          <w:spacing w:val="0"/>
          <w:w w:val="100"/>
          <w:position w:val="0"/>
        </w:rPr>
        <w:t>1</w:t>
      </w:r>
      <w:bookmarkEnd w:id="48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日，经中国证券登记结算有限公司审核确认，公司已完成</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 中已授予但尚未行权的共计</w:t>
      </w:r>
      <w:r>
        <w:rPr>
          <w:rFonts w:ascii="Times New Roman" w:eastAsia="Times New Roman" w:hAnsi="Times New Roman" w:cs="Times New Roman"/>
          <w:color w:val="000000"/>
          <w:spacing w:val="0"/>
          <w:w w:val="100"/>
          <w:position w:val="0"/>
        </w:rPr>
        <w:t>44.52</w:t>
      </w:r>
      <w:r>
        <w:rPr>
          <w:color w:val="000000"/>
          <w:spacing w:val="0"/>
          <w:w w:val="100"/>
          <w:position w:val="0"/>
        </w:rPr>
        <w:t>万股（其中首次授予</w:t>
      </w:r>
      <w:r>
        <w:rPr>
          <w:rFonts w:ascii="Times New Roman" w:eastAsia="Times New Roman" w:hAnsi="Times New Roman" w:cs="Times New Roman"/>
          <w:color w:val="000000"/>
          <w:spacing w:val="0"/>
          <w:w w:val="100"/>
          <w:position w:val="0"/>
        </w:rPr>
        <w:t>42.02</w:t>
      </w:r>
      <w:r>
        <w:rPr>
          <w:color w:val="000000"/>
          <w:spacing w:val="0"/>
          <w:w w:val="100"/>
          <w:position w:val="0"/>
        </w:rPr>
        <w:t>万股，预留</w:t>
      </w:r>
      <w:r>
        <w:rPr>
          <w:rFonts w:ascii="Times New Roman" w:eastAsia="Times New Roman" w:hAnsi="Times New Roman" w:cs="Times New Roman"/>
          <w:color w:val="000000"/>
          <w:spacing w:val="0"/>
          <w:w w:val="100"/>
          <w:position w:val="0"/>
        </w:rPr>
        <w:t>2.5</w:t>
      </w:r>
      <w:r>
        <w:rPr>
          <w:color w:val="000000"/>
          <w:spacing w:val="0"/>
          <w:w w:val="100"/>
          <w:position w:val="0"/>
        </w:rPr>
        <w:t>万股）的股票期权注销事项。详 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日刊登于《中国证券报》、《证券时报》及巨潮资讯网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w:t>
      </w:r>
      <w:r>
        <w:rPr>
          <w:rFonts w:ascii="Times New Roman" w:eastAsia="Times New Roman" w:hAnsi="Times New Roman" w:cs="Times New Roman"/>
          <w:color w:val="000000"/>
          <w:spacing w:val="0"/>
          <w:w w:val="100"/>
          <w:position w:val="0"/>
        </w:rPr>
        <w:t>2016</w:t>
      </w:r>
      <w:r>
        <w:rPr>
          <w:color w:val="000000"/>
          <w:spacing w:val="0"/>
          <w:w w:val="100"/>
          <w:position w:val="0"/>
        </w:rPr>
        <w:t>年 股票期权激励计划部分已授予股票期权注销完成的公告》（</w:t>
      </w:r>
      <w:r>
        <w:rPr>
          <w:rFonts w:ascii="Times New Roman" w:eastAsia="Times New Roman" w:hAnsi="Times New Roman" w:cs="Times New Roman"/>
          <w:color w:val="000000"/>
          <w:spacing w:val="0"/>
          <w:w w:val="100"/>
          <w:position w:val="0"/>
        </w:rPr>
        <w:t xml:space="preserve">2018-49 </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firstLine="440"/>
        <w:jc w:val="both"/>
      </w:pPr>
      <w:bookmarkStart w:id="482" w:name="bookmark482"/>
      <w:r>
        <w:rPr>
          <w:rFonts w:ascii="Times New Roman" w:eastAsia="Times New Roman" w:hAnsi="Times New Roman" w:cs="Times New Roman"/>
          <w:color w:val="000000"/>
          <w:spacing w:val="0"/>
          <w:w w:val="100"/>
          <w:position w:val="0"/>
        </w:rPr>
        <w:t>1</w:t>
      </w:r>
      <w:bookmarkEnd w:id="482"/>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日，鉴于公司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年度利润分配方案已实施完毕，根据公司《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 划（草案修订稿）》的相关规定及</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年第三次临时股东大会的授权，公司召开第六届董事会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 五次临时会议审议通过《关于调整公司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年股票期权激励计划授予期权行权价格的议案》，同意公司董 事会对公司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年股票期权激励计划首次及预留授予期权的行权价格由原行权价格</w:t>
      </w:r>
      <w:r>
        <w:rPr>
          <w:rFonts w:ascii="Times New Roman" w:eastAsia="Times New Roman" w:hAnsi="Times New Roman" w:cs="Times New Roman"/>
          <w:color w:val="000000"/>
          <w:spacing w:val="0"/>
          <w:w w:val="100"/>
          <w:position w:val="0"/>
        </w:rPr>
        <w:t>25.24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 xml:space="preserve">25.14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股（行权价格保留两位小数）。详见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日刊登于《中国证券报》、《证券时报》及巨潮资讯网 </w:t>
      </w:r>
      <w:r>
        <w:rPr>
          <w:rFonts w:ascii="Times New Roman" w:eastAsia="Times New Roman" w:hAnsi="Times New Roman" w:cs="Times New Roman"/>
          <w:color w:val="000000"/>
          <w:spacing w:val="0"/>
          <w:w w:val="100"/>
          <w:position w:val="0"/>
        </w:rPr>
        <w:t>www .cninfo.com.cn</w:t>
      </w:r>
      <w:r>
        <w:rPr>
          <w:color w:val="000000"/>
          <w:spacing w:val="0"/>
          <w:w w:val="100"/>
          <w:position w:val="0"/>
        </w:rPr>
        <w:t>的《关于调整公司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年股票期权激励计划授予期权行权价格的公告（</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3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2019-30</w:t>
      </w:r>
      <w:r>
        <w:rPr>
          <w:rFonts w:ascii="SimSun" w:eastAsia="SimSun" w:hAnsi="SimSun" w:cs="SimSun"/>
          <w:color w:val="000000"/>
          <w:spacing w:val="0"/>
          <w:w w:val="100"/>
          <w:position w:val="0"/>
        </w:rPr>
        <w:t>）。</w:t>
      </w:r>
    </w:p>
    <w:p>
      <w:pPr>
        <w:pStyle w:val="Style35"/>
        <w:keepNext w:val="0"/>
        <w:keepLines w:val="0"/>
        <w:widowControl w:val="0"/>
        <w:shd w:val="clear" w:color="auto" w:fill="auto"/>
        <w:bidi w:val="0"/>
        <w:spacing w:before="0" w:after="0" w:line="313" w:lineRule="exact"/>
        <w:ind w:left="0" w:right="0" w:firstLine="440"/>
        <w:jc w:val="both"/>
      </w:pPr>
      <w:bookmarkStart w:id="483" w:name="bookmark483"/>
      <w:r>
        <w:rPr>
          <w:rFonts w:ascii="Times New Roman" w:eastAsia="Times New Roman" w:hAnsi="Times New Roman" w:cs="Times New Roman"/>
          <w:color w:val="000000"/>
          <w:spacing w:val="0"/>
          <w:w w:val="100"/>
          <w:position w:val="0"/>
        </w:rPr>
        <w:t>1</w:t>
      </w:r>
      <w:bookmarkEnd w:id="483"/>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日，公司召开第六届董事会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年第六次临时会议审议通过《关于调整</w:t>
      </w:r>
      <w:r>
        <w:rPr>
          <w:rFonts w:ascii="Times New Roman" w:eastAsia="Times New Roman" w:hAnsi="Times New Roman" w:cs="Times New Roman"/>
          <w:color w:val="000000"/>
          <w:spacing w:val="0"/>
          <w:w w:val="100"/>
          <w:position w:val="0"/>
        </w:rPr>
        <w:t>2016</w:t>
      </w:r>
      <w:r>
        <w:rPr>
          <w:color w:val="000000"/>
          <w:spacing w:val="0"/>
          <w:w w:val="100"/>
          <w:position w:val="0"/>
        </w:rPr>
        <w:t>年股票期 权激励计划预留股份授予对象、授予数量及注销部分期权的议案》，公司股权激励计划预留部分激励对象 人数由</w:t>
      </w:r>
      <w:r>
        <w:rPr>
          <w:rFonts w:ascii="Times New Roman" w:eastAsia="Times New Roman" w:hAnsi="Times New Roman" w:cs="Times New Roman"/>
          <w:color w:val="000000"/>
          <w:spacing w:val="0"/>
          <w:w w:val="100"/>
          <w:position w:val="0"/>
        </w:rPr>
        <w:t>29</w:t>
      </w:r>
      <w:r>
        <w:rPr>
          <w:color w:val="000000"/>
          <w:spacing w:val="0"/>
          <w:w w:val="100"/>
          <w:position w:val="0"/>
        </w:rPr>
        <w:t>名调整为</w:t>
      </w:r>
      <w:r>
        <w:rPr>
          <w:rFonts w:ascii="Times New Roman" w:eastAsia="Times New Roman" w:hAnsi="Times New Roman" w:cs="Times New Roman"/>
          <w:color w:val="000000"/>
          <w:spacing w:val="0"/>
          <w:w w:val="100"/>
          <w:position w:val="0"/>
        </w:rPr>
        <w:t>27</w:t>
      </w:r>
      <w:r>
        <w:rPr>
          <w:color w:val="000000"/>
          <w:spacing w:val="0"/>
          <w:w w:val="100"/>
          <w:position w:val="0"/>
        </w:rPr>
        <w:t>名，授予的股票期权数量由</w:t>
      </w:r>
      <w:r>
        <w:rPr>
          <w:rFonts w:ascii="Times New Roman" w:eastAsia="Times New Roman" w:hAnsi="Times New Roman" w:cs="Times New Roman"/>
          <w:color w:val="000000"/>
          <w:spacing w:val="0"/>
          <w:w w:val="100"/>
          <w:position w:val="0"/>
        </w:rPr>
        <w:t>752.76</w:t>
      </w:r>
      <w:r>
        <w:rPr>
          <w:color w:val="000000"/>
          <w:spacing w:val="0"/>
          <w:w w:val="100"/>
          <w:position w:val="0"/>
        </w:rPr>
        <w:t>万股（其中首次授予</w:t>
      </w:r>
      <w:r>
        <w:rPr>
          <w:rFonts w:ascii="Times New Roman" w:eastAsia="Times New Roman" w:hAnsi="Times New Roman" w:cs="Times New Roman"/>
          <w:color w:val="000000"/>
          <w:spacing w:val="0"/>
          <w:w w:val="100"/>
          <w:position w:val="0"/>
        </w:rPr>
        <w:t>693.76</w:t>
      </w:r>
      <w:r>
        <w:rPr>
          <w:color w:val="000000"/>
          <w:spacing w:val="0"/>
          <w:w w:val="100"/>
          <w:position w:val="0"/>
        </w:rPr>
        <w:t>万股，预留</w:t>
      </w:r>
      <w:r>
        <w:rPr>
          <w:rFonts w:ascii="Times New Roman" w:eastAsia="Times New Roman" w:hAnsi="Times New Roman" w:cs="Times New Roman"/>
          <w:color w:val="000000"/>
          <w:spacing w:val="0"/>
          <w:w w:val="100"/>
          <w:position w:val="0"/>
        </w:rPr>
        <w:t>59</w:t>
      </w:r>
      <w:r>
        <w:rPr>
          <w:color w:val="000000"/>
          <w:spacing w:val="0"/>
          <w:w w:val="100"/>
          <w:position w:val="0"/>
        </w:rPr>
        <w:t>万股）， 调整为</w:t>
      </w:r>
      <w:r>
        <w:rPr>
          <w:rFonts w:ascii="Times New Roman" w:eastAsia="Times New Roman" w:hAnsi="Times New Roman" w:cs="Times New Roman"/>
          <w:color w:val="000000"/>
          <w:spacing w:val="0"/>
          <w:w w:val="100"/>
          <w:position w:val="0"/>
        </w:rPr>
        <w:t>751.76</w:t>
      </w:r>
      <w:r>
        <w:rPr>
          <w:color w:val="000000"/>
          <w:spacing w:val="0"/>
          <w:w w:val="100"/>
          <w:position w:val="0"/>
        </w:rPr>
        <w:t>万股（其中首次授予</w:t>
      </w:r>
      <w:r>
        <w:rPr>
          <w:rFonts w:ascii="Times New Roman" w:eastAsia="Times New Roman" w:hAnsi="Times New Roman" w:cs="Times New Roman"/>
          <w:color w:val="000000"/>
          <w:spacing w:val="0"/>
          <w:w w:val="100"/>
          <w:position w:val="0"/>
        </w:rPr>
        <w:t>693.76</w:t>
      </w:r>
      <w:r>
        <w:rPr>
          <w:color w:val="000000"/>
          <w:spacing w:val="0"/>
          <w:w w:val="100"/>
          <w:position w:val="0"/>
        </w:rPr>
        <w:t>万股，预留</w:t>
      </w:r>
      <w:r>
        <w:rPr>
          <w:rFonts w:ascii="Times New Roman" w:eastAsia="Times New Roman" w:hAnsi="Times New Roman" w:cs="Times New Roman"/>
          <w:color w:val="000000"/>
          <w:spacing w:val="0"/>
          <w:w w:val="100"/>
          <w:position w:val="0"/>
        </w:rPr>
        <w:t>58</w:t>
      </w:r>
      <w:r>
        <w:rPr>
          <w:color w:val="000000"/>
          <w:spacing w:val="0"/>
          <w:w w:val="100"/>
          <w:position w:val="0"/>
        </w:rPr>
        <w:t>万股），详见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日刊登于《中国证券报》、</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的《关于调整</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年股票期权激励计划授予对象、授予数量 及注销部分期权的公告（预留股份）》</w:t>
      </w:r>
      <w:r>
        <w:rPr>
          <w:color w:val="000000"/>
          <w:spacing w:val="0"/>
          <w:w w:val="100"/>
          <w:position w:val="0"/>
        </w:rPr>
        <w:t>（</w:t>
      </w:r>
      <w:r>
        <w:rPr>
          <w:rFonts w:ascii="Times New Roman" w:eastAsia="Times New Roman" w:hAnsi="Times New Roman" w:cs="Times New Roman"/>
          <w:color w:val="000000"/>
          <w:spacing w:val="0"/>
          <w:w w:val="100"/>
          <w:position w:val="0"/>
        </w:rPr>
        <w:t>2019-35</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日，经中国证券登记结算有限公司审核 确认，公司已完成上述经调整的</w:t>
      </w:r>
      <w:r>
        <w:rPr>
          <w:rFonts w:ascii="Times New Roman" w:eastAsia="Times New Roman" w:hAnsi="Times New Roman" w:cs="Times New Roman"/>
          <w:color w:val="000000"/>
          <w:spacing w:val="0"/>
          <w:w w:val="100"/>
          <w:position w:val="0"/>
        </w:rPr>
        <w:t>1</w:t>
      </w:r>
      <w:r>
        <w:rPr>
          <w:color w:val="000000"/>
          <w:spacing w:val="0"/>
          <w:w w:val="100"/>
          <w:position w:val="0"/>
        </w:rPr>
        <w:t>万股预留股票期权的注销事宜。</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同日，公司第六届董事会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年第六次临时会议审议通过《关于公司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年股票期权激励计划预留部 分股票期权第一个行权期可行权的议案》及《关于公司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年股票期权激励计划预留部分股票期权采用自 主行权模式的议案》，公司预留部分股票期权采用自主行权方式，第一个行权期自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日止（法定禁止行权期除外），第一期行权涉及激励对象</w:t>
      </w:r>
      <w:r>
        <w:rPr>
          <w:rFonts w:ascii="Times New Roman" w:eastAsia="Times New Roman" w:hAnsi="Times New Roman" w:cs="Times New Roman"/>
          <w:color w:val="000000"/>
          <w:spacing w:val="0"/>
          <w:w w:val="100"/>
          <w:position w:val="0"/>
        </w:rPr>
        <w:t>27</w:t>
      </w:r>
      <w:r>
        <w:rPr>
          <w:color w:val="000000"/>
          <w:spacing w:val="0"/>
          <w:w w:val="100"/>
          <w:position w:val="0"/>
        </w:rPr>
        <w:t>人（预留部分），可行权期权数量</w:t>
      </w:r>
      <w:r>
        <w:rPr>
          <w:rFonts w:ascii="Times New Roman" w:eastAsia="Times New Roman" w:hAnsi="Times New Roman" w:cs="Times New Roman"/>
          <w:color w:val="000000"/>
          <w:spacing w:val="0"/>
          <w:w w:val="100"/>
          <w:position w:val="0"/>
        </w:rPr>
        <w:t>29</w:t>
      </w:r>
      <w:r>
        <w:rPr>
          <w:color w:val="000000"/>
          <w:spacing w:val="0"/>
          <w:w w:val="100"/>
          <w:position w:val="0"/>
        </w:rPr>
        <w:t>万 份。详见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日分别刊登于《中国证券报》、《证券时报》及巨潮资讯网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年股票期权激励计划预留部分股票期权第一个行权期可行权的公告》 （</w:t>
      </w:r>
      <w:r>
        <w:rPr>
          <w:rFonts w:ascii="Times New Roman" w:eastAsia="Times New Roman" w:hAnsi="Times New Roman" w:cs="Times New Roman"/>
          <w:color w:val="000000"/>
          <w:spacing w:val="0"/>
          <w:w w:val="100"/>
          <w:position w:val="0"/>
        </w:rPr>
        <w:t>2019-36</w:t>
      </w:r>
      <w:r>
        <w:rPr>
          <w:color w:val="000000"/>
          <w:spacing w:val="0"/>
          <w:w w:val="100"/>
          <w:position w:val="0"/>
        </w:rPr>
        <w:t>）、《关于公司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年股票期权激励计划预留授予股票期权采用自主行权模式的公告》（</w:t>
      </w:r>
      <w:r>
        <w:rPr>
          <w:rFonts w:ascii="Times New Roman" w:eastAsia="Times New Roman" w:hAnsi="Times New Roman" w:cs="Times New Roman"/>
          <w:color w:val="000000"/>
          <w:spacing w:val="0"/>
          <w:w w:val="100"/>
          <w:position w:val="0"/>
        </w:rPr>
        <w:t>2019-37</w:t>
      </w:r>
      <w:r>
        <w:rPr>
          <w:color w:val="000000"/>
          <w:spacing w:val="0"/>
          <w:w w:val="100"/>
          <w:position w:val="0"/>
        </w:rPr>
        <w:t>）。</w:t>
      </w:r>
    </w:p>
    <w:p>
      <w:pPr>
        <w:pStyle w:val="Style35"/>
        <w:keepNext w:val="0"/>
        <w:keepLines w:val="0"/>
        <w:widowControl w:val="0"/>
        <w:shd w:val="clear" w:color="auto" w:fill="auto"/>
        <w:tabs>
          <w:tab w:pos="846" w:val="left"/>
        </w:tabs>
        <w:bidi w:val="0"/>
        <w:spacing w:before="0" w:after="0" w:line="313" w:lineRule="exact"/>
        <w:ind w:left="0" w:right="0" w:firstLine="440"/>
        <w:jc w:val="both"/>
      </w:pPr>
      <w:bookmarkStart w:id="484" w:name="bookmark484"/>
      <w:r>
        <w:rPr>
          <w:rFonts w:ascii="Times New Roman" w:eastAsia="Times New Roman" w:hAnsi="Times New Roman" w:cs="Times New Roman"/>
          <w:color w:val="000000"/>
          <w:spacing w:val="0"/>
          <w:w w:val="100"/>
          <w:position w:val="0"/>
        </w:rPr>
        <w:t>1</w:t>
      </w:r>
      <w:bookmarkEnd w:id="484"/>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日，公司召开第六届董事会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年第七次临时会议审议通过《关于调整</w:t>
      </w:r>
      <w:r>
        <w:rPr>
          <w:rFonts w:ascii="Times New Roman" w:eastAsia="Times New Roman" w:hAnsi="Times New Roman" w:cs="Times New Roman"/>
          <w:color w:val="000000"/>
          <w:spacing w:val="0"/>
          <w:w w:val="100"/>
          <w:position w:val="0"/>
        </w:rPr>
        <w:t>2016</w:t>
      </w:r>
      <w:r>
        <w:rPr>
          <w:color w:val="000000"/>
          <w:spacing w:val="0"/>
          <w:w w:val="100"/>
          <w:position w:val="0"/>
        </w:rPr>
        <w:t>年股票 期权激励计划首次授予对象、授予数量及注销部分期权的议案》，公司首次授予的激励对象人数由</w:t>
      </w:r>
      <w:r>
        <w:rPr>
          <w:rFonts w:ascii="Times New Roman" w:eastAsia="Times New Roman" w:hAnsi="Times New Roman" w:cs="Times New Roman"/>
          <w:color w:val="000000"/>
          <w:spacing w:val="0"/>
          <w:w w:val="100"/>
          <w:position w:val="0"/>
        </w:rPr>
        <w:t>462</w:t>
      </w:r>
      <w:r>
        <w:rPr>
          <w:color w:val="000000"/>
          <w:spacing w:val="0"/>
          <w:w w:val="100"/>
          <w:position w:val="0"/>
        </w:rPr>
        <w:t>名 调整为</w:t>
      </w:r>
      <w:r>
        <w:rPr>
          <w:rFonts w:ascii="Times New Roman" w:eastAsia="Times New Roman" w:hAnsi="Times New Roman" w:cs="Times New Roman"/>
          <w:color w:val="000000"/>
          <w:spacing w:val="0"/>
          <w:w w:val="100"/>
          <w:position w:val="0"/>
        </w:rPr>
        <w:t>454</w:t>
      </w:r>
      <w:r>
        <w:rPr>
          <w:color w:val="000000"/>
          <w:spacing w:val="0"/>
          <w:w w:val="100"/>
          <w:position w:val="0"/>
        </w:rPr>
        <w:t>名，</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年股权激励计划首次授予的股票期权数量由</w:t>
      </w:r>
      <w:r>
        <w:rPr>
          <w:rFonts w:ascii="Times New Roman" w:eastAsia="Times New Roman" w:hAnsi="Times New Roman" w:cs="Times New Roman"/>
          <w:color w:val="000000"/>
          <w:spacing w:val="0"/>
          <w:w w:val="100"/>
          <w:position w:val="0"/>
        </w:rPr>
        <w:t>693.76</w:t>
      </w:r>
      <w:r>
        <w:rPr>
          <w:color w:val="000000"/>
          <w:spacing w:val="0"/>
          <w:w w:val="100"/>
          <w:position w:val="0"/>
        </w:rPr>
        <w:t>万股调整为</w:t>
      </w:r>
      <w:r>
        <w:rPr>
          <w:rFonts w:ascii="Times New Roman" w:eastAsia="Times New Roman" w:hAnsi="Times New Roman" w:cs="Times New Roman"/>
          <w:color w:val="000000"/>
          <w:spacing w:val="0"/>
          <w:w w:val="100"/>
          <w:position w:val="0"/>
        </w:rPr>
        <w:t>681.804</w:t>
      </w:r>
      <w:r>
        <w:rPr>
          <w:rFonts w:ascii="Times New Roman" w:eastAsia="Times New Roman" w:hAnsi="Times New Roman" w:cs="Times New Roman"/>
          <w:color w:val="000000"/>
          <w:spacing w:val="0"/>
          <w:w w:val="100"/>
          <w:position w:val="0"/>
        </w:rPr>
        <w:t>9</w:t>
      </w:r>
      <w:r>
        <w:rPr>
          <w:color w:val="000000"/>
          <w:spacing w:val="0"/>
          <w:w w:val="100"/>
          <w:position w:val="0"/>
        </w:rPr>
        <w:t xml:space="preserve">万股，共注销 </w:t>
      </w:r>
      <w:r>
        <w:rPr>
          <w:rFonts w:ascii="Times New Roman" w:eastAsia="Times New Roman" w:hAnsi="Times New Roman" w:cs="Times New Roman"/>
          <w:color w:val="000000"/>
          <w:spacing w:val="0"/>
          <w:w w:val="100"/>
          <w:position w:val="0"/>
        </w:rPr>
        <w:t>119,551</w:t>
      </w:r>
      <w:r>
        <w:rPr>
          <w:color w:val="000000"/>
          <w:spacing w:val="0"/>
          <w:w w:val="100"/>
          <w:position w:val="0"/>
        </w:rPr>
        <w:t>股失效股票期权。详见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日刊登于《中国证券报》、《证券时报》及巨潮资讯网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的《关于调整</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年股票期权激励计划授予对象、授予数量及注销部分期权的公告》</w:t>
      </w:r>
    </w:p>
    <w:p>
      <w:pPr>
        <w:pStyle w:val="Style3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2019-44</w:t>
      </w:r>
      <w:r>
        <w:rPr>
          <w:rFonts w:ascii="SimSun" w:eastAsia="SimSun" w:hAnsi="SimSun" w:cs="SimSun"/>
          <w:color w:val="000000"/>
          <w:spacing w:val="0"/>
          <w:w w:val="100"/>
          <w:position w:val="0"/>
        </w:rPr>
        <w:t>）。</w:t>
      </w:r>
    </w:p>
    <w:p>
      <w:pPr>
        <w:pStyle w:val="Style35"/>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日，经中国证券登记结算有限公司审核确认，公司已完成上述</w:t>
      </w:r>
      <w:r>
        <w:rPr>
          <w:rFonts w:ascii="Times New Roman" w:eastAsia="Times New Roman" w:hAnsi="Times New Roman" w:cs="Times New Roman"/>
          <w:color w:val="000000"/>
          <w:spacing w:val="0"/>
          <w:w w:val="100"/>
          <w:position w:val="0"/>
        </w:rPr>
        <w:t>119,551</w:t>
      </w:r>
      <w:r>
        <w:rPr>
          <w:color w:val="000000"/>
          <w:spacing w:val="0"/>
          <w:w w:val="100"/>
          <w:position w:val="0"/>
        </w:rPr>
        <w:t xml:space="preserve">股失效股票期权的 </w:t>
      </w:r>
      <w:r>
        <w:rPr>
          <w:color w:val="000000"/>
          <w:spacing w:val="0"/>
          <w:w w:val="100"/>
          <w:position w:val="0"/>
        </w:rPr>
        <w:t>注销事宜。详见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日刊登于《中国证券报》、《证券时报》及巨潮资讯网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 《关于公司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年股票期权激励计划部分已授予股票期权注销完成的公告》（</w:t>
      </w:r>
      <w:r>
        <w:rPr>
          <w:rFonts w:ascii="Times New Roman" w:eastAsia="Times New Roman" w:hAnsi="Times New Roman" w:cs="Times New Roman"/>
          <w:color w:val="000000"/>
          <w:spacing w:val="0"/>
          <w:w w:val="100"/>
          <w:position w:val="0"/>
        </w:rPr>
        <w:t>2019-47</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年第七次临时会议审议通过《关于公司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 计划首次授予股票期权第二个行权期可行权的议案》、《关于公司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年股票期权激励计划首次授予股票 期权第二个行权期采用自主行权模式的议案》，公司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年股票期权激励计划首次授予的第二期股票期权 采用自主行权模式行权，可行权期限原则上为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日（法定禁止行权期除外）， 第二期行权涉及激励对象</w:t>
      </w:r>
      <w:r>
        <w:rPr>
          <w:rFonts w:ascii="Times New Roman" w:eastAsia="Times New Roman" w:hAnsi="Times New Roman" w:cs="Times New Roman"/>
          <w:color w:val="000000"/>
          <w:spacing w:val="0"/>
          <w:w w:val="100"/>
          <w:position w:val="0"/>
        </w:rPr>
        <w:t>454</w:t>
      </w:r>
      <w:r>
        <w:rPr>
          <w:color w:val="000000"/>
          <w:spacing w:val="0"/>
          <w:w w:val="100"/>
          <w:position w:val="0"/>
        </w:rPr>
        <w:t>名（首次授予），可行权期权数量共计</w:t>
      </w:r>
      <w:r>
        <w:rPr>
          <w:rFonts w:ascii="Times New Roman" w:eastAsia="Times New Roman" w:hAnsi="Times New Roman" w:cs="Times New Roman"/>
          <w:color w:val="000000"/>
          <w:spacing w:val="0"/>
          <w:w w:val="100"/>
          <w:position w:val="0"/>
        </w:rPr>
        <w:t>204.936</w:t>
      </w:r>
      <w:r>
        <w:rPr>
          <w:rFonts w:ascii="Times New Roman" w:eastAsia="Times New Roman" w:hAnsi="Times New Roman" w:cs="Times New Roman"/>
          <w:color w:val="000000"/>
          <w:spacing w:val="0"/>
          <w:w w:val="100"/>
          <w:position w:val="0"/>
        </w:rPr>
        <w:t>0</w:t>
      </w:r>
      <w:r>
        <w:rPr>
          <w:color w:val="000000"/>
          <w:spacing w:val="0"/>
          <w:w w:val="100"/>
          <w:position w:val="0"/>
        </w:rPr>
        <w:t>万份。详见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日分别刊登于《中国证券报》、《证券时报》及巨潮资讯网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的《关于公司 </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年股票期权激励计划首次授予股票期权第二个行权期可行权的公告》</w:t>
      </w:r>
      <w:r>
        <w:rPr>
          <w:color w:val="000000"/>
          <w:spacing w:val="0"/>
          <w:w w:val="100"/>
          <w:position w:val="0"/>
        </w:rPr>
        <w:t>（</w:t>
      </w:r>
      <w:r>
        <w:rPr>
          <w:rFonts w:ascii="Times New Roman" w:eastAsia="Times New Roman" w:hAnsi="Times New Roman" w:cs="Times New Roman"/>
          <w:color w:val="000000"/>
          <w:spacing w:val="0"/>
          <w:w w:val="100"/>
          <w:position w:val="0"/>
        </w:rPr>
        <w:t>2019-45</w:t>
      </w:r>
      <w:r>
        <w:rPr>
          <w:color w:val="000000"/>
          <w:spacing w:val="0"/>
          <w:w w:val="100"/>
          <w:position w:val="0"/>
        </w:rPr>
        <w:t>）</w:t>
      </w:r>
      <w:r>
        <w:rPr>
          <w:color w:val="000000"/>
          <w:spacing w:val="0"/>
          <w:w w:val="100"/>
          <w:position w:val="0"/>
        </w:rPr>
        <w:t>、《关于公司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年股票期权激励计划首次授予股票期权第二个行权期采用自主行权模式的公告》（</w:t>
      </w:r>
      <w:r>
        <w:rPr>
          <w:rFonts w:ascii="Times New Roman" w:eastAsia="Times New Roman" w:hAnsi="Times New Roman" w:cs="Times New Roman"/>
          <w:color w:val="000000"/>
          <w:spacing w:val="0"/>
          <w:w w:val="100"/>
          <w:position w:val="0"/>
        </w:rPr>
        <w:t>2019-52</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bookmarkStart w:id="485" w:name="bookmark485"/>
      <w:r>
        <w:rPr>
          <w:rFonts w:ascii="Times New Roman" w:eastAsia="Times New Roman" w:hAnsi="Times New Roman" w:cs="Times New Roman"/>
          <w:color w:val="000000"/>
          <w:spacing w:val="0"/>
          <w:w w:val="100"/>
          <w:position w:val="0"/>
        </w:rPr>
        <w:t>1</w:t>
      </w:r>
      <w:bookmarkEnd w:id="485"/>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日，公司召开第七届董事会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年第三次临时会议，审议通过了《关于调整公司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年股票期权激励计划授予期权行权价格的议案》、《公司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年股票期权激励计划剩余首次及预留股票期 权不符合行权条件的议案》以及《公司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年股票期权激励计划拟注销部分期权的议案》，同意公司董事 会对公司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年股票期权激励计划首次及预留授予期权的行权价格由原行权价格</w:t>
      </w:r>
      <w:r>
        <w:rPr>
          <w:rFonts w:ascii="Times New Roman" w:eastAsia="Times New Roman" w:hAnsi="Times New Roman" w:cs="Times New Roman"/>
          <w:color w:val="000000"/>
          <w:spacing w:val="0"/>
          <w:w w:val="100"/>
          <w:position w:val="0"/>
        </w:rPr>
        <w:t>25.14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25.10</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股（行权价格保留两位小数）；同意公司未达成</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年股权激励计划首次授予股票期权第三个行权期及预 留授予股票期权第二个行权期业绩考核指标，不满足行权条件，相应激励对象获授的股票期权失效；同意 公司</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年股权激励计划已获授但尚未行权的股票期权将失效，以及不满足行权条件的相应激励对象获授 的股票期权将失效，公司董事会授权管理层对上述失效期权进行注销。详见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日刊登于《中国 证券报》、《上海证券报》及巨潮资讯网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年股票期权激励计划授 予期权行权价格的公告（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2020-22</w:t>
      </w:r>
      <w:r>
        <w:rPr>
          <w:color w:val="000000"/>
          <w:spacing w:val="0"/>
          <w:w w:val="100"/>
          <w:position w:val="0"/>
        </w:rPr>
        <w:t>）</w:t>
      </w:r>
      <w:r>
        <w:rPr>
          <w:color w:val="000000"/>
          <w:spacing w:val="0"/>
          <w:w w:val="100"/>
          <w:position w:val="0"/>
        </w:rPr>
        <w:t>、《关于公司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年股票期权激励计划剩余首次及预留股 票期权不符合行权条件的公告》</w:t>
      </w:r>
      <w:r>
        <w:rPr>
          <w:color w:val="000000"/>
          <w:spacing w:val="0"/>
          <w:w w:val="100"/>
          <w:position w:val="0"/>
        </w:rPr>
        <w:t>（</w:t>
      </w:r>
      <w:r>
        <w:rPr>
          <w:rFonts w:ascii="Times New Roman" w:eastAsia="Times New Roman" w:hAnsi="Times New Roman" w:cs="Times New Roman"/>
          <w:color w:val="000000"/>
          <w:spacing w:val="0"/>
          <w:w w:val="100"/>
          <w:position w:val="0"/>
        </w:rPr>
        <w:t>2020-23</w:t>
      </w:r>
      <w:r>
        <w:rPr>
          <w:color w:val="000000"/>
          <w:spacing w:val="0"/>
          <w:w w:val="100"/>
          <w:position w:val="0"/>
        </w:rPr>
        <w:t>）</w:t>
      </w:r>
      <w:r>
        <w:rPr>
          <w:color w:val="000000"/>
          <w:spacing w:val="0"/>
          <w:w w:val="100"/>
          <w:position w:val="0"/>
        </w:rPr>
        <w:t>、《关于公司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年股票期权激励计划拟注销部分期权的公告》 （</w:t>
      </w:r>
      <w:r>
        <w:rPr>
          <w:rFonts w:ascii="Times New Roman" w:eastAsia="Times New Roman" w:hAnsi="Times New Roman" w:cs="Times New Roman"/>
          <w:color w:val="000000"/>
          <w:spacing w:val="0"/>
          <w:w w:val="100"/>
          <w:position w:val="0"/>
        </w:rPr>
        <w:t>2020-24</w:t>
      </w:r>
      <w:r>
        <w:rPr>
          <w:color w:val="000000"/>
          <w:spacing w:val="0"/>
          <w:w w:val="100"/>
          <w:position w:val="0"/>
        </w:rPr>
        <w:t>）„</w:t>
      </w:r>
    </w:p>
    <w:p>
      <w:pPr>
        <w:pStyle w:val="Style35"/>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日，经中国证券登记结算有限公司审核确认，公司已完成预留授予股票期权第一个行权 期已获授但尚未行权的共计</w:t>
      </w:r>
      <w:r>
        <w:rPr>
          <w:rFonts w:ascii="Times New Roman" w:eastAsia="Times New Roman" w:hAnsi="Times New Roman" w:cs="Times New Roman"/>
          <w:color w:val="000000"/>
          <w:spacing w:val="0"/>
          <w:w w:val="100"/>
          <w:position w:val="0"/>
        </w:rPr>
        <w:t>1131</w:t>
      </w:r>
      <w:r>
        <w:rPr>
          <w:color w:val="000000"/>
          <w:spacing w:val="0"/>
          <w:w w:val="100"/>
          <w:position w:val="0"/>
        </w:rPr>
        <w:t>股失效股票期权的注销，以及完成预留授予股票期权第二个行权期不满足 行权条件的共计</w:t>
      </w:r>
      <w:r>
        <w:rPr>
          <w:rFonts w:ascii="Times New Roman" w:eastAsia="Times New Roman" w:hAnsi="Times New Roman" w:cs="Times New Roman"/>
          <w:color w:val="000000"/>
          <w:spacing w:val="0"/>
          <w:w w:val="100"/>
          <w:position w:val="0"/>
        </w:rPr>
        <w:t>29</w:t>
      </w:r>
      <w:r>
        <w:rPr>
          <w:color w:val="000000"/>
          <w:spacing w:val="0"/>
          <w:w w:val="100"/>
          <w:position w:val="0"/>
        </w:rPr>
        <w:t>万股失效期权的注销。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号，经中国证券登记结算有限公司审核确认，公司 已完成首次授予股票期权第二个行权期已获授但尚未行权的共计</w:t>
      </w:r>
      <w:r>
        <w:rPr>
          <w:rFonts w:ascii="Times New Roman" w:eastAsia="Times New Roman" w:hAnsi="Times New Roman" w:cs="Times New Roman"/>
          <w:color w:val="000000"/>
          <w:spacing w:val="0"/>
          <w:w w:val="100"/>
          <w:position w:val="0"/>
        </w:rPr>
        <w:t>51008</w:t>
      </w:r>
      <w:r>
        <w:rPr>
          <w:color w:val="000000"/>
          <w:spacing w:val="0"/>
          <w:w w:val="100"/>
          <w:position w:val="0"/>
        </w:rPr>
        <w:t>股失效股票期权的注销，以及完成 首次授予股票期权第三个行权期不满足行权条件的共计</w:t>
      </w:r>
      <w:r>
        <w:rPr>
          <w:rFonts w:ascii="Times New Roman" w:eastAsia="Times New Roman" w:hAnsi="Times New Roman" w:cs="Times New Roman"/>
          <w:color w:val="000000"/>
          <w:spacing w:val="0"/>
          <w:w w:val="100"/>
          <w:position w:val="0"/>
        </w:rPr>
        <w:t>273.248</w:t>
      </w:r>
      <w:r>
        <w:rPr>
          <w:rFonts w:ascii="Times New Roman" w:eastAsia="Times New Roman" w:hAnsi="Times New Roman" w:cs="Times New Roman"/>
          <w:color w:val="000000"/>
          <w:spacing w:val="0"/>
          <w:w w:val="100"/>
          <w:position w:val="0"/>
        </w:rPr>
        <w:t>0</w:t>
      </w:r>
      <w:r>
        <w:rPr>
          <w:color w:val="000000"/>
          <w:spacing w:val="0"/>
          <w:w w:val="100"/>
          <w:position w:val="0"/>
        </w:rPr>
        <w:t>万股失效期权的注销。详见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日刊登于《中国证券报》、《上海证券报》及巨潮资讯网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 激励计划部分股票期权注销完成的公告》（</w:t>
      </w:r>
      <w:r>
        <w:rPr>
          <w:rFonts w:ascii="Times New Roman" w:eastAsia="Times New Roman" w:hAnsi="Times New Roman" w:cs="Times New Roman"/>
          <w:color w:val="000000"/>
          <w:spacing w:val="0"/>
          <w:w w:val="100"/>
          <w:position w:val="0"/>
        </w:rPr>
        <w:t xml:space="preserve">2020-32 </w:t>
      </w:r>
      <w:r>
        <w:rPr>
          <w:color w:val="000000"/>
          <w:spacing w:val="0"/>
          <w:w w:val="100"/>
          <w:position w:val="0"/>
        </w:rPr>
        <w:t>）。</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60" w:line="312" w:lineRule="exact"/>
        <w:ind w:left="0" w:right="0" w:firstLine="0"/>
        <w:jc w:val="both"/>
        <w:sectPr>
          <w:footnotePr>
            <w:pos w:val="pageBottom"/>
            <w:numFmt w:val="decimal"/>
            <w:numRestart w:val="continuous"/>
          </w:footnotePr>
          <w:pgSz w:w="11900" w:h="16840"/>
          <w:pgMar w:top="1407" w:right="1029" w:bottom="1445" w:left="107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年以权益结算的股份支付确认的费用总额</w:t>
      </w:r>
      <w:r>
        <w:rPr>
          <w:rFonts w:ascii="Times New Roman" w:eastAsia="Times New Roman" w:hAnsi="Times New Roman" w:cs="Times New Roman"/>
          <w:color w:val="000000"/>
          <w:spacing w:val="0"/>
          <w:w w:val="100"/>
          <w:position w:val="0"/>
        </w:rPr>
        <w:t>0</w:t>
      </w:r>
      <w:r>
        <w:rPr>
          <w:color w:val="000000"/>
          <w:spacing w:val="0"/>
          <w:w w:val="100"/>
          <w:position w:val="0"/>
        </w:rPr>
        <w:t>元，不影响公司净利润。</w:t>
      </w:r>
    </w:p>
    <w:p>
      <w:pPr>
        <w:pStyle w:val="Style24"/>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r>
        <w:rPr>
          <w:color w:val="000000"/>
          <w:spacing w:val="0"/>
          <w:w w:val="100"/>
          <w:position w:val="0"/>
        </w:rPr>
        <w:t>十六、重大关联交易</w:t>
      </w:r>
      <w:bookmarkEnd w:id="486"/>
      <w:bookmarkEnd w:id="487"/>
      <w:bookmarkEnd w:id="488"/>
    </w:p>
    <w:p>
      <w:pPr>
        <w:pStyle w:val="Style32"/>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、与日常经营相关的关联交易</w:t>
      </w:r>
      <w:bookmarkEnd w:id="489"/>
      <w:bookmarkEnd w:id="490"/>
      <w:bookmarkEnd w:id="49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970"/>
        <w:gridCol w:w="710"/>
        <w:gridCol w:w="850"/>
        <w:gridCol w:w="710"/>
        <w:gridCol w:w="850"/>
        <w:gridCol w:w="710"/>
        <w:gridCol w:w="989"/>
        <w:gridCol w:w="994"/>
        <w:gridCol w:w="1133"/>
        <w:gridCol w:w="3226"/>
      </w:tblGrid>
      <w:tr>
        <w:trPr>
          <w:trHeight w:val="1344"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关联交易</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易类型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易内容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关联交易定 价原则</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易价格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关联交易 金额（万 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占同类 交易金 额的比 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获批的交 易额度 （万元）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是否超 过获批 额度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关联交易结 算方式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可获得的同</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类交易市价</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淘宝（中 国）软件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持股</w:t>
            </w:r>
          </w:p>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 的法人 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提供劳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酒店订</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单传输</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等服务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以市场价格 为基础，不 偏离第三方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网银结算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317"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日刊登于《中国证券 报》、《证券时报》及巨潮资讯网</w:t>
            </w:r>
          </w:p>
          <w:p>
            <w:pPr>
              <w:pStyle w:val="Style20"/>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的《第七届董事会</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年第一次临时会议决议公告》 （</w:t>
            </w:r>
            <w:r>
              <w:rPr>
                <w:rFonts w:ascii="Times New Roman" w:eastAsia="Times New Roman" w:hAnsi="Times New Roman" w:cs="Times New Roman"/>
                <w:color w:val="000000"/>
                <w:spacing w:val="0"/>
                <w:w w:val="100"/>
                <w:position w:val="0"/>
                <w:sz w:val="18"/>
                <w:szCs w:val="18"/>
              </w:rPr>
              <w:t>2020-04</w:t>
            </w:r>
            <w:r>
              <w:rPr>
                <w:color w:val="000000"/>
                <w:spacing w:val="0"/>
                <w:w w:val="100"/>
                <w:position w:val="0"/>
                <w:sz w:val="17"/>
                <w:szCs w:val="17"/>
              </w:rPr>
              <w:t>）、《关于公司预计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年度日</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常关联交易的公告》（</w:t>
            </w:r>
            <w:r>
              <w:rPr>
                <w:rFonts w:ascii="Times New Roman" w:eastAsia="Times New Roman" w:hAnsi="Times New Roman" w:cs="Times New Roman"/>
                <w:color w:val="000000"/>
                <w:spacing w:val="0"/>
                <w:w w:val="100"/>
                <w:position w:val="0"/>
                <w:sz w:val="18"/>
                <w:szCs w:val="18"/>
              </w:rPr>
              <w:t>2020-08</w:t>
            </w:r>
            <w:r>
              <w:rPr>
                <w:color w:val="000000"/>
                <w:spacing w:val="0"/>
                <w:w w:val="100"/>
                <w:position w:val="0"/>
                <w:sz w:val="17"/>
                <w:szCs w:val="17"/>
              </w:rPr>
              <w:t>）。</w:t>
            </w:r>
          </w:p>
        </w:tc>
      </w:tr>
      <w:tr>
        <w:trPr>
          <w:trHeight w:val="403" w:hRule="exact"/>
        </w:trPr>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439.01</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1027" w:hRule="exact"/>
        </w:trPr>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年与淘宝（中国）软件有限公司发生的酒店订单传输服务的日常关联交易金额不超过</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年实际发生日常关联交易 金额为</w:t>
            </w:r>
            <w:r>
              <w:rPr>
                <w:rFonts w:ascii="Times New Roman" w:eastAsia="Times New Roman" w:hAnsi="Times New Roman" w:cs="Times New Roman"/>
                <w:color w:val="000000"/>
                <w:spacing w:val="0"/>
                <w:w w:val="100"/>
                <w:position w:val="0"/>
                <w:sz w:val="18"/>
                <w:szCs w:val="18"/>
              </w:rPr>
              <w:t>439.01</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年度本项关联交易实际发生额与预计金额存在较大差异，主要系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年度因疫情影响酒店入住率大幅下降及海外高 星级酒店集团直连业务发展比预期缓慢造成，同时因结算账期的原因，部分收入将计入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年导致差异加大。</w:t>
            </w:r>
          </w:p>
        </w:tc>
      </w:tr>
      <w:tr>
        <w:trPr>
          <w:trHeight w:val="720" w:hRule="exact"/>
        </w:trPr>
        <w:tc>
          <w:tcPr>
            <w:gridSpan w:val="4"/>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sectPr>
          <w:headerReference w:type="default" r:id="rId13"/>
          <w:footerReference w:type="default" r:id="rId14"/>
          <w:footnotePr>
            <w:pos w:val="pageBottom"/>
            <w:numFmt w:val="decimal"/>
            <w:numRestart w:val="continuous"/>
          </w:footnotePr>
          <w:pgSz w:w="16840" w:h="11900" w:orient="landscape"/>
          <w:pgMar w:top="1143" w:right="1403" w:bottom="1157" w:left="1422" w:header="0" w:footer="3" w:gutter="0"/>
          <w:cols w:space="720"/>
          <w:noEndnote/>
          <w:rtlGutter w:val="0"/>
          <w:docGrid w:linePitch="360"/>
        </w:sectPr>
      </w:pPr>
    </w:p>
    <w:p>
      <w:pPr>
        <w:pStyle w:val="Style32"/>
        <w:keepNext/>
        <w:keepLines/>
        <w:widowControl w:val="0"/>
        <w:shd w:val="clear" w:color="auto" w:fill="auto"/>
        <w:tabs>
          <w:tab w:pos="378" w:val="left"/>
        </w:tabs>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w:t>
        <w:tab/>
        <w:t>资产或股权收购、出售发生的关联交易</w:t>
      </w:r>
      <w:bookmarkEnd w:id="493"/>
      <w:bookmarkEnd w:id="494"/>
      <w:bookmarkEnd w:id="49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w:t>
        <w:tab/>
        <w:t>共同对外投资的关联交易</w:t>
      </w:r>
      <w:bookmarkEnd w:id="497"/>
      <w:bookmarkEnd w:id="498"/>
      <w:bookmarkEnd w:id="50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4</w:t>
      </w:r>
      <w:bookmarkEnd w:id="503"/>
      <w:r>
        <w:rPr>
          <w:color w:val="000000"/>
          <w:spacing w:val="0"/>
          <w:w w:val="100"/>
          <w:position w:val="0"/>
        </w:rPr>
        <w:t>、</w:t>
        <w:tab/>
        <w:t>关联债权债务往来</w:t>
      </w:r>
      <w:bookmarkEnd w:id="501"/>
      <w:bookmarkEnd w:id="502"/>
      <w:bookmarkEnd w:id="50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5</w:t>
      </w:r>
      <w:bookmarkEnd w:id="507"/>
      <w:r>
        <w:rPr>
          <w:color w:val="000000"/>
          <w:spacing w:val="0"/>
          <w:w w:val="100"/>
          <w:position w:val="0"/>
        </w:rPr>
        <w:t>、</w:t>
        <w:tab/>
        <w:t>其他重大关联交易</w:t>
      </w:r>
      <w:bookmarkEnd w:id="505"/>
      <w:bookmarkEnd w:id="506"/>
      <w:bookmarkEnd w:id="50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r>
        <w:rPr>
          <w:color w:val="000000"/>
          <w:spacing w:val="0"/>
          <w:w w:val="100"/>
          <w:position w:val="0"/>
        </w:rPr>
        <w:t>十七、重大合同及其履行情况</w:t>
      </w:r>
      <w:bookmarkEnd w:id="509"/>
      <w:bookmarkEnd w:id="510"/>
      <w:bookmarkEnd w:id="511"/>
    </w:p>
    <w:p>
      <w:pPr>
        <w:pStyle w:val="Style32"/>
        <w:keepNext/>
        <w:keepLines/>
        <w:widowControl w:val="0"/>
        <w:shd w:val="clear" w:color="auto" w:fill="auto"/>
        <w:tabs>
          <w:tab w:pos="368" w:val="left"/>
        </w:tabs>
        <w:bidi w:val="0"/>
        <w:spacing w:before="0" w:after="38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bookmarkEnd w:id="514"/>
      <w:r>
        <w:rPr>
          <w:color w:val="000000"/>
          <w:spacing w:val="0"/>
          <w:w w:val="100"/>
          <w:position w:val="0"/>
        </w:rPr>
        <w:t>、</w:t>
        <w:tab/>
        <w:t>托管、承包、租赁事项情况</w:t>
      </w:r>
      <w:bookmarkEnd w:id="512"/>
      <w:bookmarkEnd w:id="513"/>
      <w:bookmarkEnd w:id="515"/>
    </w:p>
    <w:p>
      <w:pPr>
        <w:pStyle w:val="Style32"/>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512" w:name="bookmark512"/>
      <w:bookmarkStart w:id="513" w:name="bookmark513"/>
      <w:bookmarkStart w:id="516" w:name="bookmark516"/>
      <w:bookmarkStart w:id="517" w:name="bookmark517"/>
      <w:bookmarkEnd w:id="516"/>
      <w:r>
        <w:rPr>
          <w:color w:val="000000"/>
          <w:spacing w:val="0"/>
          <w:w w:val="100"/>
          <w:position w:val="0"/>
        </w:rPr>
        <w:t>托管情况</w:t>
      </w:r>
      <w:bookmarkEnd w:id="512"/>
      <w:bookmarkEnd w:id="513"/>
      <w:bookmarkEnd w:id="51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2"/>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bookmarkEnd w:id="520"/>
      <w:r>
        <w:rPr>
          <w:color w:val="000000"/>
          <w:spacing w:val="0"/>
          <w:w w:val="100"/>
          <w:position w:val="0"/>
        </w:rPr>
        <w:t>承包情况</w:t>
      </w:r>
      <w:bookmarkEnd w:id="518"/>
      <w:bookmarkEnd w:id="519"/>
      <w:bookmarkEnd w:id="521"/>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2"/>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522" w:name="bookmark522"/>
      <w:bookmarkStart w:id="523" w:name="bookmark523"/>
      <w:bookmarkStart w:id="524" w:name="bookmark524"/>
      <w:bookmarkStart w:id="525" w:name="bookmark525"/>
      <w:bookmarkEnd w:id="524"/>
      <w:r>
        <w:rPr>
          <w:color w:val="000000"/>
          <w:spacing w:val="0"/>
          <w:w w:val="100"/>
          <w:position w:val="0"/>
        </w:rPr>
        <w:t>租赁情况</w:t>
      </w:r>
      <w:bookmarkEnd w:id="522"/>
      <w:bookmarkEnd w:id="523"/>
      <w:bookmarkEnd w:id="52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w:t>
        <w:tab/>
        <w:t>重大担保</w:t>
      </w:r>
      <w:bookmarkEnd w:id="526"/>
      <w:bookmarkEnd w:id="527"/>
      <w:bookmarkEnd w:id="52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bidi w:val="0"/>
        <w:spacing w:before="0" w:after="38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、委托他人进行现金资产管理情况</w:t>
      </w:r>
      <w:bookmarkEnd w:id="530"/>
      <w:bookmarkEnd w:id="531"/>
      <w:bookmarkEnd w:id="533"/>
    </w:p>
    <w:p>
      <w:pPr>
        <w:pStyle w:val="Style32"/>
        <w:keepNext/>
        <w:keepLines/>
        <w:widowControl w:val="0"/>
        <w:numPr>
          <w:ilvl w:val="0"/>
          <w:numId w:val="21"/>
        </w:numPr>
        <w:shd w:val="clear" w:color="auto" w:fill="auto"/>
        <w:bidi w:val="0"/>
        <w:spacing w:before="0" w:after="380" w:line="240" w:lineRule="auto"/>
        <w:ind w:left="0" w:right="0" w:firstLine="0"/>
        <w:jc w:val="left"/>
      </w:pPr>
      <w:bookmarkStart w:id="530" w:name="bookmark530"/>
      <w:bookmarkStart w:id="531" w:name="bookmark531"/>
      <w:bookmarkStart w:id="534" w:name="bookmark534"/>
      <w:bookmarkStart w:id="535" w:name="bookmark535"/>
      <w:bookmarkEnd w:id="534"/>
      <w:r>
        <w:rPr>
          <w:color w:val="000000"/>
          <w:spacing w:val="0"/>
          <w:w w:val="100"/>
          <w:position w:val="0"/>
        </w:rPr>
        <w:t>委托理财情况</w:t>
      </w:r>
      <w:bookmarkEnd w:id="530"/>
      <w:bookmarkEnd w:id="531"/>
      <w:bookmarkEnd w:id="535"/>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具体类型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委托理财的资金来源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未到期余额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21"/>
        </w:numPr>
        <w:shd w:val="clear" w:color="auto" w:fill="auto"/>
        <w:bidi w:val="0"/>
        <w:spacing w:before="0" w:after="380" w:line="240" w:lineRule="auto"/>
        <w:ind w:left="0" w:right="0" w:firstLine="0"/>
        <w:jc w:val="left"/>
      </w:pPr>
      <w:bookmarkStart w:id="536" w:name="bookmark536"/>
      <w:bookmarkStart w:id="537" w:name="bookmark537"/>
      <w:bookmarkStart w:id="538" w:name="bookmark538"/>
      <w:bookmarkStart w:id="539" w:name="bookmark539"/>
      <w:bookmarkEnd w:id="538"/>
      <w:r>
        <w:rPr>
          <w:color w:val="000000"/>
          <w:spacing w:val="0"/>
          <w:w w:val="100"/>
          <w:position w:val="0"/>
        </w:rPr>
        <w:t>委托贷款情况</w:t>
      </w:r>
      <w:bookmarkEnd w:id="536"/>
      <w:bookmarkEnd w:id="537"/>
      <w:bookmarkEnd w:id="539"/>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4</w:t>
      </w:r>
      <w:bookmarkEnd w:id="542"/>
      <w:r>
        <w:rPr>
          <w:color w:val="000000"/>
          <w:spacing w:val="0"/>
          <w:w w:val="100"/>
          <w:position w:val="0"/>
        </w:rPr>
        <w:t>、日常经营重大合同</w:t>
      </w:r>
      <w:bookmarkEnd w:id="540"/>
      <w:bookmarkEnd w:id="541"/>
      <w:bookmarkEnd w:id="54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8"/>
        <w:gridCol w:w="1363"/>
        <w:gridCol w:w="1944"/>
        <w:gridCol w:w="1138"/>
        <w:gridCol w:w="1416"/>
        <w:gridCol w:w="1416"/>
        <w:gridCol w:w="931"/>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合同订立公司方 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合同订立对方名 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合同标的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合同总金额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合同履行的进度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本期及累计确认 的销售收入金额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应收账款 回款情况</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(Singapore)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HSH</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Management</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 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322" w:lineRule="exact"/>
              <w:ind w:left="0" w:right="0" w:firstLine="0"/>
              <w:jc w:val="left"/>
              <w:rPr>
                <w:sz w:val="18"/>
                <w:szCs w:val="18"/>
              </w:rPr>
            </w:pPr>
            <w:r>
              <w:rPr>
                <w:color w:val="000000"/>
                <w:spacing w:val="0"/>
                <w:w w:val="100"/>
                <w:position w:val="0"/>
                <w:sz w:val="17"/>
                <w:szCs w:val="17"/>
              </w:rPr>
              <w:t>新一代云架构的企业级 酒店信息管理系统</w:t>
            </w:r>
            <w:r>
              <w:rPr>
                <w:rFonts w:ascii="Times New Roman" w:eastAsia="Times New Roman" w:hAnsi="Times New Roman" w:cs="Times New Roman"/>
                <w:color w:val="000000"/>
                <w:spacing w:val="0"/>
                <w:w w:val="100"/>
                <w:position w:val="0"/>
                <w:sz w:val="18"/>
                <w:szCs w:val="18"/>
              </w:rPr>
              <w:t>Shiji</w:t>
            </w:r>
          </w:p>
          <w:p>
            <w:pPr>
              <w:pStyle w:val="Style20"/>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Enterprise Platform</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5</w:t>
      </w:r>
      <w:bookmarkEnd w:id="546"/>
      <w:r>
        <w:rPr>
          <w:color w:val="000000"/>
          <w:spacing w:val="0"/>
          <w:w w:val="100"/>
          <w:position w:val="0"/>
        </w:rPr>
        <w:t>、其他重大合同</w:t>
      </w:r>
      <w:bookmarkEnd w:id="544"/>
      <w:bookmarkEnd w:id="545"/>
      <w:bookmarkEnd w:id="54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548" w:name="bookmark548"/>
      <w:bookmarkStart w:id="549" w:name="bookmark549"/>
      <w:bookmarkStart w:id="550" w:name="bookmark550"/>
      <w:r>
        <w:rPr>
          <w:color w:val="000000"/>
          <w:spacing w:val="0"/>
          <w:w w:val="100"/>
          <w:position w:val="0"/>
        </w:rPr>
        <w:t>十八、社会责任情况</w:t>
      </w:r>
      <w:bookmarkEnd w:id="548"/>
      <w:bookmarkEnd w:id="549"/>
      <w:bookmarkEnd w:id="550"/>
    </w:p>
    <w:p>
      <w:pPr>
        <w:pStyle w:val="Style32"/>
        <w:keepNext/>
        <w:keepLines/>
        <w:widowControl w:val="0"/>
        <w:shd w:val="clear" w:color="auto" w:fill="auto"/>
        <w:bidi w:val="0"/>
        <w:spacing w:before="0" w:after="2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、履行社会责任情况</w:t>
      </w:r>
      <w:bookmarkEnd w:id="551"/>
      <w:bookmarkEnd w:id="552"/>
      <w:bookmarkEnd w:id="554"/>
    </w:p>
    <w:p>
      <w:pPr>
        <w:pStyle w:val="Style35"/>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公司已在《社会责任报告》中详细披露了公司积极履行社会责任的工作情况，详见公司于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披露的《</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年度社会责任报告》，报告全文登载于巨潮资讯网(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p>
      <w:pPr>
        <w:pStyle w:val="Style32"/>
        <w:keepNext/>
        <w:keepLines/>
        <w:widowControl w:val="0"/>
        <w:shd w:val="clear" w:color="auto" w:fill="auto"/>
        <w:tabs>
          <w:tab w:pos="382" w:val="left"/>
        </w:tabs>
        <w:bidi w:val="0"/>
        <w:spacing w:before="0" w:after="320" w:line="312" w:lineRule="exact"/>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w:t>
        <w:tab/>
        <w:t>履行精准扶贫社会责任情况</w:t>
      </w:r>
      <w:bookmarkEnd w:id="555"/>
      <w:bookmarkEnd w:id="556"/>
      <w:bookmarkEnd w:id="558"/>
    </w:p>
    <w:p>
      <w:pPr>
        <w:pStyle w:val="Style32"/>
        <w:keepNext/>
        <w:keepLines/>
        <w:widowControl w:val="0"/>
        <w:shd w:val="clear" w:color="auto" w:fill="auto"/>
        <w:tabs>
          <w:tab w:pos="493" w:val="left"/>
        </w:tabs>
        <w:bidi w:val="0"/>
        <w:spacing w:before="0" w:after="260" w:line="312" w:lineRule="exact"/>
        <w:ind w:left="0" w:right="0" w:firstLine="0"/>
        <w:jc w:val="left"/>
      </w:pPr>
      <w:bookmarkStart w:id="555" w:name="bookmark555"/>
      <w:bookmarkStart w:id="556" w:name="bookmark556"/>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555"/>
      <w:bookmarkEnd w:id="556"/>
      <w:bookmarkEnd w:id="560"/>
    </w:p>
    <w:p>
      <w:pPr>
        <w:pStyle w:val="Style35"/>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493" w:val="left"/>
        </w:tabs>
        <w:bidi w:val="0"/>
        <w:spacing w:before="0" w:after="260" w:line="312" w:lineRule="exact"/>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561"/>
      <w:bookmarkEnd w:id="562"/>
      <w:bookmarkEnd w:id="564"/>
    </w:p>
    <w:p>
      <w:pPr>
        <w:pStyle w:val="Style28"/>
        <w:keepNext w:val="0"/>
        <w:keepLines w:val="0"/>
        <w:widowControl w:val="0"/>
        <w:shd w:val="clear" w:color="auto" w:fill="auto"/>
        <w:bidi w:val="0"/>
        <w:spacing w:before="0" w:after="320" w:line="316" w:lineRule="exact"/>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260" w:line="312" w:lineRule="exact"/>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565"/>
      <w:bookmarkEnd w:id="566"/>
      <w:bookmarkEnd w:id="568"/>
    </w:p>
    <w:p>
      <w:pPr>
        <w:pStyle w:val="Style28"/>
        <w:keepNext w:val="0"/>
        <w:keepLines w:val="0"/>
        <w:widowControl w:val="0"/>
        <w:shd w:val="clear" w:color="auto" w:fill="auto"/>
        <w:bidi w:val="0"/>
        <w:spacing w:before="0" w:after="320" w:line="316" w:lineRule="exact"/>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260" w:line="312" w:lineRule="exact"/>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569"/>
      <w:bookmarkEnd w:id="570"/>
      <w:bookmarkEnd w:id="572"/>
    </w:p>
    <w:p>
      <w:pPr>
        <w:pStyle w:val="Style28"/>
        <w:keepNext w:val="0"/>
        <w:keepLines w:val="0"/>
        <w:widowControl w:val="0"/>
        <w:shd w:val="clear" w:color="auto" w:fill="auto"/>
        <w:bidi w:val="0"/>
        <w:spacing w:before="0" w:after="320" w:line="316" w:lineRule="exact"/>
        <w:ind w:left="0" w:right="0" w:firstLine="0"/>
        <w:jc w:val="left"/>
      </w:pPr>
      <w:r>
        <w:rPr>
          <w:color w:val="000000"/>
          <w:spacing w:val="0"/>
          <w:w w:val="100"/>
          <w:position w:val="0"/>
        </w:rPr>
        <w:t>无</w:t>
      </w:r>
    </w:p>
    <w:p>
      <w:pPr>
        <w:pStyle w:val="Style32"/>
        <w:keepNext/>
        <w:keepLines/>
        <w:widowControl w:val="0"/>
        <w:shd w:val="clear" w:color="auto" w:fill="auto"/>
        <w:tabs>
          <w:tab w:pos="382" w:val="left"/>
        </w:tabs>
        <w:bidi w:val="0"/>
        <w:spacing w:before="0" w:after="260" w:line="312" w:lineRule="exact"/>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3</w:t>
      </w:r>
      <w:bookmarkEnd w:id="575"/>
      <w:r>
        <w:rPr>
          <w:color w:val="000000"/>
          <w:spacing w:val="0"/>
          <w:w w:val="100"/>
          <w:position w:val="0"/>
        </w:rPr>
        <w:t>、</w:t>
        <w:tab/>
        <w:t>环境保护相关的情况</w:t>
      </w:r>
      <w:bookmarkEnd w:id="573"/>
      <w:bookmarkEnd w:id="574"/>
      <w:bookmarkEnd w:id="576"/>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本公司及子公司不属于《环境保护法》、《企业事业单位环境信息公开办法》（环保保护部令第</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号）中所规定的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重点排 污单位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，日常经营活动不涉及排污。</w:t>
      </w:r>
    </w:p>
    <w:p>
      <w:pPr>
        <w:pStyle w:val="Style24"/>
        <w:keepNext/>
        <w:keepLines/>
        <w:widowControl w:val="0"/>
        <w:shd w:val="clear" w:color="auto" w:fill="auto"/>
        <w:bidi w:val="0"/>
        <w:spacing w:before="0" w:after="260" w:line="240" w:lineRule="auto"/>
        <w:ind w:left="0" w:right="0" w:firstLine="0"/>
        <w:jc w:val="left"/>
      </w:pPr>
      <w:bookmarkStart w:id="577" w:name="bookmark577"/>
      <w:bookmarkStart w:id="578" w:name="bookmark578"/>
      <w:bookmarkStart w:id="579" w:name="bookmark579"/>
      <w:r>
        <w:rPr>
          <w:color w:val="000000"/>
          <w:spacing w:val="0"/>
          <w:w w:val="100"/>
          <w:position w:val="0"/>
        </w:rPr>
        <w:t>十九、其他重大事项的说明</w:t>
      </w:r>
      <w:bookmarkEnd w:id="577"/>
      <w:bookmarkEnd w:id="578"/>
      <w:bookmarkEnd w:id="579"/>
    </w:p>
    <w:p>
      <w:pPr>
        <w:pStyle w:val="Style2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tabs>
          <w:tab w:pos="808" w:val="left"/>
        </w:tabs>
        <w:bidi w:val="0"/>
        <w:spacing w:before="0" w:after="0" w:line="312" w:lineRule="exact"/>
        <w:ind w:left="0" w:right="0" w:firstLine="44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w:t>
        <w:tab/>
        <w:t>公司与</w:t>
      </w:r>
      <w:r>
        <w:rPr>
          <w:rFonts w:ascii="Times New Roman" w:eastAsia="Times New Roman" w:hAnsi="Times New Roman" w:cs="Times New Roman"/>
          <w:color w:val="000000"/>
          <w:spacing w:val="0"/>
          <w:w w:val="100"/>
          <w:position w:val="0"/>
        </w:rPr>
        <w:t>Oracle</w:t>
      </w:r>
      <w:r>
        <w:rPr>
          <w:color w:val="000000"/>
          <w:spacing w:val="0"/>
          <w:w w:val="100"/>
          <w:position w:val="0"/>
        </w:rPr>
        <w:t>重大合同到期后不再续签</w:t>
      </w:r>
      <w:bookmarkEnd w:id="580"/>
      <w:bookmarkEnd w:id="581"/>
      <w:bookmarkEnd w:id="583"/>
    </w:p>
    <w:p>
      <w:pPr>
        <w:pStyle w:val="Style38"/>
        <w:keepNext w:val="0"/>
        <w:keepLines w:val="0"/>
        <w:widowControl w:val="0"/>
        <w:shd w:val="clear" w:color="auto" w:fill="auto"/>
        <w:bidi w:val="0"/>
        <w:spacing w:before="0" w:after="0" w:line="316" w:lineRule="exact"/>
        <w:ind w:left="0" w:right="0"/>
        <w:jc w:val="both"/>
      </w:pPr>
      <w:r>
        <w:rPr>
          <w:rFonts w:ascii="SimSun" w:eastAsia="SimSun" w:hAnsi="SimSun" w:cs="SimSun"/>
          <w:color w:val="000000"/>
          <w:spacing w:val="0"/>
          <w:w w:val="100"/>
          <w:position w:val="0"/>
        </w:rPr>
        <w:t>公司自</w:t>
      </w:r>
      <w:r>
        <w:rPr>
          <w:color w:val="000000"/>
          <w:spacing w:val="0"/>
          <w:w w:val="100"/>
          <w:position w:val="0"/>
        </w:rPr>
        <w:t>2003</w:t>
      </w:r>
      <w:r>
        <w:rPr>
          <w:rFonts w:ascii="SimSun" w:eastAsia="SimSun" w:hAnsi="SimSun" w:cs="SimSun"/>
          <w:color w:val="000000"/>
          <w:spacing w:val="0"/>
          <w:w w:val="100"/>
          <w:position w:val="0"/>
        </w:rPr>
        <w:t>年起，与</w:t>
      </w:r>
      <w:r>
        <w:rPr>
          <w:color w:val="000000"/>
          <w:spacing w:val="0"/>
          <w:w w:val="100"/>
          <w:position w:val="0"/>
        </w:rPr>
        <w:t>Micros Systems, Inc. （“MICROS US</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Micros Fidelio Singapore Pte Ltd. （“MICROS Singapore</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上述</w:t>
      </w:r>
      <w:r>
        <w:rPr>
          <w:color w:val="000000"/>
          <w:spacing w:val="0"/>
          <w:w w:val="100"/>
          <w:position w:val="0"/>
        </w:rPr>
        <w:t>MICROS</w:t>
      </w:r>
      <w:r>
        <w:rPr>
          <w:rFonts w:ascii="SimSun" w:eastAsia="SimSun" w:hAnsi="SimSun" w:cs="SimSun"/>
          <w:color w:val="000000"/>
          <w:spacing w:val="0"/>
          <w:w w:val="100"/>
          <w:position w:val="0"/>
        </w:rPr>
        <w:t>公司合称为</w:t>
      </w:r>
      <w:r>
        <w:rPr>
          <w:color w:val="000000"/>
          <w:spacing w:val="0"/>
          <w:w w:val="100"/>
          <w:position w:val="0"/>
        </w:rPr>
        <w:t>“MICROS</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）分别签署《技术许可与代理协议》、 关于</w:t>
      </w:r>
      <w:r>
        <w:rPr>
          <w:color w:val="000000"/>
          <w:spacing w:val="0"/>
          <w:w w:val="100"/>
          <w:position w:val="0"/>
        </w:rPr>
        <w:t>“</w:t>
      </w:r>
      <w:r>
        <w:rPr>
          <w:rFonts w:ascii="SimSun" w:eastAsia="SimSun" w:hAnsi="SimSun" w:cs="SimSun"/>
          <w:color w:val="000000"/>
          <w:spacing w:val="0"/>
          <w:w w:val="100"/>
          <w:position w:val="0"/>
        </w:rPr>
        <w:t>预订引擎及相关技术</w:t>
      </w:r>
      <w:r>
        <w:rPr>
          <w:rFonts w:ascii="SimSun" w:eastAsia="SimSun" w:hAnsi="SimSun" w:cs="SimSun"/>
          <w:color w:val="000000"/>
          <w:spacing w:val="0"/>
          <w:w w:val="100"/>
          <w:position w:val="0"/>
        </w:rPr>
        <w:t>（</w:t>
      </w:r>
      <w:r>
        <w:rPr>
          <w:color w:val="000000"/>
          <w:spacing w:val="0"/>
          <w:w w:val="100"/>
          <w:position w:val="0"/>
        </w:rPr>
        <w:t>MBE</w:t>
      </w:r>
      <w:r>
        <w:rPr>
          <w:rFonts w:ascii="SimSun" w:eastAsia="SimSun" w:hAnsi="SimSun" w:cs="SimSun"/>
          <w:color w:val="000000"/>
          <w:spacing w:val="0"/>
          <w:w w:val="100"/>
          <w:position w:val="0"/>
        </w:rPr>
        <w:t xml:space="preserve">） </w:t>
      </w:r>
      <w:r>
        <w:rPr>
          <w:color w:val="000000"/>
          <w:spacing w:val="0"/>
          <w:w w:val="100"/>
          <w:position w:val="0"/>
        </w:rPr>
        <w:t>”</w:t>
      </w:r>
      <w:r>
        <w:rPr>
          <w:rFonts w:ascii="SimSun" w:eastAsia="SimSun" w:hAnsi="SimSun" w:cs="SimSun"/>
          <w:color w:val="000000"/>
          <w:spacing w:val="0"/>
          <w:w w:val="100"/>
          <w:position w:val="0"/>
        </w:rPr>
        <w:t>的《许可协议》</w:t>
      </w:r>
      <w:r>
        <w:rPr>
          <w:rFonts w:ascii="SimSun" w:eastAsia="SimSun" w:hAnsi="SimSun" w:cs="SimSun"/>
          <w:color w:val="000000"/>
          <w:spacing w:val="0"/>
          <w:w w:val="100"/>
          <w:position w:val="0"/>
        </w:rPr>
        <w:t>、《</w:t>
      </w:r>
      <w:r>
        <w:rPr>
          <w:color w:val="000000"/>
          <w:spacing w:val="0"/>
          <w:w w:val="100"/>
          <w:position w:val="0"/>
        </w:rPr>
        <w:t>PMS V7</w:t>
      </w:r>
      <w:r>
        <w:rPr>
          <w:rFonts w:ascii="SimSun" w:eastAsia="SimSun" w:hAnsi="SimSun" w:cs="SimSun"/>
          <w:color w:val="000000"/>
          <w:spacing w:val="0"/>
          <w:w w:val="100"/>
          <w:position w:val="0"/>
        </w:rPr>
        <w:t>源码许可协议》及</w:t>
      </w:r>
      <w:r>
        <w:rPr>
          <w:rFonts w:ascii="SimSun" w:eastAsia="SimSun" w:hAnsi="SimSun" w:cs="SimSun"/>
          <w:color w:val="000000"/>
          <w:spacing w:val="0"/>
          <w:w w:val="100"/>
          <w:position w:val="0"/>
        </w:rPr>
        <w:t>《</w:t>
      </w:r>
      <w:r>
        <w:rPr>
          <w:color w:val="000000"/>
          <w:spacing w:val="0"/>
          <w:w w:val="100"/>
          <w:position w:val="0"/>
        </w:rPr>
        <w:t>PMS V7</w:t>
      </w:r>
      <w:r>
        <w:rPr>
          <w:rFonts w:ascii="SimSun" w:eastAsia="SimSun" w:hAnsi="SimSun" w:cs="SimSun"/>
          <w:color w:val="000000"/>
          <w:spacing w:val="0"/>
          <w:w w:val="100"/>
          <w:position w:val="0"/>
        </w:rPr>
        <w:t>接口源码许 可协议》；此后，公司分别于</w:t>
      </w: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月与</w:t>
      </w:r>
      <w:r>
        <w:rPr>
          <w:color w:val="000000"/>
          <w:spacing w:val="0"/>
          <w:w w:val="100"/>
          <w:position w:val="0"/>
        </w:rPr>
        <w:t>MICROS</w:t>
      </w:r>
      <w:r>
        <w:rPr>
          <w:rFonts w:ascii="SimSun" w:eastAsia="SimSun" w:hAnsi="SimSun" w:cs="SimSun"/>
          <w:color w:val="000000"/>
          <w:spacing w:val="0"/>
          <w:w w:val="100"/>
          <w:position w:val="0"/>
        </w:rPr>
        <w:t>公司相继多次 签署补充协议对《技术许可与代理协议》进行修订（上述所有协议及修订协议统称为</w:t>
      </w:r>
      <w:r>
        <w:rPr>
          <w:color w:val="000000"/>
          <w:spacing w:val="0"/>
          <w:w w:val="100"/>
          <w:position w:val="0"/>
        </w:rPr>
        <w:t>“</w:t>
      </w:r>
      <w:r>
        <w:rPr>
          <w:rFonts w:ascii="SimSun" w:eastAsia="SimSun" w:hAnsi="SimSun" w:cs="SimSun"/>
          <w:color w:val="000000"/>
          <w:spacing w:val="0"/>
          <w:w w:val="100"/>
          <w:position w:val="0"/>
        </w:rPr>
        <w:t>原协议</w:t>
      </w:r>
      <w:r>
        <w:rPr>
          <w:color w:val="000000"/>
          <w:spacing w:val="0"/>
          <w:w w:val="100"/>
          <w:position w:val="0"/>
        </w:rPr>
        <w:t>”</w:t>
      </w:r>
      <w:r>
        <w:rPr>
          <w:rFonts w:ascii="SimSun" w:eastAsia="SimSun" w:hAnsi="SimSun" w:cs="SimSun"/>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月，因</w:t>
      </w:r>
      <w:r>
        <w:rPr>
          <w:rFonts w:ascii="Times New Roman" w:eastAsia="Times New Roman" w:hAnsi="Times New Roman" w:cs="Times New Roman"/>
          <w:color w:val="000000"/>
          <w:spacing w:val="0"/>
          <w:w w:val="100"/>
          <w:position w:val="0"/>
        </w:rPr>
        <w:t>MICROS</w:t>
      </w:r>
      <w:r>
        <w:rPr>
          <w:color w:val="000000"/>
          <w:spacing w:val="0"/>
          <w:w w:val="100"/>
          <w:position w:val="0"/>
        </w:rPr>
        <w:t>公司成为</w:t>
      </w:r>
      <w:r>
        <w:rPr>
          <w:rFonts w:ascii="Times New Roman" w:eastAsia="Times New Roman" w:hAnsi="Times New Roman" w:cs="Times New Roman"/>
          <w:color w:val="000000"/>
          <w:spacing w:val="0"/>
          <w:w w:val="100"/>
          <w:position w:val="0"/>
        </w:rPr>
        <w:t>Oracle America, Inc.</w:t>
      </w:r>
      <w:r>
        <w:rPr>
          <w:color w:val="000000"/>
          <w:spacing w:val="0"/>
          <w:w w:val="100"/>
          <w:position w:val="0"/>
        </w:rPr>
        <w:t>（简称</w:t>
      </w:r>
      <w:r>
        <w:rPr>
          <w:rFonts w:ascii="Times New Roman" w:eastAsia="Times New Roman" w:hAnsi="Times New Roman" w:cs="Times New Roman"/>
          <w:color w:val="000000"/>
          <w:spacing w:val="0"/>
          <w:w w:val="100"/>
          <w:position w:val="0"/>
        </w:rPr>
        <w:t>“OAI”</w:t>
      </w:r>
      <w:r>
        <w:rPr>
          <w:color w:val="000000"/>
          <w:spacing w:val="0"/>
          <w:w w:val="100"/>
          <w:position w:val="0"/>
        </w:rPr>
        <w:t>）</w:t>
      </w:r>
      <w:r>
        <w:rPr>
          <w:color w:val="000000"/>
          <w:spacing w:val="0"/>
          <w:w w:val="100"/>
          <w:position w:val="0"/>
        </w:rPr>
        <w:t>的全资子公司，公司与</w:t>
      </w:r>
      <w:r>
        <w:rPr>
          <w:rFonts w:ascii="Times New Roman" w:eastAsia="Times New Roman" w:hAnsi="Times New Roman" w:cs="Times New Roman"/>
          <w:color w:val="000000"/>
          <w:spacing w:val="0"/>
          <w:w w:val="100"/>
          <w:position w:val="0"/>
        </w:rPr>
        <w:t>OAI</w:t>
      </w:r>
      <w:r>
        <w:rPr>
          <w:color w:val="000000"/>
          <w:spacing w:val="0"/>
          <w:w w:val="100"/>
          <w:position w:val="0"/>
        </w:rPr>
        <w:t>及其子 公司（合称</w:t>
      </w:r>
      <w:r>
        <w:rPr>
          <w:rFonts w:ascii="Times New Roman" w:eastAsia="Times New Roman" w:hAnsi="Times New Roman" w:cs="Times New Roman"/>
          <w:color w:val="000000"/>
          <w:spacing w:val="0"/>
          <w:w w:val="100"/>
          <w:position w:val="0"/>
        </w:rPr>
        <w:t>“ORACLE</w:t>
      </w:r>
      <w:r>
        <w:rPr>
          <w:color w:val="000000"/>
          <w:spacing w:val="0"/>
          <w:w w:val="100"/>
          <w:position w:val="0"/>
        </w:rPr>
        <w:t>公司''或</w:t>
      </w:r>
      <w:r>
        <w:rPr>
          <w:rFonts w:ascii="Times New Roman" w:eastAsia="Times New Roman" w:hAnsi="Times New Roman" w:cs="Times New Roman"/>
          <w:color w:val="000000"/>
          <w:spacing w:val="0"/>
          <w:w w:val="100"/>
          <w:position w:val="0"/>
        </w:rPr>
        <w:t>“</w:t>
      </w:r>
      <w:r>
        <w:rPr>
          <w:color w:val="000000"/>
          <w:spacing w:val="0"/>
          <w:w w:val="100"/>
          <w:position w:val="0"/>
        </w:rPr>
        <w:t>甲骨文</w:t>
      </w:r>
      <w:r>
        <w:rPr>
          <w:rFonts w:ascii="Times New Roman" w:eastAsia="Times New Roman" w:hAnsi="Times New Roman" w:cs="Times New Roman"/>
          <w:color w:val="000000"/>
          <w:spacing w:val="0"/>
          <w:w w:val="100"/>
          <w:position w:val="0"/>
        </w:rPr>
        <w:t>”</w:t>
      </w:r>
      <w:r>
        <w:rPr>
          <w:color w:val="000000"/>
          <w:spacing w:val="0"/>
          <w:w w:val="100"/>
          <w:position w:val="0"/>
        </w:rPr>
        <w:t>）签署《技术许可与代理协议</w:t>
      </w:r>
      <w:r>
        <w:rPr>
          <w:rFonts w:ascii="Times New Roman" w:eastAsia="Times New Roman" w:hAnsi="Times New Roman" w:cs="Times New Roman"/>
          <w:color w:val="000000"/>
          <w:spacing w:val="0"/>
          <w:w w:val="100"/>
          <w:position w:val="0"/>
        </w:rPr>
        <w:t>-</w:t>
      </w:r>
      <w:r>
        <w:rPr>
          <w:color w:val="000000"/>
          <w:spacing w:val="0"/>
          <w:w w:val="100"/>
          <w:position w:val="0"/>
        </w:rPr>
        <w:t>第六次修订》及其附件、</w:t>
      </w:r>
      <w:r>
        <w:rPr>
          <w:rFonts w:ascii="Times New Roman" w:eastAsia="Times New Roman" w:hAnsi="Times New Roman" w:cs="Times New Roman"/>
          <w:color w:val="000000"/>
          <w:spacing w:val="0"/>
          <w:w w:val="100"/>
          <w:position w:val="0"/>
        </w:rPr>
        <w:t>“</w:t>
      </w:r>
      <w:r>
        <w:rPr>
          <w:color w:val="000000"/>
          <w:spacing w:val="0"/>
          <w:w w:val="100"/>
          <w:position w:val="0"/>
        </w:rPr>
        <w:t>预订引擎 及相关技术</w:t>
      </w:r>
      <w:r>
        <w:rPr>
          <w:color w:val="000000"/>
          <w:spacing w:val="0"/>
          <w:w w:val="100"/>
          <w:position w:val="0"/>
        </w:rPr>
        <w:t>（</w:t>
      </w:r>
      <w:r>
        <w:rPr>
          <w:rFonts w:ascii="Times New Roman" w:eastAsia="Times New Roman" w:hAnsi="Times New Roman" w:cs="Times New Roman"/>
          <w:color w:val="000000"/>
          <w:spacing w:val="0"/>
          <w:w w:val="100"/>
          <w:position w:val="0"/>
        </w:rPr>
        <w:t>MBE</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《许可协议</w:t>
      </w:r>
      <w:r>
        <w:rPr>
          <w:rFonts w:ascii="Times New Roman" w:eastAsia="Times New Roman" w:hAnsi="Times New Roman" w:cs="Times New Roman"/>
          <w:color w:val="000000"/>
          <w:spacing w:val="0"/>
          <w:w w:val="100"/>
          <w:position w:val="0"/>
        </w:rPr>
        <w:t>-</w:t>
      </w:r>
      <w:r>
        <w:rPr>
          <w:color w:val="000000"/>
          <w:spacing w:val="0"/>
          <w:w w:val="100"/>
          <w:position w:val="0"/>
        </w:rPr>
        <w:t>第二次修改》、《源码许可协议</w:t>
      </w:r>
      <w:r>
        <w:rPr>
          <w:rFonts w:ascii="Times New Roman" w:eastAsia="Times New Roman" w:hAnsi="Times New Roman" w:cs="Times New Roman"/>
          <w:color w:val="000000"/>
          <w:spacing w:val="0"/>
          <w:w w:val="100"/>
          <w:position w:val="0"/>
        </w:rPr>
        <w:t>-</w:t>
      </w:r>
      <w:r>
        <w:rPr>
          <w:color w:val="000000"/>
          <w:spacing w:val="0"/>
          <w:w w:val="100"/>
          <w:position w:val="0"/>
        </w:rPr>
        <w:t>第二次修改》等补充协议，对原协议内 容进行了补充及修订。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日，公司与</w:t>
      </w:r>
      <w:r>
        <w:rPr>
          <w:rFonts w:ascii="Times New Roman" w:eastAsia="Times New Roman" w:hAnsi="Times New Roman" w:cs="Times New Roman"/>
          <w:color w:val="000000"/>
          <w:spacing w:val="0"/>
          <w:w w:val="100"/>
          <w:position w:val="0"/>
        </w:rPr>
        <w:t>Oracle</w:t>
      </w:r>
      <w:r>
        <w:rPr>
          <w:color w:val="000000"/>
          <w:spacing w:val="0"/>
          <w:w w:val="100"/>
          <w:position w:val="0"/>
        </w:rPr>
        <w:t>公司达成《</w:t>
      </w:r>
      <w:r>
        <w:rPr>
          <w:rFonts w:ascii="Times New Roman" w:eastAsia="Times New Roman" w:hAnsi="Times New Roman" w:cs="Times New Roman"/>
          <w:color w:val="000000"/>
          <w:spacing w:val="0"/>
          <w:w w:val="100"/>
          <w:position w:val="0"/>
        </w:rPr>
        <w:t xml:space="preserve">AMENDMENT </w:t>
      </w: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to the FULL USE DISTRIBUTION AGREEMENT</w:t>
      </w:r>
      <w:r>
        <w:rPr>
          <w:color w:val="000000"/>
          <w:spacing w:val="0"/>
          <w:w w:val="100"/>
          <w:position w:val="0"/>
        </w:rPr>
        <w:t>》</w:t>
      </w:r>
      <w:r>
        <w:rPr>
          <w:color w:val="000000"/>
          <w:spacing w:val="0"/>
          <w:w w:val="100"/>
          <w:position w:val="0"/>
        </w:rPr>
        <w:t>，延长原合作期限两年至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公司与</w:t>
      </w:r>
      <w:r>
        <w:rPr>
          <w:rFonts w:ascii="Times New Roman" w:eastAsia="Times New Roman" w:hAnsi="Times New Roman" w:cs="Times New Roman"/>
          <w:color w:val="000000"/>
          <w:spacing w:val="0"/>
          <w:w w:val="100"/>
          <w:position w:val="0"/>
        </w:rPr>
        <w:t>ORACLE</w:t>
      </w:r>
      <w:r>
        <w:rPr>
          <w:color w:val="000000"/>
          <w:spacing w:val="0"/>
          <w:w w:val="100"/>
          <w:position w:val="0"/>
        </w:rPr>
        <w:t>的上述代理合同到期后不再续约，原协议自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日起失效。该事项已经公司 </w:t>
      </w:r>
      <w:r>
        <w:rPr>
          <w:rFonts w:ascii="Times New Roman" w:eastAsia="Times New Roman" w:hAnsi="Times New Roman" w:cs="Times New Roman"/>
          <w:color w:val="000000"/>
          <w:spacing w:val="0"/>
          <w:w w:val="100"/>
          <w:position w:val="0"/>
        </w:rPr>
        <w:t>2020</w:t>
      </w:r>
      <w:r>
        <w:rPr>
          <w:color w:val="000000"/>
          <w:spacing w:val="0"/>
          <w:w w:val="100"/>
          <w:position w:val="0"/>
        </w:rPr>
        <w:t>年第二次总裁办公会审议通过，详见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日刊登于《中国证券报》、《上海证券报》及巨潮资 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的《关于公司与</w:t>
      </w:r>
      <w:r>
        <w:rPr>
          <w:rFonts w:ascii="Times New Roman" w:eastAsia="Times New Roman" w:hAnsi="Times New Roman" w:cs="Times New Roman"/>
          <w:color w:val="000000"/>
          <w:spacing w:val="0"/>
          <w:w w:val="100"/>
          <w:position w:val="0"/>
        </w:rPr>
        <w:t>Oracle</w:t>
      </w:r>
      <w:r>
        <w:rPr>
          <w:color w:val="000000"/>
          <w:spacing w:val="0"/>
          <w:w w:val="100"/>
          <w:position w:val="0"/>
        </w:rPr>
        <w:t>重大合同即将到期的提示性公告》（</w:t>
      </w:r>
      <w:r>
        <w:rPr>
          <w:rFonts w:ascii="Times New Roman" w:eastAsia="Times New Roman" w:hAnsi="Times New Roman" w:cs="Times New Roman"/>
          <w:color w:val="000000"/>
          <w:spacing w:val="0"/>
          <w:w w:val="100"/>
          <w:position w:val="0"/>
        </w:rPr>
        <w:t>2020-02</w:t>
      </w:r>
      <w:r>
        <w:rPr>
          <w:color w:val="000000"/>
          <w:spacing w:val="0"/>
          <w:w w:val="100"/>
          <w:position w:val="0"/>
        </w:rPr>
        <w:t>）。</w:t>
      </w:r>
    </w:p>
    <w:p>
      <w:pPr>
        <w:pStyle w:val="Style38"/>
        <w:keepNext w:val="0"/>
        <w:keepLines w:val="0"/>
        <w:widowControl w:val="0"/>
        <w:shd w:val="clear" w:color="auto" w:fill="auto"/>
        <w:tabs>
          <w:tab w:pos="818" w:val="left"/>
        </w:tabs>
        <w:bidi w:val="0"/>
        <w:spacing w:before="0" w:after="260" w:line="316" w:lineRule="exact"/>
        <w:ind w:left="0" w:right="0"/>
        <w:jc w:val="both"/>
      </w:pPr>
      <w:bookmarkStart w:id="584" w:name="bookmark584"/>
      <w:r>
        <w:rPr>
          <w:b/>
          <w:bCs/>
          <w:color w:val="000000"/>
          <w:spacing w:val="0"/>
          <w:w w:val="100"/>
          <w:position w:val="0"/>
        </w:rPr>
        <w:t>2</w:t>
      </w:r>
      <w:bookmarkEnd w:id="584"/>
      <w:r>
        <w:rPr>
          <w:rFonts w:ascii="SimSun" w:eastAsia="SimSun" w:hAnsi="SimSun" w:cs="SimSun"/>
          <w:b/>
          <w:bCs/>
          <w:color w:val="000000"/>
          <w:spacing w:val="0"/>
          <w:w w:val="100"/>
          <w:position w:val="0"/>
        </w:rPr>
        <w:t>、</w:t>
        <w:tab/>
        <w:t>公司拟处置</w:t>
      </w:r>
      <w:r>
        <w:rPr>
          <w:b/>
          <w:bCs/>
          <w:color w:val="000000"/>
          <w:spacing w:val="0"/>
          <w:w w:val="100"/>
          <w:position w:val="0"/>
        </w:rPr>
        <w:t xml:space="preserve">StayNTouch </w:t>
      </w:r>
      <w:r>
        <w:rPr>
          <w:b/>
          <w:bCs/>
          <w:color w:val="000000"/>
          <w:spacing w:val="0"/>
          <w:w w:val="100"/>
          <w:position w:val="0"/>
        </w:rPr>
        <w:t>100%</w:t>
      </w:r>
      <w:r>
        <w:rPr>
          <w:rFonts w:ascii="SimSun" w:eastAsia="SimSun" w:hAnsi="SimSun" w:cs="SimSun"/>
          <w:b/>
          <w:bCs/>
          <w:color w:val="000000"/>
          <w:spacing w:val="0"/>
          <w:w w:val="100"/>
          <w:position w:val="0"/>
        </w:rPr>
        <w:t>股权</w:t>
      </w:r>
    </w:p>
    <w:p>
      <w:pPr>
        <w:pStyle w:val="Style35"/>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日，美国总统唐纳德</w:t>
      </w:r>
      <w:r>
        <w:rPr>
          <w:rFonts w:ascii="Times New Roman" w:eastAsia="Times New Roman" w:hAnsi="Times New Roman" w:cs="Times New Roman"/>
          <w:color w:val="000000"/>
          <w:spacing w:val="0"/>
          <w:w w:val="100"/>
          <w:position w:val="0"/>
        </w:rPr>
        <w:t>•</w:t>
      </w:r>
      <w:r>
        <w:rPr>
          <w:color w:val="000000"/>
          <w:spacing w:val="0"/>
          <w:w w:val="100"/>
          <w:position w:val="0"/>
        </w:rPr>
        <w:t xml:space="preserve">特朗普签发了《关于北京中长石基信息技术股份有限公司收购 </w:t>
      </w:r>
      <w:r>
        <w:rPr>
          <w:rFonts w:ascii="Times New Roman" w:eastAsia="Times New Roman" w:hAnsi="Times New Roman" w:cs="Times New Roman"/>
          <w:color w:val="000000"/>
          <w:spacing w:val="0"/>
          <w:w w:val="100"/>
          <w:position w:val="0"/>
        </w:rPr>
        <w:t>StayNTouch, Inc,</w:t>
      </w:r>
      <w:r>
        <w:rPr>
          <w:color w:val="000000"/>
          <w:spacing w:val="0"/>
          <w:w w:val="100"/>
          <w:position w:val="0"/>
        </w:rPr>
        <w:t>的行政命令》（以下简称</w:t>
      </w:r>
      <w:r>
        <w:rPr>
          <w:rFonts w:ascii="Times New Roman" w:eastAsia="Times New Roman" w:hAnsi="Times New Roman" w:cs="Times New Roman"/>
          <w:color w:val="000000"/>
          <w:spacing w:val="0"/>
          <w:w w:val="100"/>
          <w:position w:val="0"/>
        </w:rPr>
        <w:t>“</w:t>
      </w:r>
      <w:r>
        <w:rPr>
          <w:color w:val="000000"/>
          <w:spacing w:val="0"/>
          <w:w w:val="100"/>
          <w:position w:val="0"/>
        </w:rPr>
        <w:t>行政命令</w:t>
      </w:r>
      <w:r>
        <w:rPr>
          <w:color w:val="000000"/>
          <w:spacing w:val="0"/>
          <w:w w:val="100"/>
          <w:position w:val="0"/>
        </w:rPr>
        <w:t>''）</w:t>
      </w:r>
      <w:r>
        <w:rPr>
          <w:color w:val="000000"/>
          <w:spacing w:val="0"/>
          <w:w w:val="100"/>
          <w:position w:val="0"/>
        </w:rPr>
        <w:t>，以可能会采取威胁损害美国国家安全的行动为由 要求公司及石基（香港）在行政命令发布后</w:t>
      </w:r>
      <w:r>
        <w:rPr>
          <w:rFonts w:ascii="Times New Roman" w:eastAsia="Times New Roman" w:hAnsi="Times New Roman" w:cs="Times New Roman"/>
          <w:color w:val="000000"/>
          <w:spacing w:val="0"/>
          <w:w w:val="100"/>
          <w:position w:val="0"/>
        </w:rPr>
        <w:t>120</w:t>
      </w:r>
      <w:r>
        <w:rPr>
          <w:color w:val="000000"/>
          <w:spacing w:val="0"/>
          <w:w w:val="100"/>
          <w:position w:val="0"/>
        </w:rPr>
        <w:t>天内剥离与</w:t>
      </w:r>
      <w:r>
        <w:rPr>
          <w:rFonts w:ascii="Times New Roman" w:eastAsia="Times New Roman" w:hAnsi="Times New Roman" w:cs="Times New Roman"/>
          <w:color w:val="000000"/>
          <w:spacing w:val="0"/>
          <w:w w:val="100"/>
          <w:position w:val="0"/>
        </w:rPr>
        <w:t>StayNTouch</w:t>
      </w:r>
      <w:r>
        <w:rPr>
          <w:color w:val="000000"/>
          <w:spacing w:val="0"/>
          <w:w w:val="100"/>
          <w:position w:val="0"/>
        </w:rPr>
        <w:t xml:space="preserve">相关的所有权益。公司拟处置 </w:t>
      </w:r>
      <w:r>
        <w:rPr>
          <w:rFonts w:ascii="Times New Roman" w:eastAsia="Times New Roman" w:hAnsi="Times New Roman" w:cs="Times New Roman"/>
          <w:color w:val="000000"/>
          <w:spacing w:val="0"/>
          <w:w w:val="100"/>
          <w:position w:val="0"/>
        </w:rPr>
        <w:t>StayNtouch</w:t>
      </w:r>
      <w:r>
        <w:rPr>
          <w:color w:val="000000"/>
          <w:spacing w:val="0"/>
          <w:w w:val="100"/>
          <w:position w:val="0"/>
        </w:rPr>
        <w:t>股权的交易事项已经公司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年第三次总裁办公会会议审议通过，详见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日刊登于《中国证券报》、《上海证券报》及巨潮资讯网</w:t>
      </w:r>
      <w:r>
        <w:rPr>
          <w:rFonts w:ascii="Times New Roman" w:eastAsia="Times New Roman" w:hAnsi="Times New Roman" w:cs="Times New Roman"/>
          <w:color w:val="000000"/>
          <w:spacing w:val="0"/>
          <w:w w:val="100"/>
          <w:position w:val="0"/>
        </w:rPr>
        <w:t>www.cnmfo.com.cn</w:t>
      </w:r>
      <w:r>
        <w:rPr>
          <w:color w:val="000000"/>
          <w:spacing w:val="0"/>
          <w:w w:val="100"/>
          <w:position w:val="0"/>
        </w:rPr>
        <w:t>的《关于公司拟处 置</w:t>
      </w:r>
      <w:r>
        <w:rPr>
          <w:rFonts w:ascii="Times New Roman" w:eastAsia="Times New Roman" w:hAnsi="Times New Roman" w:cs="Times New Roman"/>
          <w:color w:val="000000"/>
          <w:spacing w:val="0"/>
          <w:w w:val="100"/>
          <w:position w:val="0"/>
        </w:rPr>
        <w:t xml:space="preserve">StayNTouch </w:t>
      </w:r>
      <w:r>
        <w:rPr>
          <w:rFonts w:ascii="Times New Roman" w:eastAsia="Times New Roman" w:hAnsi="Times New Roman" w:cs="Times New Roman"/>
          <w:color w:val="000000"/>
          <w:spacing w:val="0"/>
          <w:w w:val="100"/>
          <w:position w:val="0"/>
        </w:rPr>
        <w:t>100%</w:t>
      </w:r>
      <w:r>
        <w:rPr>
          <w:color w:val="000000"/>
          <w:spacing w:val="0"/>
          <w:w w:val="100"/>
          <w:position w:val="0"/>
        </w:rPr>
        <w:t>股权的提示性公告》（</w:t>
      </w:r>
      <w:r>
        <w:rPr>
          <w:rFonts w:ascii="Times New Roman" w:eastAsia="Times New Roman" w:hAnsi="Times New Roman" w:cs="Times New Roman"/>
          <w:color w:val="000000"/>
          <w:spacing w:val="0"/>
          <w:w w:val="100"/>
          <w:position w:val="0"/>
        </w:rPr>
        <w:t xml:space="preserve">2020-03 </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日，公司、石基（香港）、</w:t>
      </w:r>
      <w:r>
        <w:rPr>
          <w:rFonts w:ascii="Times New Roman" w:eastAsia="Times New Roman" w:hAnsi="Times New Roman" w:cs="Times New Roman"/>
          <w:color w:val="000000"/>
          <w:spacing w:val="0"/>
          <w:w w:val="100"/>
          <w:position w:val="0"/>
        </w:rPr>
        <w:t>StayNTouch</w:t>
      </w:r>
      <w:r>
        <w:rPr>
          <w:color w:val="000000"/>
          <w:spacing w:val="0"/>
          <w:w w:val="100"/>
          <w:position w:val="0"/>
        </w:rPr>
        <w:t>与美国外国投资委员会</w:t>
      </w:r>
      <w:r>
        <w:rPr>
          <w:color w:val="000000"/>
          <w:spacing w:val="0"/>
          <w:w w:val="100"/>
          <w:position w:val="0"/>
        </w:rPr>
        <w:t>（</w:t>
      </w:r>
      <w:r>
        <w:rPr>
          <w:rFonts w:ascii="Times New Roman" w:eastAsia="Times New Roman" w:hAnsi="Times New Roman" w:cs="Times New Roman"/>
          <w:color w:val="000000"/>
          <w:spacing w:val="0"/>
          <w:w w:val="100"/>
          <w:position w:val="0"/>
        </w:rPr>
        <w:t>CFIUS</w:t>
      </w:r>
      <w:r>
        <w:rPr>
          <w:color w:val="000000"/>
          <w:spacing w:val="0"/>
          <w:w w:val="100"/>
          <w:position w:val="0"/>
        </w:rPr>
        <w:t>）</w:t>
      </w:r>
      <w:r>
        <w:rPr>
          <w:color w:val="000000"/>
          <w:spacing w:val="0"/>
          <w:w w:val="100"/>
          <w:position w:val="0"/>
        </w:rPr>
        <w:t>监查机构签署了 《关于北京中长石基信息技术股份有限公司收购</w:t>
      </w:r>
      <w:r>
        <w:rPr>
          <w:rFonts w:ascii="Times New Roman" w:eastAsia="Times New Roman" w:hAnsi="Times New Roman" w:cs="Times New Roman"/>
          <w:color w:val="000000"/>
          <w:spacing w:val="0"/>
          <w:w w:val="100"/>
          <w:position w:val="0"/>
        </w:rPr>
        <w:t>StayNTouch, Inc</w:t>
      </w:r>
      <w:r>
        <w:rPr>
          <w:rFonts w:ascii="Times New Roman" w:eastAsia="Times New Roman" w:hAnsi="Times New Roman" w:cs="Times New Roman"/>
          <w:color w:val="000000"/>
          <w:spacing w:val="0"/>
          <w:w w:val="100"/>
          <w:position w:val="0"/>
        </w:rPr>
        <w:t>,</w:t>
      </w:r>
      <w:r>
        <w:rPr>
          <w:color w:val="000000"/>
          <w:spacing w:val="0"/>
          <w:w w:val="100"/>
          <w:position w:val="0"/>
        </w:rPr>
        <w:t>的行政命令获授权延期的有关条件》，公 司对于此前被要求剥离与</w:t>
      </w:r>
      <w:r>
        <w:rPr>
          <w:rFonts w:ascii="Times New Roman" w:eastAsia="Times New Roman" w:hAnsi="Times New Roman" w:cs="Times New Roman"/>
          <w:color w:val="000000"/>
          <w:spacing w:val="0"/>
          <w:w w:val="100"/>
          <w:position w:val="0"/>
        </w:rPr>
        <w:t>S tayNTouch</w:t>
      </w:r>
      <w:r>
        <w:rPr>
          <w:color w:val="000000"/>
          <w:spacing w:val="0"/>
          <w:w w:val="100"/>
          <w:position w:val="0"/>
        </w:rPr>
        <w:t>相关的所有权益，获得</w:t>
      </w:r>
      <w:r>
        <w:rPr>
          <w:rFonts w:ascii="Times New Roman" w:eastAsia="Times New Roman" w:hAnsi="Times New Roman" w:cs="Times New Roman"/>
          <w:color w:val="000000"/>
          <w:spacing w:val="0"/>
          <w:w w:val="100"/>
          <w:position w:val="0"/>
        </w:rPr>
        <w:t>3</w:t>
      </w:r>
      <w:r>
        <w:rPr>
          <w:color w:val="000000"/>
          <w:spacing w:val="0"/>
          <w:w w:val="100"/>
          <w:position w:val="0"/>
        </w:rPr>
        <w:t>个月的延期许可，获延期批准的剥离最后期 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日刊登于《中国证券报》、《上海证券报》及巨潮资讯网 </w:t>
      </w:r>
      <w:r>
        <w:rPr>
          <w:rFonts w:ascii="Times New Roman" w:eastAsia="Times New Roman" w:hAnsi="Times New Roman" w:cs="Times New Roman"/>
          <w:color w:val="000000"/>
          <w:spacing w:val="0"/>
          <w:w w:val="100"/>
          <w:position w:val="0"/>
        </w:rPr>
        <w:t>www .cninfo.com.cn</w:t>
      </w:r>
      <w:r>
        <w:rPr>
          <w:color w:val="000000"/>
          <w:spacing w:val="0"/>
          <w:w w:val="100"/>
          <w:position w:val="0"/>
        </w:rPr>
        <w:t>的《关于公司拟处置</w:t>
      </w:r>
      <w:r>
        <w:rPr>
          <w:rFonts w:ascii="Times New Roman" w:eastAsia="Times New Roman" w:hAnsi="Times New Roman" w:cs="Times New Roman"/>
          <w:color w:val="000000"/>
          <w:spacing w:val="0"/>
          <w:w w:val="100"/>
          <w:position w:val="0"/>
        </w:rPr>
        <w:t>StayNTouch100%</w:t>
      </w:r>
      <w:r>
        <w:rPr>
          <w:color w:val="000000"/>
          <w:spacing w:val="0"/>
          <w:w w:val="100"/>
          <w:position w:val="0"/>
        </w:rPr>
        <w:t>股权的进展公告》</w:t>
      </w:r>
      <w:r>
        <w:rPr>
          <w:color w:val="000000"/>
          <w:spacing w:val="0"/>
          <w:w w:val="100"/>
          <w:position w:val="0"/>
        </w:rPr>
        <w:t>（</w:t>
      </w:r>
      <w:r>
        <w:rPr>
          <w:rFonts w:ascii="Times New Roman" w:eastAsia="Times New Roman" w:hAnsi="Times New Roman" w:cs="Times New Roman"/>
          <w:color w:val="000000"/>
          <w:spacing w:val="0"/>
          <w:w w:val="100"/>
          <w:position w:val="0"/>
        </w:rPr>
        <w:t xml:space="preserve">2020-18 </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日，石基（香港）与</w:t>
      </w:r>
      <w:r>
        <w:rPr>
          <w:rFonts w:ascii="Times New Roman" w:eastAsia="Times New Roman" w:hAnsi="Times New Roman" w:cs="Times New Roman"/>
          <w:color w:val="000000"/>
          <w:spacing w:val="0"/>
          <w:w w:val="100"/>
          <w:position w:val="0"/>
        </w:rPr>
        <w:t xml:space="preserve">MCR Investors LLC </w:t>
      </w:r>
      <w:r>
        <w:rPr>
          <w:color w:val="000000"/>
          <w:spacing w:val="0"/>
          <w:w w:val="100"/>
          <w:position w:val="0"/>
        </w:rPr>
        <w:t>（以下简称</w:t>
      </w:r>
      <w:r>
        <w:rPr>
          <w:rFonts w:ascii="Times New Roman" w:eastAsia="Times New Roman" w:hAnsi="Times New Roman" w:cs="Times New Roman"/>
          <w:color w:val="000000"/>
          <w:spacing w:val="0"/>
          <w:w w:val="100"/>
          <w:position w:val="0"/>
        </w:rPr>
        <w:t>“MCR”</w:t>
      </w:r>
      <w:r>
        <w:rPr>
          <w:color w:val="000000"/>
          <w:spacing w:val="0"/>
          <w:w w:val="100"/>
          <w:position w:val="0"/>
        </w:rPr>
        <w:t>）</w:t>
      </w:r>
      <w:r>
        <w:rPr>
          <w:color w:val="000000"/>
          <w:spacing w:val="0"/>
          <w:w w:val="100"/>
          <w:position w:val="0"/>
        </w:rPr>
        <w:t>签订</w:t>
      </w:r>
      <w:r>
        <w:rPr>
          <w:color w:val="000000"/>
          <w:spacing w:val="0"/>
          <w:w w:val="100"/>
          <w:position w:val="0"/>
        </w:rPr>
        <w:t>《</w:t>
      </w:r>
      <w:r>
        <w:rPr>
          <w:rFonts w:ascii="Times New Roman" w:eastAsia="Times New Roman" w:hAnsi="Times New Roman" w:cs="Times New Roman"/>
          <w:color w:val="000000"/>
          <w:spacing w:val="0"/>
          <w:w w:val="100"/>
          <w:position w:val="0"/>
        </w:rPr>
        <w:t>StayNTouchl00%</w:t>
      </w:r>
      <w:r>
        <w:rPr>
          <w:color w:val="000000"/>
          <w:spacing w:val="0"/>
          <w:w w:val="100"/>
          <w:position w:val="0"/>
        </w:rPr>
        <w:t>股权 出售协议》，该交易已经公司第七届董事会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年第四次临时会议审议通过，尚需经美国政府及</w:t>
      </w:r>
      <w:r>
        <w:rPr>
          <w:rFonts w:ascii="Times New Roman" w:eastAsia="Times New Roman" w:hAnsi="Times New Roman" w:cs="Times New Roman"/>
          <w:color w:val="000000"/>
          <w:spacing w:val="0"/>
          <w:w w:val="100"/>
          <w:position w:val="0"/>
        </w:rPr>
        <w:t>CFIUS</w:t>
      </w:r>
      <w:r>
        <w:rPr>
          <w:color w:val="000000"/>
          <w:spacing w:val="0"/>
          <w:w w:val="100"/>
          <w:position w:val="0"/>
        </w:rPr>
        <w:t>审 核确认。详见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日刊登于《中国证券报》、《上海证券报》及巨潮资讯网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 于公司拟处置</w:t>
      </w:r>
      <w:r>
        <w:rPr>
          <w:rFonts w:ascii="Times New Roman" w:eastAsia="Times New Roman" w:hAnsi="Times New Roman" w:cs="Times New Roman"/>
          <w:color w:val="000000"/>
          <w:spacing w:val="0"/>
          <w:w w:val="100"/>
          <w:position w:val="0"/>
        </w:rPr>
        <w:t>StayNtouch100%</w:t>
      </w:r>
      <w:r>
        <w:rPr>
          <w:color w:val="000000"/>
          <w:spacing w:val="0"/>
          <w:w w:val="100"/>
          <w:position w:val="0"/>
        </w:rPr>
        <w:t>股权进展的公告（二）》（</w:t>
      </w:r>
      <w:r>
        <w:rPr>
          <w:rFonts w:ascii="Times New Roman" w:eastAsia="Times New Roman" w:hAnsi="Times New Roman" w:cs="Times New Roman"/>
          <w:color w:val="000000"/>
          <w:spacing w:val="0"/>
          <w:w w:val="100"/>
          <w:position w:val="0"/>
        </w:rPr>
        <w:t>2020-29</w:t>
      </w:r>
      <w:r>
        <w:rPr>
          <w:color w:val="000000"/>
          <w:spacing w:val="0"/>
          <w:w w:val="100"/>
          <w:position w:val="0"/>
        </w:rPr>
        <w:t>）。</w:t>
      </w:r>
    </w:p>
    <w:p>
      <w:pPr>
        <w:pStyle w:val="Style35"/>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石基（香港）完成了出售</w:t>
      </w:r>
      <w:r>
        <w:rPr>
          <w:rFonts w:ascii="Times New Roman" w:eastAsia="Times New Roman" w:hAnsi="Times New Roman" w:cs="Times New Roman"/>
          <w:color w:val="000000"/>
          <w:spacing w:val="0"/>
          <w:w w:val="100"/>
          <w:position w:val="0"/>
        </w:rPr>
        <w:t>StayNTouch100%</w:t>
      </w:r>
      <w:r>
        <w:rPr>
          <w:color w:val="000000"/>
          <w:spacing w:val="0"/>
          <w:w w:val="100"/>
          <w:position w:val="0"/>
        </w:rPr>
        <w:t>股权的交割手续，并向</w:t>
      </w:r>
      <w:r>
        <w:rPr>
          <w:rFonts w:ascii="Times New Roman" w:eastAsia="Times New Roman" w:hAnsi="Times New Roman" w:cs="Times New Roman"/>
          <w:color w:val="000000"/>
          <w:spacing w:val="0"/>
          <w:w w:val="100"/>
          <w:position w:val="0"/>
        </w:rPr>
        <w:t>CFIUS</w:t>
      </w:r>
      <w:r>
        <w:rPr>
          <w:color w:val="000000"/>
          <w:spacing w:val="0"/>
          <w:w w:val="100"/>
          <w:position w:val="0"/>
        </w:rPr>
        <w:t xml:space="preserve">提交了对 </w:t>
      </w:r>
      <w:r>
        <w:rPr>
          <w:rFonts w:ascii="Times New Roman" w:eastAsia="Times New Roman" w:hAnsi="Times New Roman" w:cs="Times New Roman"/>
          <w:color w:val="000000"/>
          <w:spacing w:val="0"/>
          <w:w w:val="100"/>
          <w:position w:val="0"/>
        </w:rPr>
        <w:t>StayNTouch</w:t>
      </w:r>
      <w:r>
        <w:rPr>
          <w:color w:val="000000"/>
          <w:spacing w:val="0"/>
          <w:w w:val="100"/>
          <w:position w:val="0"/>
        </w:rPr>
        <w:t>撤资完成的证明。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日，石基（香港）收到</w:t>
      </w:r>
      <w:r>
        <w:rPr>
          <w:rFonts w:ascii="Times New Roman" w:eastAsia="Times New Roman" w:hAnsi="Times New Roman" w:cs="Times New Roman"/>
          <w:color w:val="000000"/>
          <w:spacing w:val="0"/>
          <w:w w:val="100"/>
          <w:position w:val="0"/>
        </w:rPr>
        <w:t>CFIUS</w:t>
      </w:r>
      <w:r>
        <w:rPr>
          <w:color w:val="000000"/>
          <w:spacing w:val="0"/>
          <w:w w:val="100"/>
          <w:position w:val="0"/>
        </w:rPr>
        <w:t>的回复文件，</w:t>
      </w:r>
      <w:r>
        <w:rPr>
          <w:rFonts w:ascii="Times New Roman" w:eastAsia="Times New Roman" w:hAnsi="Times New Roman" w:cs="Times New Roman"/>
          <w:color w:val="000000"/>
          <w:spacing w:val="0"/>
          <w:w w:val="100"/>
          <w:position w:val="0"/>
        </w:rPr>
        <w:t>CFIUS</w:t>
      </w:r>
      <w:r>
        <w:rPr>
          <w:color w:val="000000"/>
          <w:spacing w:val="0"/>
          <w:w w:val="100"/>
          <w:position w:val="0"/>
        </w:rPr>
        <w:t>已经完成对 撤资事项的核查程序，并确认符合《行政命令》的相关要求。详见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日刊登于《中国证券报》、</w:t>
      </w:r>
    </w:p>
    <w:p>
      <w:pPr>
        <w:pStyle w:val="Style38"/>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《上海证券报》及巨潮资讯网</w:t>
      </w:r>
      <w:r>
        <w:rPr>
          <w:color w:val="000000"/>
          <w:spacing w:val="0"/>
          <w:w w:val="100"/>
          <w:position w:val="0"/>
        </w:rPr>
        <w:t>www.cninfo.com.cn</w:t>
      </w:r>
      <w:r>
        <w:rPr>
          <w:rFonts w:ascii="SimSun" w:eastAsia="SimSun" w:hAnsi="SimSun" w:cs="SimSun"/>
          <w:color w:val="000000"/>
          <w:spacing w:val="0"/>
          <w:w w:val="100"/>
          <w:position w:val="0"/>
        </w:rPr>
        <w:t>《关于</w:t>
      </w:r>
      <w:r>
        <w:rPr>
          <w:color w:val="000000"/>
          <w:spacing w:val="0"/>
          <w:w w:val="100"/>
          <w:position w:val="0"/>
        </w:rPr>
        <w:t xml:space="preserve">StayNTouch </w:t>
      </w:r>
      <w:r>
        <w:rPr>
          <w:color w:val="000000"/>
          <w:spacing w:val="0"/>
          <w:w w:val="100"/>
          <w:position w:val="0"/>
        </w:rPr>
        <w:t>100%</w:t>
      </w:r>
      <w:r>
        <w:rPr>
          <w:rFonts w:ascii="SimSun" w:eastAsia="SimSun" w:hAnsi="SimSun" w:cs="SimSun"/>
          <w:color w:val="000000"/>
          <w:spacing w:val="0"/>
          <w:w w:val="100"/>
          <w:position w:val="0"/>
        </w:rPr>
        <w:t>股权处置交割完成并获得</w:t>
      </w:r>
      <w:r>
        <w:rPr>
          <w:color w:val="000000"/>
          <w:spacing w:val="0"/>
          <w:w w:val="100"/>
          <w:position w:val="0"/>
        </w:rPr>
        <w:t xml:space="preserve">CFIUS </w:t>
      </w:r>
      <w:r>
        <w:rPr>
          <w:rFonts w:ascii="SimSun" w:eastAsia="SimSun" w:hAnsi="SimSun" w:cs="SimSun"/>
          <w:color w:val="000000"/>
          <w:spacing w:val="0"/>
          <w:w w:val="100"/>
          <w:position w:val="0"/>
        </w:rPr>
        <w:t>确认的进展公告》</w:t>
      </w:r>
      <w:r>
        <w:rPr>
          <w:rFonts w:ascii="SimSun" w:eastAsia="SimSun" w:hAnsi="SimSun" w:cs="SimSun"/>
          <w:color w:val="000000"/>
          <w:spacing w:val="0"/>
          <w:w w:val="100"/>
          <w:position w:val="0"/>
        </w:rPr>
        <w:t>（</w:t>
      </w:r>
      <w:r>
        <w:rPr>
          <w:color w:val="000000"/>
          <w:spacing w:val="0"/>
          <w:w w:val="100"/>
          <w:position w:val="0"/>
        </w:rPr>
        <w:t xml:space="preserve">2020-33 </w:t>
      </w:r>
      <w:r>
        <w:rPr>
          <w:rFonts w:ascii="SimSun" w:eastAsia="SimSun" w:hAnsi="SimSun" w:cs="SimSun"/>
          <w:color w:val="000000"/>
          <w:spacing w:val="0"/>
          <w:w w:val="100"/>
          <w:position w:val="0"/>
        </w:rPr>
        <w:t>）。</w:t>
      </w:r>
    </w:p>
    <w:p>
      <w:pPr>
        <w:pStyle w:val="Style32"/>
        <w:keepNext/>
        <w:keepLines/>
        <w:widowControl w:val="0"/>
        <w:shd w:val="clear" w:color="auto" w:fill="auto"/>
        <w:bidi w:val="0"/>
        <w:spacing w:before="0" w:after="120" w:line="312" w:lineRule="exact"/>
        <w:ind w:left="0" w:right="0" w:firstLine="44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3</w:t>
      </w:r>
      <w:bookmarkEnd w:id="587"/>
      <w:r>
        <w:rPr>
          <w:color w:val="000000"/>
          <w:spacing w:val="0"/>
          <w:w w:val="100"/>
          <w:position w:val="0"/>
        </w:rPr>
        <w:t>、出售控股子公司思迅软件部分股份</w:t>
      </w:r>
      <w:bookmarkEnd w:id="585"/>
      <w:bookmarkEnd w:id="586"/>
      <w:bookmarkEnd w:id="588"/>
    </w:p>
    <w:p>
      <w:pPr>
        <w:pStyle w:val="Style35"/>
        <w:keepNext w:val="0"/>
        <w:keepLines w:val="0"/>
        <w:widowControl w:val="0"/>
        <w:shd w:val="clear" w:color="auto" w:fill="auto"/>
        <w:bidi w:val="0"/>
        <w:spacing w:before="0" w:after="360" w:line="31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日，公司及思迅软件其他现有股东（合称</w:t>
      </w:r>
      <w:r>
        <w:rPr>
          <w:rFonts w:ascii="Times New Roman" w:eastAsia="Times New Roman" w:hAnsi="Times New Roman" w:cs="Times New Roman"/>
          <w:color w:val="000000"/>
          <w:spacing w:val="0"/>
          <w:w w:val="100"/>
          <w:position w:val="0"/>
        </w:rPr>
        <w:t>“</w:t>
      </w:r>
      <w:r>
        <w:rPr>
          <w:color w:val="000000"/>
          <w:spacing w:val="0"/>
          <w:w w:val="100"/>
          <w:position w:val="0"/>
        </w:rPr>
        <w:t>转让方</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与蚂蚁科技集团股份有限公司之全资 子公司上海云鑫创业投资有限公司（以下简称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云鑫投资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签署《股份转让协议》（以下简称</w:t>
      </w:r>
      <w:r>
        <w:rPr>
          <w:rFonts w:ascii="Times New Roman" w:eastAsia="Times New Roman" w:hAnsi="Times New Roman" w:cs="Times New Roman"/>
          <w:color w:val="000000"/>
          <w:spacing w:val="0"/>
          <w:w w:val="100"/>
          <w:position w:val="0"/>
        </w:rPr>
        <w:t>“</w:t>
      </w:r>
      <w:r>
        <w:rPr>
          <w:color w:val="000000"/>
          <w:spacing w:val="0"/>
          <w:w w:val="100"/>
          <w:position w:val="0"/>
        </w:rPr>
        <w:t>协议</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转让方拟将持有的思迅软件合计</w:t>
      </w:r>
      <w:r>
        <w:rPr>
          <w:rFonts w:ascii="Times New Roman" w:eastAsia="Times New Roman" w:hAnsi="Times New Roman" w:cs="Times New Roman"/>
          <w:color w:val="000000"/>
          <w:spacing w:val="0"/>
          <w:w w:val="100"/>
          <w:position w:val="0"/>
        </w:rPr>
        <w:t>10%</w:t>
      </w:r>
      <w:r>
        <w:rPr>
          <w:color w:val="000000"/>
          <w:spacing w:val="0"/>
          <w:w w:val="100"/>
          <w:position w:val="0"/>
        </w:rPr>
        <w:t>股份以</w:t>
      </w:r>
      <w:r>
        <w:rPr>
          <w:rFonts w:ascii="Times New Roman" w:eastAsia="Times New Roman" w:hAnsi="Times New Roman" w:cs="Times New Roman"/>
          <w:color w:val="000000"/>
          <w:spacing w:val="0"/>
          <w:w w:val="100"/>
          <w:position w:val="0"/>
        </w:rPr>
        <w:t>4.5</w:t>
      </w:r>
      <w:r>
        <w:rPr>
          <w:color w:val="000000"/>
          <w:spacing w:val="0"/>
          <w:w w:val="100"/>
          <w:position w:val="0"/>
        </w:rPr>
        <w:t>亿人民币的价格转让给云鑫投资，其中公司拟以</w:t>
      </w:r>
      <w:r>
        <w:rPr>
          <w:rFonts w:ascii="Times New Roman" w:eastAsia="Times New Roman" w:hAnsi="Times New Roman" w:cs="Times New Roman"/>
          <w:color w:val="000000"/>
          <w:spacing w:val="0"/>
          <w:w w:val="100"/>
          <w:position w:val="0"/>
        </w:rPr>
        <w:t>2.7</w:t>
      </w:r>
      <w:r>
        <w:rPr>
          <w:color w:val="000000"/>
          <w:spacing w:val="0"/>
          <w:w w:val="100"/>
          <w:position w:val="0"/>
        </w:rPr>
        <w:t>亿元人民 币出售持有的标的公司</w:t>
      </w:r>
      <w:r>
        <w:rPr>
          <w:rFonts w:ascii="Times New Roman" w:eastAsia="Times New Roman" w:hAnsi="Times New Roman" w:cs="Times New Roman"/>
          <w:color w:val="000000"/>
          <w:spacing w:val="0"/>
          <w:w w:val="100"/>
          <w:position w:val="0"/>
        </w:rPr>
        <w:t>6%</w:t>
      </w:r>
      <w:r>
        <w:rPr>
          <w:color w:val="000000"/>
          <w:spacing w:val="0"/>
          <w:w w:val="100"/>
          <w:position w:val="0"/>
        </w:rPr>
        <w:t>的股份。上述股份转让价格系交易各方一致协商确定，价格公允合理。本事项已 经公司第七届董事会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年第三次临时会议审议通过。《关于拟出售控股子公司思迅软件部分股份暨签署 </w:t>
      </w:r>
      <w:r>
        <w:rPr>
          <w:color w:val="000000"/>
          <w:spacing w:val="0"/>
          <w:w w:val="100"/>
          <w:position w:val="0"/>
        </w:rPr>
        <w:t>〈</w:t>
      </w:r>
      <w:r>
        <w:rPr>
          <w:color w:val="000000"/>
          <w:spacing w:val="0"/>
          <w:w w:val="100"/>
          <w:position w:val="0"/>
        </w:rPr>
        <w:t>股份转让协议</w:t>
      </w:r>
      <w:r>
        <w:rPr>
          <w:color w:val="000000"/>
          <w:spacing w:val="0"/>
          <w:w w:val="100"/>
          <w:position w:val="0"/>
        </w:rPr>
        <w:t>〉</w:t>
      </w:r>
      <w:r>
        <w:rPr>
          <w:color w:val="000000"/>
          <w:spacing w:val="0"/>
          <w:w w:val="100"/>
          <w:position w:val="0"/>
        </w:rPr>
        <w:t>的公告》（</w:t>
      </w:r>
      <w:r>
        <w:rPr>
          <w:rFonts w:ascii="Times New Roman" w:eastAsia="Times New Roman" w:hAnsi="Times New Roman" w:cs="Times New Roman"/>
          <w:color w:val="000000"/>
          <w:spacing w:val="0"/>
          <w:w w:val="100"/>
          <w:position w:val="0"/>
        </w:rPr>
        <w:t>2021-12</w:t>
      </w: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日的《中国证券报》、《上海证券报》及巨潮资讯 </w:t>
      </w:r>
      <w:r>
        <w:fldChar w:fldCharType="begin"/>
      </w:r>
      <w:r>
        <w:rPr/>
        <w:instrText> HYPERLINK "http://www.cninfo.com.cn/" </w:instrText>
      </w:r>
      <w:r>
        <w:fldChar w:fldCharType="separate"/>
      </w:r>
      <w:r>
        <w:rPr>
          <w:color w:val="000000"/>
          <w:spacing w:val="0"/>
          <w:w w:val="100"/>
          <w:position w:val="0"/>
        </w:rPr>
        <w:t xml:space="preserve">网 </w:t>
      </w:r>
      <w:r>
        <w:rPr>
          <w:rFonts w:ascii="Times New Roman" w:eastAsia="Times New Roman" w:hAnsi="Times New Roman" w:cs="Times New Roman"/>
          <w:color w:val="3F3F3F"/>
          <w:spacing w:val="0"/>
          <w:w w:val="100"/>
          <w:position w:val="0"/>
        </w:rPr>
        <w:t>www .cninfo.com.cn</w:t>
      </w:r>
      <w:r>
        <w:fldChar w:fldCharType="end"/>
      </w:r>
    </w:p>
    <w:p>
      <w:pPr>
        <w:pStyle w:val="Style24"/>
        <w:keepNext/>
        <w:keepLines/>
        <w:widowControl w:val="0"/>
        <w:shd w:val="clear" w:color="auto" w:fill="auto"/>
        <w:bidi w:val="0"/>
        <w:spacing w:before="0" w:after="260" w:line="240" w:lineRule="auto"/>
        <w:ind w:left="0" w:right="0" w:firstLine="0"/>
        <w:jc w:val="left"/>
      </w:pPr>
      <w:bookmarkStart w:id="589" w:name="bookmark589"/>
      <w:bookmarkStart w:id="590" w:name="bookmark590"/>
      <w:bookmarkStart w:id="591" w:name="bookmark591"/>
      <w:r>
        <w:rPr>
          <w:color w:val="000000"/>
          <w:spacing w:val="0"/>
          <w:w w:val="100"/>
          <w:position w:val="0"/>
        </w:rPr>
        <w:t>二十、公司子公司重大事项</w:t>
      </w:r>
      <w:bookmarkEnd w:id="589"/>
      <w:bookmarkEnd w:id="590"/>
      <w:bookmarkEnd w:id="591"/>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tabs>
          <w:tab w:pos="757" w:val="left"/>
        </w:tabs>
        <w:bidi w:val="0"/>
        <w:spacing w:before="0" w:after="0" w:line="312" w:lineRule="exact"/>
        <w:ind w:left="0" w:right="0" w:firstLine="44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w:t>
        <w:tab/>
        <w:t>公司拟筹划子公司思迅软件上市</w:t>
      </w:r>
      <w:bookmarkEnd w:id="592"/>
      <w:bookmarkEnd w:id="593"/>
      <w:bookmarkEnd w:id="595"/>
    </w:p>
    <w:p>
      <w:pPr>
        <w:pStyle w:val="Style35"/>
        <w:keepNext w:val="0"/>
        <w:keepLines w:val="0"/>
        <w:widowControl w:val="0"/>
        <w:shd w:val="clear" w:color="auto" w:fill="auto"/>
        <w:bidi w:val="0"/>
        <w:spacing w:before="0" w:after="0" w:line="312" w:lineRule="exact"/>
        <w:ind w:left="0" w:right="0" w:firstLine="600"/>
        <w:jc w:val="both"/>
        <w:rPr>
          <w:sz w:val="17"/>
          <w:szCs w:val="17"/>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日，公司召开第七届董事会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年第三次临时会议决议，审议通过了《关于拟筹划子公 司上市的议案》，公司董事会授权公司及子公司深圳市思迅软件股份有限公司（以下简称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思迅软件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管 理层启动思迅软件境内上市的前期筹备工作，包括但不限于论证可行性方案、组织编制上市方案、签署筹 划过程中涉及的相关协议等上市相关事宜。相关公告详见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日的《中国证券报》、《上海证券 报》及巨潮资讯网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 </w:t>
      </w:r>
      <w:r>
        <w:rPr>
          <w:rFonts w:ascii="Arial Unicode MS" w:eastAsia="Arial Unicode MS" w:hAnsi="Arial Unicode MS" w:cs="Arial Unicode MS"/>
          <w:color w:val="000000"/>
          <w:spacing w:val="0"/>
          <w:w w:val="100"/>
          <w:position w:val="0"/>
          <w:sz w:val="17"/>
          <w:szCs w:val="17"/>
        </w:rPr>
        <w:t>o</w:t>
      </w:r>
    </w:p>
    <w:p>
      <w:pPr>
        <w:pStyle w:val="Style32"/>
        <w:keepNext/>
        <w:keepLines/>
        <w:widowControl w:val="0"/>
        <w:shd w:val="clear" w:color="auto" w:fill="auto"/>
        <w:tabs>
          <w:tab w:pos="758" w:val="left"/>
        </w:tabs>
        <w:bidi w:val="0"/>
        <w:spacing w:before="0" w:after="0" w:line="312" w:lineRule="exact"/>
        <w:ind w:left="0" w:right="0" w:firstLine="44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w:t>
        <w:tab/>
        <w:t>关于全资子公司签订重大合同</w:t>
      </w:r>
      <w:bookmarkEnd w:id="596"/>
      <w:bookmarkEnd w:id="597"/>
      <w:bookmarkEnd w:id="599"/>
    </w:p>
    <w:p>
      <w:pPr>
        <w:pStyle w:val="Style38"/>
        <w:keepNext w:val="0"/>
        <w:keepLines w:val="0"/>
        <w:widowControl w:val="0"/>
        <w:shd w:val="clear" w:color="auto" w:fill="auto"/>
        <w:bidi w:val="0"/>
        <w:spacing w:before="0" w:after="0"/>
        <w:ind w:left="0" w:right="0" w:firstLine="360"/>
        <w:jc w:val="both"/>
      </w:pPr>
      <w:r>
        <w:rPr>
          <w:rFonts w:ascii="SimSun" w:eastAsia="SimSun" w:hAnsi="SimSun" w:cs="SimSun"/>
          <w:color w:val="000000"/>
          <w:spacing w:val="0"/>
          <w:w w:val="100"/>
          <w:position w:val="0"/>
        </w:rPr>
        <w:t>公司全资子公司</w:t>
      </w:r>
      <w:r>
        <w:rPr>
          <w:color w:val="000000"/>
          <w:spacing w:val="0"/>
          <w:w w:val="100"/>
          <w:position w:val="0"/>
        </w:rPr>
        <w:t xml:space="preserve">Shiji （Singapore） Pte Ltd </w:t>
      </w:r>
      <w:r>
        <w:rPr>
          <w:rFonts w:ascii="SimSun" w:eastAsia="SimSun" w:hAnsi="SimSun" w:cs="SimSun"/>
          <w:color w:val="000000"/>
          <w:spacing w:val="0"/>
          <w:w w:val="100"/>
          <w:position w:val="0"/>
        </w:rPr>
        <w:t>（以下简称</w:t>
      </w:r>
      <w:r>
        <w:rPr>
          <w:color w:val="000000"/>
          <w:spacing w:val="0"/>
          <w:w w:val="100"/>
          <w:position w:val="0"/>
        </w:rPr>
        <w:t>“</w:t>
      </w:r>
      <w:r>
        <w:rPr>
          <w:rFonts w:ascii="SimSun" w:eastAsia="SimSun" w:hAnsi="SimSun" w:cs="SimSun"/>
          <w:color w:val="000000"/>
          <w:spacing w:val="0"/>
          <w:w w:val="100"/>
          <w:position w:val="0"/>
        </w:rPr>
        <w:t>石基新加坡</w:t>
      </w:r>
      <w:r>
        <w:rPr>
          <w:color w:val="000000"/>
          <w:spacing w:val="0"/>
          <w:w w:val="100"/>
          <w:position w:val="0"/>
        </w:rPr>
        <w:t>”</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日与</w:t>
      </w:r>
      <w:r>
        <w:rPr>
          <w:color w:val="000000"/>
          <w:spacing w:val="0"/>
          <w:w w:val="100"/>
          <w:position w:val="0"/>
        </w:rPr>
        <w:t xml:space="preserve">HSH Management Services Limited </w:t>
      </w:r>
      <w:r>
        <w:rPr>
          <w:rFonts w:ascii="SimSun" w:eastAsia="SimSun" w:hAnsi="SimSun" w:cs="SimSun"/>
          <w:color w:val="000000"/>
          <w:spacing w:val="0"/>
          <w:w w:val="100"/>
          <w:position w:val="0"/>
        </w:rPr>
        <w:t>（香港上海大酒店管理服务有限公司）在中国香港签订</w:t>
      </w:r>
      <w:r>
        <w:rPr>
          <w:rFonts w:ascii="SimSun" w:eastAsia="SimSun" w:hAnsi="SimSun" w:cs="SimSun"/>
          <w:i/>
          <w:iCs/>
          <w:color w:val="000000"/>
          <w:spacing w:val="0"/>
          <w:w w:val="100"/>
          <w:position w:val="0"/>
        </w:rPr>
        <w:t>《</w:t>
      </w:r>
      <w:r>
        <w:rPr>
          <w:color w:val="000000"/>
          <w:spacing w:val="0"/>
          <w:w w:val="100"/>
          <w:position w:val="0"/>
        </w:rPr>
        <w:t>MASTER SERVICES AGREEMENT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（以下简称</w:t>
      </w:r>
      <w:r>
        <w:rPr>
          <w:color w:val="000000"/>
          <w:spacing w:val="0"/>
          <w:w w:val="100"/>
          <w:position w:val="0"/>
        </w:rPr>
        <w:t>“MSA”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，约定公司将为香港上海大酒店有限公司旗下半岛酒店以</w:t>
      </w:r>
      <w:r>
        <w:rPr>
          <w:color w:val="000000"/>
          <w:spacing w:val="0"/>
          <w:w w:val="100"/>
          <w:position w:val="0"/>
        </w:rPr>
        <w:t>SaaS</w:t>
      </w:r>
      <w:r>
        <w:rPr>
          <w:rFonts w:ascii="SimSun" w:eastAsia="SimSun" w:hAnsi="SimSun" w:cs="SimSun"/>
          <w:color w:val="000000"/>
          <w:spacing w:val="0"/>
          <w:w w:val="100"/>
          <w:position w:val="0"/>
        </w:rPr>
        <w:t>服务的 方式提供新一代云架构的企业级酒店信息管理系统</w:t>
      </w:r>
      <w:r>
        <w:rPr>
          <w:color w:val="000000"/>
          <w:spacing w:val="0"/>
          <w:w w:val="100"/>
          <w:position w:val="0"/>
        </w:rPr>
        <w:t>Shiji Enterprise Platform</w:t>
      </w:r>
      <w:r>
        <w:rPr>
          <w:rFonts w:ascii="SimSun" w:eastAsia="SimSun" w:hAnsi="SimSun" w:cs="SimSun"/>
          <w:color w:val="000000"/>
          <w:spacing w:val="0"/>
          <w:w w:val="100"/>
          <w:position w:val="0"/>
        </w:rPr>
        <w:t xml:space="preserve">，其是一套替换现有酒店信息管 </w:t>
      </w:r>
      <w:r>
        <w:rPr>
          <w:rStyle w:val="CharStyle36"/>
        </w:rPr>
        <w:t>理系统</w:t>
      </w:r>
      <w:r>
        <w:rPr>
          <w:rStyle w:val="CharStyle36"/>
        </w:rPr>
        <w:t>（</w:t>
      </w:r>
      <w:r>
        <w:rPr>
          <w:rStyle w:val="CharStyle36"/>
          <w:rFonts w:ascii="Times New Roman" w:eastAsia="Times New Roman" w:hAnsi="Times New Roman" w:cs="Times New Roman"/>
        </w:rPr>
        <w:t>PMS</w:t>
      </w:r>
      <w:r>
        <w:rPr>
          <w:rStyle w:val="CharStyle36"/>
        </w:rPr>
        <w:t>）</w:t>
      </w:r>
      <w:r>
        <w:rPr>
          <w:rStyle w:val="CharStyle36"/>
        </w:rPr>
        <w:t>和中央预订系统</w:t>
      </w:r>
      <w:r>
        <w:rPr>
          <w:rStyle w:val="CharStyle36"/>
        </w:rPr>
        <w:t>（</w:t>
      </w:r>
      <w:r>
        <w:rPr>
          <w:rStyle w:val="CharStyle36"/>
          <w:rFonts w:ascii="Times New Roman" w:eastAsia="Times New Roman" w:hAnsi="Times New Roman" w:cs="Times New Roman"/>
        </w:rPr>
        <w:t>CRS</w:t>
      </w:r>
      <w:r>
        <w:rPr>
          <w:rStyle w:val="CharStyle36"/>
        </w:rPr>
        <w:t>）</w:t>
      </w:r>
      <w:r>
        <w:rPr>
          <w:rStyle w:val="CharStyle36"/>
        </w:rPr>
        <w:t>的新一代整体解决方案，包括酒店集团的核心业务管理系统以及 相对应的软硬件产品、支持、培训、咨询等服务。详见</w:t>
      </w:r>
      <w:r>
        <w:rPr>
          <w:rStyle w:val="CharStyle36"/>
          <w:rFonts w:ascii="Times New Roman" w:eastAsia="Times New Roman" w:hAnsi="Times New Roman" w:cs="Times New Roman"/>
        </w:rPr>
        <w:t>2020</w:t>
      </w:r>
      <w:r>
        <w:rPr>
          <w:rStyle w:val="CharStyle36"/>
        </w:rPr>
        <w:t>年</w:t>
      </w:r>
      <w:r>
        <w:rPr>
          <w:rStyle w:val="CharStyle36"/>
          <w:rFonts w:ascii="Times New Roman" w:eastAsia="Times New Roman" w:hAnsi="Times New Roman" w:cs="Times New Roman"/>
        </w:rPr>
        <w:t>9</w:t>
      </w:r>
      <w:r>
        <w:rPr>
          <w:rStyle w:val="CharStyle36"/>
        </w:rPr>
        <w:t>月</w:t>
      </w:r>
      <w:r>
        <w:rPr>
          <w:rStyle w:val="CharStyle36"/>
          <w:rFonts w:ascii="Times New Roman" w:eastAsia="Times New Roman" w:hAnsi="Times New Roman" w:cs="Times New Roman"/>
        </w:rPr>
        <w:t>14</w:t>
      </w:r>
      <w:r>
        <w:rPr>
          <w:rStyle w:val="CharStyle36"/>
        </w:rPr>
        <w:t>日刊登于《中国证券报》、《上海证 券报》及巨潮资讯网</w:t>
      </w:r>
      <w:r>
        <w:rPr>
          <w:rStyle w:val="CharStyle36"/>
          <w:rFonts w:ascii="Times New Roman" w:eastAsia="Times New Roman" w:hAnsi="Times New Roman" w:cs="Times New Roman"/>
        </w:rPr>
        <w:t>www.cninfo.com.cn</w:t>
      </w:r>
      <w:r>
        <w:rPr>
          <w:rStyle w:val="CharStyle36"/>
        </w:rPr>
        <w:t>的《关于全资子公司签订重大合同的公告》（</w:t>
      </w:r>
      <w:r>
        <w:rPr>
          <w:rStyle w:val="CharStyle36"/>
          <w:rFonts w:ascii="Times New Roman" w:eastAsia="Times New Roman" w:hAnsi="Times New Roman" w:cs="Times New Roman"/>
        </w:rPr>
        <w:t>2020-31</w:t>
      </w:r>
      <w:r>
        <w:rPr>
          <w:rStyle w:val="CharStyle36"/>
        </w:rPr>
        <w:t>）。</w:t>
      </w:r>
      <w:r>
        <w:br w:type="page"/>
      </w:r>
    </w:p>
    <w:p>
      <w:pPr>
        <w:pStyle w:val="Style8"/>
        <w:keepNext/>
        <w:keepLines/>
        <w:widowControl w:val="0"/>
        <w:shd w:val="clear" w:color="auto" w:fill="auto"/>
        <w:bidi w:val="0"/>
        <w:spacing w:before="0" w:after="540" w:line="240" w:lineRule="auto"/>
        <w:ind w:left="0" w:right="0" w:firstLine="0"/>
        <w:jc w:val="center"/>
      </w:pPr>
      <w:bookmarkStart w:id="600" w:name="bookmark600"/>
      <w:bookmarkStart w:id="601" w:name="bookmark601"/>
      <w:bookmarkStart w:id="602" w:name="bookmark602"/>
      <w:r>
        <w:rPr>
          <w:color w:val="000000"/>
          <w:spacing w:val="0"/>
          <w:w w:val="100"/>
          <w:position w:val="0"/>
        </w:rPr>
        <w:t>第六节股份变动及股东情况</w:t>
      </w:r>
      <w:bookmarkEnd w:id="600"/>
      <w:bookmarkEnd w:id="601"/>
      <w:bookmarkEnd w:id="602"/>
    </w:p>
    <w:p>
      <w:pPr>
        <w:pStyle w:val="Style24"/>
        <w:keepNext/>
        <w:keepLines/>
        <w:widowControl w:val="0"/>
        <w:shd w:val="clear" w:color="auto" w:fill="auto"/>
        <w:bidi w:val="0"/>
        <w:spacing w:before="0" w:after="360" w:line="240" w:lineRule="auto"/>
        <w:ind w:left="0" w:right="0" w:firstLine="0"/>
        <w:jc w:val="left"/>
      </w:pPr>
      <w:bookmarkStart w:id="603" w:name="bookmark603"/>
      <w:bookmarkStart w:id="604" w:name="bookmark604"/>
      <w:bookmarkStart w:id="605" w:name="bookmark605"/>
      <w:bookmarkStart w:id="606" w:name="bookmark606"/>
      <w:bookmarkStart w:id="607" w:name="bookmark607"/>
      <w:r>
        <w:rPr>
          <w:color w:val="000000"/>
          <w:spacing w:val="0"/>
          <w:w w:val="100"/>
          <w:position w:val="0"/>
        </w:rPr>
        <w:t>一</w:t>
      </w:r>
      <w:bookmarkEnd w:id="606"/>
      <w:r>
        <w:rPr>
          <w:color w:val="000000"/>
          <w:spacing w:val="0"/>
          <w:w w:val="100"/>
          <w:position w:val="0"/>
        </w:rPr>
        <w:t>、股份变动情况</w:t>
      </w:r>
      <w:bookmarkEnd w:id="604"/>
      <w:bookmarkEnd w:id="605"/>
      <w:bookmarkEnd w:id="607"/>
      <w:bookmarkEnd w:id="603"/>
    </w:p>
    <w:p>
      <w:pPr>
        <w:pStyle w:val="Style32"/>
        <w:keepNext/>
        <w:keepLines/>
        <w:widowControl w:val="0"/>
        <w:shd w:val="clear" w:color="auto" w:fill="auto"/>
        <w:bidi w:val="0"/>
        <w:spacing w:before="0" w:after="36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、股份变动情况</w:t>
      </w:r>
      <w:bookmarkEnd w:id="608"/>
      <w:bookmarkEnd w:id="609"/>
      <w:bookmarkEnd w:id="6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6"/>
        <w:gridCol w:w="1133"/>
        <w:gridCol w:w="710"/>
        <w:gridCol w:w="566"/>
        <w:gridCol w:w="422"/>
        <w:gridCol w:w="994"/>
        <w:gridCol w:w="1133"/>
        <w:gridCol w:w="1277"/>
        <w:gridCol w:w="1133"/>
        <w:gridCol w:w="936"/>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发行</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新股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送股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一、有限售条件 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582,584,459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-139,170,002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-139,170,002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443,414,457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31"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 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 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582,449,459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-139,305,002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-139,305,002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443,144,457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其中：境内</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139,428,753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-139,428,753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-139,428,753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境内</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443,020,706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443,144,457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其中：境外</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境外</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二、无限售条件 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487,019,760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140,677,966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140,677,966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627,697,726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487,019,760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140,677,966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140,677,966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627,697,726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 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 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1,069,604,219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1,071,112,183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909" w:val="left"/>
        </w:tabs>
        <w:bidi w:val="0"/>
        <w:spacing w:before="0" w:after="0" w:line="311" w:lineRule="exact"/>
        <w:ind w:left="0" w:right="0" w:firstLine="440"/>
        <w:jc w:val="both"/>
      </w:pPr>
      <w:bookmarkStart w:id="612" w:name="bookmark612"/>
      <w:r>
        <w:rPr>
          <w:color w:val="000000"/>
          <w:spacing w:val="0"/>
          <w:w w:val="100"/>
          <w:position w:val="0"/>
        </w:rPr>
        <w:t>一</w:t>
      </w:r>
      <w:bookmarkEnd w:id="612"/>
      <w:r>
        <w:rPr>
          <w:color w:val="000000"/>
          <w:spacing w:val="0"/>
          <w:w w:val="100"/>
          <w:position w:val="0"/>
        </w:rPr>
        <w:t>、</w:t>
        <w:tab/>
        <w:t>有限售条件股份变动的原因</w:t>
      </w:r>
    </w:p>
    <w:p>
      <w:pPr>
        <w:pStyle w:val="Style35"/>
        <w:keepNext w:val="0"/>
        <w:keepLines w:val="0"/>
        <w:widowControl w:val="0"/>
        <w:shd w:val="clear" w:color="auto" w:fill="auto"/>
        <w:tabs>
          <w:tab w:pos="794" w:val="left"/>
        </w:tabs>
        <w:bidi w:val="0"/>
        <w:spacing w:before="0" w:after="0" w:line="311" w:lineRule="exact"/>
        <w:ind w:left="0" w:right="0" w:firstLine="440"/>
        <w:jc w:val="both"/>
      </w:pPr>
      <w:bookmarkStart w:id="613" w:name="bookmark613"/>
      <w:r>
        <w:rPr>
          <w:rFonts w:ascii="Times New Roman" w:eastAsia="Times New Roman" w:hAnsi="Times New Roman" w:cs="Times New Roman"/>
          <w:color w:val="000000"/>
          <w:spacing w:val="0"/>
          <w:w w:val="100"/>
          <w:position w:val="0"/>
        </w:rPr>
        <w:t>1</w:t>
      </w:r>
      <w:bookmarkEnd w:id="613"/>
      <w:r>
        <w:rPr>
          <w:color w:val="000000"/>
          <w:spacing w:val="0"/>
          <w:w w:val="100"/>
          <w:position w:val="0"/>
        </w:rPr>
        <w:t>、</w:t>
        <w:tab/>
        <w:t>因公司股权激励高管行权后锁定</w:t>
      </w:r>
      <w:r>
        <w:rPr>
          <w:rFonts w:ascii="Times New Roman" w:eastAsia="Times New Roman" w:hAnsi="Times New Roman" w:cs="Times New Roman"/>
          <w:color w:val="000000"/>
          <w:spacing w:val="0"/>
          <w:w w:val="100"/>
          <w:position w:val="0"/>
        </w:rPr>
        <w:t>75%</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年股票期权激励计划》中规定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日首次授予的股票期权第二 个行权期开始自主行权，股权激励对象中公司高级管理人员</w:t>
      </w:r>
      <w:r>
        <w:rPr>
          <w:rFonts w:ascii="Times New Roman" w:eastAsia="Times New Roman" w:hAnsi="Times New Roman" w:cs="Times New Roman"/>
          <w:color w:val="000000"/>
          <w:spacing w:val="0"/>
          <w:w w:val="100"/>
          <w:position w:val="0"/>
        </w:rPr>
        <w:t>kevin King</w:t>
      </w:r>
      <w:r>
        <w:rPr>
          <w:color w:val="000000"/>
          <w:spacing w:val="0"/>
          <w:w w:val="100"/>
          <w:position w:val="0"/>
        </w:rPr>
        <w:t>、赖德源、关东玉、王敏敏、罗芳</w:t>
      </w:r>
      <w:r>
        <w:rPr>
          <w:rFonts w:ascii="Times New Roman" w:eastAsia="Times New Roman" w:hAnsi="Times New Roman" w:cs="Times New Roman"/>
          <w:color w:val="000000"/>
          <w:spacing w:val="0"/>
          <w:w w:val="100"/>
          <w:position w:val="0"/>
        </w:rPr>
        <w:t xml:space="preserve">5 </w:t>
      </w:r>
      <w:r>
        <w:rPr>
          <w:color w:val="000000"/>
          <w:spacing w:val="0"/>
          <w:w w:val="100"/>
          <w:position w:val="0"/>
        </w:rPr>
        <w:t>名高管第二个行权期合计行权</w:t>
      </w:r>
      <w:r>
        <w:rPr>
          <w:rFonts w:ascii="Times New Roman" w:eastAsia="Times New Roman" w:hAnsi="Times New Roman" w:cs="Times New Roman"/>
          <w:color w:val="000000"/>
          <w:spacing w:val="0"/>
          <w:w w:val="100"/>
          <w:position w:val="0"/>
        </w:rPr>
        <w:t>34.5</w:t>
      </w:r>
      <w:r>
        <w:rPr>
          <w:color w:val="000000"/>
          <w:spacing w:val="0"/>
          <w:w w:val="100"/>
          <w:position w:val="0"/>
        </w:rPr>
        <w:t>万股，高管行权锁定股为其所持有股份的</w:t>
      </w:r>
      <w:r>
        <w:rPr>
          <w:rFonts w:ascii="Times New Roman" w:eastAsia="Times New Roman" w:hAnsi="Times New Roman" w:cs="Times New Roman"/>
          <w:color w:val="000000"/>
          <w:spacing w:val="0"/>
          <w:w w:val="100"/>
          <w:position w:val="0"/>
        </w:rPr>
        <w:t>75%</w:t>
      </w:r>
      <w:r>
        <w:rPr>
          <w:color w:val="000000"/>
          <w:spacing w:val="0"/>
          <w:w w:val="100"/>
          <w:position w:val="0"/>
        </w:rPr>
        <w:t>，即</w:t>
      </w:r>
      <w:r>
        <w:rPr>
          <w:rFonts w:ascii="Times New Roman" w:eastAsia="Times New Roman" w:hAnsi="Times New Roman" w:cs="Times New Roman"/>
          <w:color w:val="000000"/>
          <w:spacing w:val="0"/>
          <w:w w:val="100"/>
          <w:position w:val="0"/>
        </w:rPr>
        <w:t>258,751</w:t>
      </w:r>
      <w:r>
        <w:rPr>
          <w:color w:val="000000"/>
          <w:spacing w:val="0"/>
          <w:w w:val="100"/>
          <w:position w:val="0"/>
        </w:rPr>
        <w:t>股被锁定，故 公司有限售条件股份本期增加</w:t>
      </w:r>
      <w:r>
        <w:rPr>
          <w:rFonts w:ascii="Times New Roman" w:eastAsia="Times New Roman" w:hAnsi="Times New Roman" w:cs="Times New Roman"/>
          <w:color w:val="000000"/>
          <w:spacing w:val="0"/>
          <w:w w:val="100"/>
          <w:position w:val="0"/>
        </w:rPr>
        <w:t>258,751</w:t>
      </w:r>
      <w:r>
        <w:rPr>
          <w:color w:val="000000"/>
          <w:spacing w:val="0"/>
          <w:w w:val="100"/>
          <w:position w:val="0"/>
        </w:rPr>
        <w:t>股。其中：</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关东玉先生、王敏敏女士、罗芳女士均为境内自然人，报告期内合计行权</w:t>
      </w:r>
      <w:r>
        <w:rPr>
          <w:rFonts w:ascii="Times New Roman" w:eastAsia="Times New Roman" w:hAnsi="Times New Roman" w:cs="Times New Roman"/>
          <w:color w:val="000000"/>
          <w:spacing w:val="0"/>
          <w:w w:val="100"/>
          <w:position w:val="0"/>
        </w:rPr>
        <w:t>165,000</w:t>
      </w:r>
      <w:r>
        <w:rPr>
          <w:color w:val="000000"/>
          <w:spacing w:val="0"/>
          <w:w w:val="100"/>
          <w:position w:val="0"/>
        </w:rPr>
        <w:t>股，新增行权的</w:t>
      </w:r>
      <w:r>
        <w:rPr>
          <w:rFonts w:ascii="Times New Roman" w:eastAsia="Times New Roman" w:hAnsi="Times New Roman" w:cs="Times New Roman"/>
          <w:color w:val="000000"/>
          <w:spacing w:val="0"/>
          <w:w w:val="100"/>
          <w:position w:val="0"/>
        </w:rPr>
        <w:t xml:space="preserve">165,000 </w:t>
      </w:r>
      <w:r>
        <w:rPr>
          <w:color w:val="000000"/>
          <w:spacing w:val="0"/>
          <w:w w:val="100"/>
          <w:position w:val="0"/>
        </w:rPr>
        <w:t>股锁定</w:t>
      </w:r>
      <w:r>
        <w:rPr>
          <w:rFonts w:ascii="Times New Roman" w:eastAsia="Times New Roman" w:hAnsi="Times New Roman" w:cs="Times New Roman"/>
          <w:color w:val="000000"/>
          <w:spacing w:val="0"/>
          <w:w w:val="100"/>
          <w:position w:val="0"/>
        </w:rPr>
        <w:t>75%</w:t>
      </w:r>
      <w:r>
        <w:rPr>
          <w:color w:val="000000"/>
          <w:spacing w:val="0"/>
          <w:w w:val="100"/>
          <w:position w:val="0"/>
        </w:rPr>
        <w:t>，即</w:t>
      </w:r>
      <w:r>
        <w:rPr>
          <w:rFonts w:ascii="Times New Roman" w:eastAsia="Times New Roman" w:hAnsi="Times New Roman" w:cs="Times New Roman"/>
          <w:color w:val="000000"/>
          <w:spacing w:val="0"/>
          <w:w w:val="100"/>
          <w:position w:val="0"/>
        </w:rPr>
        <w:t>123,751</w:t>
      </w:r>
      <w:r>
        <w:rPr>
          <w:color w:val="000000"/>
          <w:spacing w:val="0"/>
          <w:w w:val="100"/>
          <w:position w:val="0"/>
        </w:rPr>
        <w:t>股，故公司有限售条件股份中境内自然人持股增加</w:t>
      </w:r>
      <w:r>
        <w:rPr>
          <w:rFonts w:ascii="Times New Roman" w:eastAsia="Times New Roman" w:hAnsi="Times New Roman" w:cs="Times New Roman"/>
          <w:color w:val="000000"/>
          <w:spacing w:val="0"/>
          <w:w w:val="100"/>
          <w:position w:val="0"/>
        </w:rPr>
        <w:t>123,751</w:t>
      </w:r>
      <w:r>
        <w:rPr>
          <w:color w:val="000000"/>
          <w:spacing w:val="0"/>
          <w:w w:val="100"/>
          <w:position w:val="0"/>
        </w:rPr>
        <w:t>股；</w:t>
      </w:r>
    </w:p>
    <w:p>
      <w:pPr>
        <w:pStyle w:val="Style35"/>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kevin king</w:t>
      </w:r>
      <w:r>
        <w:rPr>
          <w:color w:val="000000"/>
          <w:spacing w:val="0"/>
          <w:w w:val="100"/>
          <w:position w:val="0"/>
        </w:rPr>
        <w:t>、</w:t>
      </w:r>
      <w:r>
        <w:rPr>
          <w:color w:val="000000"/>
          <w:spacing w:val="0"/>
          <w:w w:val="100"/>
          <w:position w:val="0"/>
        </w:rPr>
        <w:t>赖德源先生均为境外自然人，报告期内合计行权</w:t>
      </w:r>
      <w:r>
        <w:rPr>
          <w:rFonts w:ascii="Times New Roman" w:eastAsia="Times New Roman" w:hAnsi="Times New Roman" w:cs="Times New Roman"/>
          <w:color w:val="000000"/>
          <w:spacing w:val="0"/>
          <w:w w:val="100"/>
          <w:position w:val="0"/>
        </w:rPr>
        <w:t>180,000</w:t>
      </w:r>
      <w:r>
        <w:rPr>
          <w:color w:val="000000"/>
          <w:spacing w:val="0"/>
          <w:w w:val="100"/>
          <w:position w:val="0"/>
        </w:rPr>
        <w:t>股，新增行权的</w:t>
      </w:r>
      <w:r>
        <w:rPr>
          <w:rFonts w:ascii="Times New Roman" w:eastAsia="Times New Roman" w:hAnsi="Times New Roman" w:cs="Times New Roman"/>
          <w:color w:val="000000"/>
          <w:spacing w:val="0"/>
          <w:w w:val="100"/>
          <w:position w:val="0"/>
        </w:rPr>
        <w:t>180,000</w:t>
      </w:r>
      <w:r>
        <w:rPr>
          <w:color w:val="000000"/>
          <w:spacing w:val="0"/>
          <w:w w:val="100"/>
          <w:position w:val="0"/>
        </w:rPr>
        <w:t>股锁定</w:t>
      </w:r>
      <w:r>
        <w:rPr>
          <w:rFonts w:ascii="Times New Roman" w:eastAsia="Times New Roman" w:hAnsi="Times New Roman" w:cs="Times New Roman"/>
          <w:color w:val="000000"/>
          <w:spacing w:val="0"/>
          <w:w w:val="100"/>
          <w:position w:val="0"/>
        </w:rPr>
        <w:t>75%</w:t>
      </w:r>
      <w:r>
        <w:rPr>
          <w:color w:val="000000"/>
          <w:spacing w:val="0"/>
          <w:w w:val="100"/>
          <w:position w:val="0"/>
        </w:rPr>
        <w:t>， 即</w:t>
      </w:r>
      <w:r>
        <w:rPr>
          <w:rFonts w:ascii="Times New Roman" w:eastAsia="Times New Roman" w:hAnsi="Times New Roman" w:cs="Times New Roman"/>
          <w:color w:val="000000"/>
          <w:spacing w:val="0"/>
          <w:w w:val="100"/>
          <w:position w:val="0"/>
        </w:rPr>
        <w:t>135,000</w:t>
      </w:r>
      <w:r>
        <w:rPr>
          <w:color w:val="000000"/>
          <w:spacing w:val="0"/>
          <w:w w:val="100"/>
          <w:position w:val="0"/>
        </w:rPr>
        <w:t>股，故公司有限售条件股份中境外自然人持股增加</w:t>
      </w:r>
      <w:r>
        <w:rPr>
          <w:rFonts w:ascii="Times New Roman" w:eastAsia="Times New Roman" w:hAnsi="Times New Roman" w:cs="Times New Roman"/>
          <w:color w:val="000000"/>
          <w:spacing w:val="0"/>
          <w:w w:val="100"/>
          <w:position w:val="0"/>
        </w:rPr>
        <w:t>135,000</w:t>
      </w:r>
      <w:r>
        <w:rPr>
          <w:color w:val="000000"/>
          <w:spacing w:val="0"/>
          <w:w w:val="100"/>
          <w:position w:val="0"/>
        </w:rPr>
        <w:t>股；</w:t>
      </w:r>
    </w:p>
    <w:p>
      <w:pPr>
        <w:pStyle w:val="Style35"/>
        <w:keepNext w:val="0"/>
        <w:keepLines w:val="0"/>
        <w:widowControl w:val="0"/>
        <w:shd w:val="clear" w:color="auto" w:fill="auto"/>
        <w:tabs>
          <w:tab w:pos="813" w:val="left"/>
        </w:tabs>
        <w:bidi w:val="0"/>
        <w:spacing w:before="0" w:after="0" w:line="311" w:lineRule="exact"/>
        <w:ind w:left="0" w:right="0" w:firstLine="440"/>
        <w:jc w:val="both"/>
      </w:pPr>
      <w:bookmarkStart w:id="614" w:name="bookmark614"/>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因公司第二大股东淘宝（中国）限售期届满解除限售</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报告期内，淘宝（中国）持有的公司</w:t>
      </w:r>
      <w:r>
        <w:rPr>
          <w:rFonts w:ascii="Times New Roman" w:eastAsia="Times New Roman" w:hAnsi="Times New Roman" w:cs="Times New Roman"/>
          <w:color w:val="000000"/>
          <w:spacing w:val="0"/>
          <w:w w:val="100"/>
          <w:position w:val="0"/>
        </w:rPr>
        <w:t>139,428,753</w:t>
      </w:r>
      <w:r>
        <w:rPr>
          <w:color w:val="000000"/>
          <w:spacing w:val="0"/>
          <w:w w:val="100"/>
          <w:position w:val="0"/>
        </w:rPr>
        <w:t>股限售股份五年限售期届满，全部解除限售，故因解 除限售股导致公司有限售股份本期减少</w:t>
      </w:r>
      <w:r>
        <w:rPr>
          <w:rFonts w:ascii="Times New Roman" w:eastAsia="Times New Roman" w:hAnsi="Times New Roman" w:cs="Times New Roman"/>
          <w:color w:val="000000"/>
          <w:spacing w:val="0"/>
          <w:w w:val="100"/>
          <w:position w:val="0"/>
        </w:rPr>
        <w:t>139,428,753</w:t>
      </w:r>
      <w:r>
        <w:rPr>
          <w:color w:val="000000"/>
          <w:spacing w:val="0"/>
          <w:w w:val="100"/>
          <w:position w:val="0"/>
        </w:rPr>
        <w:t>股；</w:t>
      </w:r>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综上，本报告期公司有限售股份数合计减少</w:t>
      </w:r>
      <w:r>
        <w:rPr>
          <w:rFonts w:ascii="Times New Roman" w:eastAsia="Times New Roman" w:hAnsi="Times New Roman" w:cs="Times New Roman"/>
          <w:color w:val="000000"/>
          <w:spacing w:val="0"/>
          <w:w w:val="100"/>
          <w:position w:val="0"/>
        </w:rPr>
        <w:t>139,170,002</w:t>
      </w:r>
      <w:r>
        <w:rPr>
          <w:color w:val="000000"/>
          <w:spacing w:val="0"/>
          <w:w w:val="100"/>
          <w:position w:val="0"/>
        </w:rPr>
        <w:t>股。</w:t>
      </w:r>
    </w:p>
    <w:p>
      <w:pPr>
        <w:pStyle w:val="Style35"/>
        <w:keepNext w:val="0"/>
        <w:keepLines w:val="0"/>
        <w:widowControl w:val="0"/>
        <w:shd w:val="clear" w:color="auto" w:fill="auto"/>
        <w:tabs>
          <w:tab w:pos="909" w:val="left"/>
        </w:tabs>
        <w:bidi w:val="0"/>
        <w:spacing w:before="0" w:after="0" w:line="311" w:lineRule="exact"/>
        <w:ind w:left="0" w:right="0" w:firstLine="440"/>
        <w:jc w:val="both"/>
      </w:pPr>
      <w:bookmarkStart w:id="615" w:name="bookmark615"/>
      <w:r>
        <w:rPr>
          <w:color w:val="000000"/>
          <w:spacing w:val="0"/>
          <w:w w:val="100"/>
          <w:position w:val="0"/>
        </w:rPr>
        <w:t>二</w:t>
      </w:r>
      <w:bookmarkEnd w:id="615"/>
      <w:r>
        <w:rPr>
          <w:color w:val="000000"/>
          <w:spacing w:val="0"/>
          <w:w w:val="100"/>
          <w:position w:val="0"/>
        </w:rPr>
        <w:t>、</w:t>
        <w:tab/>
        <w:t>无限售条件股份变动的原因</w:t>
      </w:r>
    </w:p>
    <w:p>
      <w:pPr>
        <w:pStyle w:val="Style35"/>
        <w:keepNext w:val="0"/>
        <w:keepLines w:val="0"/>
        <w:widowControl w:val="0"/>
        <w:shd w:val="clear" w:color="auto" w:fill="auto"/>
        <w:tabs>
          <w:tab w:pos="790" w:val="left"/>
        </w:tabs>
        <w:bidi w:val="0"/>
        <w:spacing w:before="0" w:after="0" w:line="311" w:lineRule="exact"/>
        <w:ind w:left="0" w:right="0" w:firstLine="440"/>
        <w:jc w:val="left"/>
      </w:pPr>
      <w:bookmarkStart w:id="616" w:name="bookmark616"/>
      <w:r>
        <w:rPr>
          <w:rFonts w:ascii="Times New Roman" w:eastAsia="Times New Roman" w:hAnsi="Times New Roman" w:cs="Times New Roman"/>
          <w:color w:val="000000"/>
          <w:spacing w:val="0"/>
          <w:w w:val="100"/>
          <w:position w:val="0"/>
        </w:rPr>
        <w:t>1</w:t>
      </w:r>
      <w:bookmarkEnd w:id="616"/>
      <w:r>
        <w:rPr>
          <w:color w:val="000000"/>
          <w:spacing w:val="0"/>
          <w:w w:val="100"/>
          <w:position w:val="0"/>
        </w:rPr>
        <w:t>、</w:t>
        <w:tab/>
        <w:t>淘宝（中国）持有的公司</w:t>
      </w:r>
      <w:r>
        <w:rPr>
          <w:rFonts w:ascii="Times New Roman" w:eastAsia="Times New Roman" w:hAnsi="Times New Roman" w:cs="Times New Roman"/>
          <w:color w:val="000000"/>
          <w:spacing w:val="0"/>
          <w:w w:val="100"/>
          <w:position w:val="0"/>
        </w:rPr>
        <w:t>139,428,753</w:t>
      </w:r>
      <w:r>
        <w:rPr>
          <w:color w:val="000000"/>
          <w:spacing w:val="0"/>
          <w:w w:val="100"/>
          <w:position w:val="0"/>
        </w:rPr>
        <w:t>股限售股份解除限售后变为无限售股份，故公司无限售股份 本期增加</w:t>
      </w:r>
      <w:r>
        <w:rPr>
          <w:rFonts w:ascii="Times New Roman" w:eastAsia="Times New Roman" w:hAnsi="Times New Roman" w:cs="Times New Roman"/>
          <w:color w:val="000000"/>
          <w:spacing w:val="0"/>
          <w:w w:val="100"/>
          <w:position w:val="0"/>
        </w:rPr>
        <w:t xml:space="preserve">139,428,753 </w:t>
      </w:r>
      <w:r>
        <w:rPr>
          <w:color w:val="000000"/>
          <w:spacing w:val="0"/>
          <w:w w:val="100"/>
          <w:position w:val="0"/>
        </w:rPr>
        <w:t>股；</w:t>
      </w:r>
    </w:p>
    <w:p>
      <w:pPr>
        <w:pStyle w:val="Style35"/>
        <w:keepNext w:val="0"/>
        <w:keepLines w:val="0"/>
        <w:widowControl w:val="0"/>
        <w:shd w:val="clear" w:color="auto" w:fill="auto"/>
        <w:tabs>
          <w:tab w:pos="786" w:val="left"/>
        </w:tabs>
        <w:bidi w:val="0"/>
        <w:spacing w:before="0" w:after="0" w:line="311" w:lineRule="exact"/>
        <w:ind w:left="0" w:right="0" w:firstLine="440"/>
        <w:jc w:val="left"/>
      </w:pPr>
      <w:bookmarkStart w:id="617" w:name="bookmark617"/>
      <w:r>
        <w:rPr>
          <w:rFonts w:ascii="Times New Roman" w:eastAsia="Times New Roman" w:hAnsi="Times New Roman" w:cs="Times New Roman"/>
          <w:color w:val="000000"/>
          <w:spacing w:val="0"/>
          <w:w w:val="100"/>
          <w:position w:val="0"/>
        </w:rPr>
        <w:t>2</w:t>
      </w:r>
      <w:bookmarkEnd w:id="617"/>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年股票期权激励计划》在报告期涉及首次授予股票期权第二个行权期及预留部分股票 期权第一个行权期，激励对象中高管合计行权</w:t>
      </w:r>
      <w:r>
        <w:rPr>
          <w:rFonts w:ascii="Times New Roman" w:eastAsia="Times New Roman" w:hAnsi="Times New Roman" w:cs="Times New Roman"/>
          <w:color w:val="000000"/>
          <w:spacing w:val="0"/>
          <w:w w:val="100"/>
          <w:position w:val="0"/>
        </w:rPr>
        <w:t>34.5</w:t>
      </w:r>
      <w:r>
        <w:rPr>
          <w:color w:val="000000"/>
          <w:spacing w:val="0"/>
          <w:w w:val="100"/>
          <w:position w:val="0"/>
        </w:rPr>
        <w:t>万股，其中</w:t>
      </w:r>
      <w:r>
        <w:rPr>
          <w:rFonts w:ascii="Times New Roman" w:eastAsia="Times New Roman" w:hAnsi="Times New Roman" w:cs="Times New Roman"/>
          <w:color w:val="000000"/>
          <w:spacing w:val="0"/>
          <w:w w:val="100"/>
          <w:position w:val="0"/>
        </w:rPr>
        <w:t>25%</w:t>
      </w:r>
      <w:r>
        <w:rPr>
          <w:color w:val="000000"/>
          <w:spacing w:val="0"/>
          <w:w w:val="100"/>
          <w:position w:val="0"/>
        </w:rPr>
        <w:t>为无限售股份，即</w:t>
      </w:r>
      <w:r>
        <w:rPr>
          <w:rFonts w:ascii="Times New Roman" w:eastAsia="Times New Roman" w:hAnsi="Times New Roman" w:cs="Times New Roman"/>
          <w:color w:val="000000"/>
          <w:spacing w:val="0"/>
          <w:w w:val="100"/>
          <w:position w:val="0"/>
        </w:rPr>
        <w:t>86,250</w:t>
      </w:r>
      <w:r>
        <w:rPr>
          <w:color w:val="000000"/>
          <w:spacing w:val="0"/>
          <w:w w:val="100"/>
          <w:position w:val="0"/>
        </w:rPr>
        <w:t>股；其他激励对 象行权后全部为无限售股份，即</w:t>
      </w:r>
      <w:r>
        <w:rPr>
          <w:rFonts w:ascii="Times New Roman" w:eastAsia="Times New Roman" w:hAnsi="Times New Roman" w:cs="Times New Roman"/>
          <w:color w:val="000000"/>
          <w:spacing w:val="0"/>
          <w:w w:val="100"/>
          <w:position w:val="0"/>
        </w:rPr>
        <w:t>1,162,963</w:t>
      </w:r>
      <w:r>
        <w:rPr>
          <w:color w:val="000000"/>
          <w:spacing w:val="0"/>
          <w:w w:val="100"/>
          <w:position w:val="0"/>
        </w:rPr>
        <w:t>股，故公司无限售股份本期增加</w:t>
      </w:r>
      <w:r>
        <w:rPr>
          <w:rFonts w:ascii="Times New Roman" w:eastAsia="Times New Roman" w:hAnsi="Times New Roman" w:cs="Times New Roman"/>
          <w:color w:val="000000"/>
          <w:spacing w:val="0"/>
          <w:w w:val="100"/>
          <w:position w:val="0"/>
        </w:rPr>
        <w:t>1,249,213</w:t>
      </w:r>
      <w:r>
        <w:rPr>
          <w:color w:val="000000"/>
          <w:spacing w:val="0"/>
          <w:w w:val="100"/>
          <w:position w:val="0"/>
        </w:rPr>
        <w:t>股；</w:t>
      </w:r>
    </w:p>
    <w:p>
      <w:pPr>
        <w:pStyle w:val="Style3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综上，本报告期公司无限售股份数合计增加</w:t>
      </w:r>
      <w:r>
        <w:rPr>
          <w:rFonts w:ascii="Times New Roman" w:eastAsia="Times New Roman" w:hAnsi="Times New Roman" w:cs="Times New Roman"/>
          <w:color w:val="000000"/>
          <w:spacing w:val="0"/>
          <w:w w:val="100"/>
          <w:position w:val="0"/>
        </w:rPr>
        <w:t>140,677,966</w:t>
      </w:r>
      <w:r>
        <w:rPr>
          <w:color w:val="000000"/>
          <w:spacing w:val="0"/>
          <w:w w:val="100"/>
          <w:position w:val="0"/>
        </w:rPr>
        <w:t>股；</w:t>
      </w:r>
    </w:p>
    <w:p>
      <w:pPr>
        <w:pStyle w:val="Style35"/>
        <w:keepNext w:val="0"/>
        <w:keepLines w:val="0"/>
        <w:widowControl w:val="0"/>
        <w:shd w:val="clear" w:color="auto" w:fill="auto"/>
        <w:tabs>
          <w:tab w:pos="872" w:val="left"/>
        </w:tabs>
        <w:bidi w:val="0"/>
        <w:spacing w:before="0" w:after="440" w:line="311" w:lineRule="exact"/>
        <w:ind w:left="0" w:right="0" w:firstLine="440"/>
        <w:jc w:val="left"/>
      </w:pPr>
      <w:bookmarkStart w:id="618" w:name="bookmark618"/>
      <w:r>
        <w:rPr>
          <w:color w:val="000000"/>
          <w:spacing w:val="0"/>
          <w:w w:val="100"/>
          <w:position w:val="0"/>
        </w:rPr>
        <w:t>三</w:t>
      </w:r>
      <w:bookmarkEnd w:id="618"/>
      <w:r>
        <w:rPr>
          <w:color w:val="000000"/>
          <w:spacing w:val="0"/>
          <w:w w:val="100"/>
          <w:position w:val="0"/>
        </w:rPr>
        <w:t>、</w:t>
        <w:tab/>
        <w:t>公司有限售条件股份与无限售条件股份合计增加</w:t>
      </w:r>
      <w:r>
        <w:rPr>
          <w:rFonts w:ascii="Times New Roman" w:eastAsia="Times New Roman" w:hAnsi="Times New Roman" w:cs="Times New Roman"/>
          <w:color w:val="000000"/>
          <w:spacing w:val="0"/>
          <w:w w:val="100"/>
          <w:position w:val="0"/>
        </w:rPr>
        <w:t>1,507,964</w:t>
      </w:r>
      <w:r>
        <w:rPr>
          <w:color w:val="000000"/>
          <w:spacing w:val="0"/>
          <w:w w:val="100"/>
          <w:position w:val="0"/>
        </w:rPr>
        <w:t>股，故公司股份总额增加</w:t>
      </w:r>
      <w:r>
        <w:rPr>
          <w:rFonts w:ascii="Times New Roman" w:eastAsia="Times New Roman" w:hAnsi="Times New Roman" w:cs="Times New Roman"/>
          <w:color w:val="000000"/>
          <w:spacing w:val="0"/>
          <w:w w:val="100"/>
          <w:position w:val="0"/>
        </w:rPr>
        <w:t>1,507,964</w:t>
      </w:r>
      <w:r>
        <w:rPr>
          <w:color w:val="000000"/>
          <w:spacing w:val="0"/>
          <w:w w:val="100"/>
          <w:position w:val="0"/>
        </w:rPr>
        <w:t>股， 由期初的</w:t>
      </w:r>
      <w:r>
        <w:rPr>
          <w:rFonts w:ascii="Times New Roman" w:eastAsia="Times New Roman" w:hAnsi="Times New Roman" w:cs="Times New Roman"/>
          <w:color w:val="000000"/>
          <w:spacing w:val="0"/>
          <w:w w:val="100"/>
          <w:position w:val="0"/>
        </w:rPr>
        <w:t>1,069,604,219</w:t>
      </w:r>
      <w:r>
        <w:rPr>
          <w:color w:val="000000"/>
          <w:spacing w:val="0"/>
          <w:w w:val="100"/>
          <w:position w:val="0"/>
        </w:rPr>
        <w:t>股变动为</w:t>
      </w:r>
      <w:r>
        <w:rPr>
          <w:rFonts w:ascii="Times New Roman" w:eastAsia="Times New Roman" w:hAnsi="Times New Roman" w:cs="Times New Roman"/>
          <w:color w:val="000000"/>
          <w:spacing w:val="0"/>
          <w:w w:val="100"/>
          <w:position w:val="0"/>
        </w:rPr>
        <w:t>1,071,112,183</w:t>
      </w:r>
      <w:r>
        <w:rPr>
          <w:color w:val="000000"/>
          <w:spacing w:val="0"/>
          <w:w w:val="100"/>
          <w:position w:val="0"/>
        </w:rPr>
        <w:t>股。</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8" w:lineRule="exact"/>
        <w:ind w:left="0" w:right="0" w:firstLine="440"/>
        <w:jc w:val="both"/>
      </w:pPr>
      <w:bookmarkStart w:id="619" w:name="bookmark619"/>
      <w:r>
        <w:rPr>
          <w:rFonts w:ascii="Times New Roman" w:eastAsia="Times New Roman" w:hAnsi="Times New Roman" w:cs="Times New Roman"/>
          <w:color w:val="000000"/>
          <w:spacing w:val="0"/>
          <w:w w:val="100"/>
          <w:position w:val="0"/>
        </w:rPr>
        <w:t>1</w:t>
      </w:r>
      <w:bookmarkEnd w:id="619"/>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年第六次临时会议审议通过《关于公司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 励计划预留部分股票期权第一个行权期可行权的议案》及《关于公司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年股票期权激励计划预留部分股 票期权采用自主行权模式的议案》，公司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年股票期权激励计划预留部分股票期权第一个行权期以自主 行权模式开始行权。</w:t>
      </w:r>
    </w:p>
    <w:p>
      <w:pPr>
        <w:pStyle w:val="Style35"/>
        <w:keepNext w:val="0"/>
        <w:keepLines w:val="0"/>
        <w:widowControl w:val="0"/>
        <w:shd w:val="clear" w:color="auto" w:fill="auto"/>
        <w:tabs>
          <w:tab w:pos="790" w:val="left"/>
        </w:tabs>
        <w:bidi w:val="0"/>
        <w:spacing w:before="0" w:after="0" w:line="317" w:lineRule="exact"/>
        <w:ind w:left="0" w:right="0" w:firstLine="440"/>
        <w:jc w:val="both"/>
      </w:pPr>
      <w:bookmarkStart w:id="620" w:name="bookmark620"/>
      <w:r>
        <w:rPr>
          <w:rFonts w:ascii="Times New Roman" w:eastAsia="Times New Roman" w:hAnsi="Times New Roman" w:cs="Times New Roman"/>
          <w:color w:val="000000"/>
          <w:spacing w:val="0"/>
          <w:w w:val="100"/>
          <w:position w:val="0"/>
        </w:rPr>
        <w:t>2</w:t>
      </w:r>
      <w:bookmarkEnd w:id="620"/>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年第七次临时会议审议通过《关于公司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 激励计划首次授予股票期权第二个行权期可行权的议案》、《关于公司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 股票期权第二个行权期采用自主行权模式的议案》，公司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年股票期权激励计划首次授予的第二期股票 期权以自主行权模式开始行权。</w:t>
      </w:r>
    </w:p>
    <w:p>
      <w:pPr>
        <w:pStyle w:val="Style35"/>
        <w:keepNext w:val="0"/>
        <w:keepLines w:val="0"/>
        <w:widowControl w:val="0"/>
        <w:shd w:val="clear" w:color="auto" w:fill="auto"/>
        <w:bidi w:val="0"/>
        <w:spacing w:before="0" w:after="440" w:line="317" w:lineRule="exact"/>
        <w:ind w:left="0" w:right="0" w:firstLine="440"/>
        <w:jc w:val="both"/>
        <w:rPr>
          <w:sz w:val="22"/>
          <w:szCs w:val="22"/>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年度，公司股权激励对象共计行权</w:t>
      </w:r>
      <w:r>
        <w:rPr>
          <w:rFonts w:ascii="Times New Roman" w:eastAsia="Times New Roman" w:hAnsi="Times New Roman" w:cs="Times New Roman"/>
          <w:color w:val="000000"/>
          <w:spacing w:val="0"/>
          <w:w w:val="100"/>
          <w:position w:val="0"/>
          <w:sz w:val="22"/>
          <w:szCs w:val="22"/>
        </w:rPr>
        <w:t>1,507,964</w:t>
      </w:r>
      <w:r>
        <w:rPr>
          <w:color w:val="000000"/>
          <w:spacing w:val="0"/>
          <w:w w:val="100"/>
          <w:position w:val="0"/>
          <w:sz w:val="22"/>
          <w:szCs w:val="22"/>
        </w:rPr>
        <w:t>股。</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368" w:val="left"/>
        </w:tabs>
        <w:bidi w:val="0"/>
        <w:spacing w:before="0" w:after="0" w:line="322" w:lineRule="exact"/>
        <w:ind w:left="0" w:right="0" w:firstLine="0"/>
        <w:jc w:val="left"/>
      </w:pPr>
      <w:bookmarkStart w:id="621" w:name="bookmark621"/>
      <w:r>
        <w:rPr>
          <w:rFonts w:ascii="Times New Roman" w:eastAsia="Times New Roman" w:hAnsi="Times New Roman" w:cs="Times New Roman"/>
          <w:color w:val="000000"/>
          <w:spacing w:val="0"/>
          <w:w w:val="100"/>
          <w:position w:val="0"/>
        </w:rPr>
        <w:t>1</w:t>
      </w:r>
      <w:bookmarkEnd w:id="621"/>
      <w:r>
        <w:rPr>
          <w:color w:val="000000"/>
          <w:spacing w:val="0"/>
          <w:w w:val="100"/>
          <w:position w:val="0"/>
        </w:rPr>
        <w:t>、</w:t>
        <w:tab/>
        <w:t>报告期内，公司股权激励对象已经行权的</w:t>
      </w:r>
      <w:r>
        <w:rPr>
          <w:rFonts w:ascii="Times New Roman" w:eastAsia="Times New Roman" w:hAnsi="Times New Roman" w:cs="Times New Roman"/>
          <w:color w:val="000000"/>
          <w:spacing w:val="0"/>
          <w:w w:val="100"/>
          <w:position w:val="0"/>
        </w:rPr>
        <w:t>1,507,964</w:t>
      </w:r>
      <w:r>
        <w:rPr>
          <w:color w:val="000000"/>
          <w:spacing w:val="0"/>
          <w:w w:val="100"/>
          <w:position w:val="0"/>
        </w:rPr>
        <w:t>股股份已全部通过中国证券登记结算有限责任公司 深圳分公司登记生效。</w:t>
      </w:r>
    </w:p>
    <w:p>
      <w:pPr>
        <w:pStyle w:val="Style35"/>
        <w:keepNext w:val="0"/>
        <w:keepLines w:val="0"/>
        <w:widowControl w:val="0"/>
        <w:shd w:val="clear" w:color="auto" w:fill="auto"/>
        <w:tabs>
          <w:tab w:pos="382" w:val="left"/>
        </w:tabs>
        <w:bidi w:val="0"/>
        <w:spacing w:before="0" w:after="40" w:line="322" w:lineRule="exact"/>
        <w:ind w:left="0" w:right="0" w:firstLine="0"/>
        <w:jc w:val="left"/>
        <w:rPr>
          <w:sz w:val="22"/>
          <w:szCs w:val="22"/>
        </w:rPr>
      </w:pPr>
      <w:bookmarkStart w:id="622" w:name="bookmark622"/>
      <w:r>
        <w:rPr>
          <w:rFonts w:ascii="Times New Roman" w:eastAsia="Times New Roman" w:hAnsi="Times New Roman" w:cs="Times New Roman"/>
          <w:color w:val="000000"/>
          <w:spacing w:val="0"/>
          <w:w w:val="100"/>
          <w:position w:val="0"/>
          <w:sz w:val="22"/>
          <w:szCs w:val="22"/>
        </w:rPr>
        <w:t>2</w:t>
      </w:r>
      <w:bookmarkEnd w:id="622"/>
      <w:r>
        <w:rPr>
          <w:color w:val="000000"/>
          <w:spacing w:val="0"/>
          <w:w w:val="100"/>
          <w:position w:val="0"/>
          <w:sz w:val="22"/>
          <w:szCs w:val="22"/>
        </w:rPr>
        <w:t>、</w:t>
        <w:tab/>
        <w:t>淘宝（中国）解除限售共计</w:t>
      </w:r>
      <w:r>
        <w:rPr>
          <w:rFonts w:ascii="Times New Roman" w:eastAsia="Times New Roman" w:hAnsi="Times New Roman" w:cs="Times New Roman"/>
          <w:color w:val="000000"/>
          <w:spacing w:val="0"/>
          <w:w w:val="100"/>
          <w:position w:val="0"/>
          <w:sz w:val="22"/>
          <w:szCs w:val="22"/>
        </w:rPr>
        <w:t>139,428,753</w:t>
      </w:r>
      <w:r>
        <w:rPr>
          <w:color w:val="000000"/>
          <w:spacing w:val="0"/>
          <w:w w:val="100"/>
          <w:position w:val="0"/>
          <w:sz w:val="22"/>
          <w:szCs w:val="22"/>
        </w:rPr>
        <w:t>股，解除限售股份的上市流通日期为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日， 已经通过</w:t>
      </w:r>
      <w:r>
        <w:rPr>
          <w:color w:val="000000"/>
          <w:spacing w:val="0"/>
          <w:w w:val="100"/>
          <w:position w:val="0"/>
          <w:sz w:val="20"/>
          <w:szCs w:val="20"/>
        </w:rPr>
        <w:t>中国证券登记结算有限责任公司深圳分公司办理完毕相关业务</w:t>
      </w:r>
      <w:r>
        <w:rPr>
          <w:color w:val="000000"/>
          <w:spacing w:val="0"/>
          <w:w w:val="100"/>
          <w:position w:val="0"/>
          <w:sz w:val="22"/>
          <w:szCs w:val="22"/>
        </w:rPr>
        <w:t>。</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672"/>
        <w:gridCol w:w="1723"/>
        <w:gridCol w:w="1699"/>
        <w:gridCol w:w="1853"/>
      </w:tblGrid>
      <w:tr>
        <w:trPr>
          <w:trHeight w:val="35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股份变动后</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股份变动前</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变动比率</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-0.16%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-0.16%</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归属于公司普通股股东的每股净资产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-0.13%</w:t>
            </w:r>
          </w:p>
        </w:tc>
      </w:tr>
    </w:tbl>
    <w:p>
      <w:pPr>
        <w:widowControl w:val="0"/>
        <w:spacing w:after="3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、限售股份变动情况</w:t>
      </w:r>
      <w:bookmarkEnd w:id="623"/>
      <w:bookmarkEnd w:id="624"/>
      <w:bookmarkEnd w:id="626"/>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1133"/>
        <w:gridCol w:w="710"/>
        <w:gridCol w:w="994"/>
        <w:gridCol w:w="850"/>
        <w:gridCol w:w="3259"/>
        <w:gridCol w:w="1214"/>
      </w:tblGrid>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期初限售股 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加限售 股数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 售股数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期末限售 股数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解除限售日期</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Kevin</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Patrick</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股权激励高管第二个行权期行权</w:t>
            </w:r>
            <w:r>
              <w:rPr>
                <w:rFonts w:ascii="Times New Roman" w:eastAsia="Times New Roman" w:hAnsi="Times New Roman" w:cs="Times New Roman"/>
                <w:color w:val="000000"/>
                <w:spacing w:val="0"/>
                <w:w w:val="100"/>
                <w:position w:val="0"/>
                <w:sz w:val="18"/>
                <w:szCs w:val="18"/>
              </w:rPr>
              <w:t xml:space="preserve">90,000 </w:t>
            </w:r>
            <w:r>
              <w:rPr>
                <w:color w:val="000000"/>
                <w:spacing w:val="0"/>
                <w:w w:val="100"/>
                <w:position w:val="0"/>
                <w:sz w:val="17"/>
                <w:szCs w:val="17"/>
              </w:rPr>
              <w:t>股，行权后按照规定锁定</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离职日后半年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赖德源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股权激励高管第二个行权期行权</w:t>
            </w:r>
            <w:r>
              <w:rPr>
                <w:rFonts w:ascii="Times New Roman" w:eastAsia="Times New Roman" w:hAnsi="Times New Roman" w:cs="Times New Roman"/>
                <w:color w:val="000000"/>
                <w:spacing w:val="0"/>
                <w:w w:val="100"/>
                <w:position w:val="0"/>
                <w:sz w:val="18"/>
                <w:szCs w:val="18"/>
              </w:rPr>
              <w:t xml:space="preserve">90,000 </w:t>
            </w:r>
            <w:r>
              <w:rPr>
                <w:color w:val="000000"/>
                <w:spacing w:val="0"/>
                <w:w w:val="100"/>
                <w:position w:val="0"/>
                <w:sz w:val="17"/>
                <w:szCs w:val="17"/>
              </w:rPr>
              <w:t>股，行权后按照规定锁定</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离职日后半年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王敏敏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股权激励高管第二个行权期行权</w:t>
            </w:r>
            <w:r>
              <w:rPr>
                <w:rFonts w:ascii="Times New Roman" w:eastAsia="Times New Roman" w:hAnsi="Times New Roman" w:cs="Times New Roman"/>
                <w:color w:val="000000"/>
                <w:spacing w:val="0"/>
                <w:w w:val="100"/>
                <w:position w:val="0"/>
                <w:sz w:val="18"/>
                <w:szCs w:val="18"/>
              </w:rPr>
              <w:t xml:space="preserve">60,000 </w:t>
            </w:r>
            <w:r>
              <w:rPr>
                <w:color w:val="000000"/>
                <w:spacing w:val="0"/>
                <w:w w:val="100"/>
                <w:position w:val="0"/>
                <w:sz w:val="17"/>
                <w:szCs w:val="17"/>
              </w:rPr>
              <w:t>股，行权后按照规定锁定</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离职日后半年</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关东玉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股权激励高管第二个行权期行权</w:t>
            </w:r>
            <w:r>
              <w:rPr>
                <w:rFonts w:ascii="Times New Roman" w:eastAsia="Times New Roman" w:hAnsi="Times New Roman" w:cs="Times New Roman"/>
                <w:color w:val="000000"/>
                <w:spacing w:val="0"/>
                <w:w w:val="100"/>
                <w:position w:val="0"/>
                <w:sz w:val="18"/>
                <w:szCs w:val="18"/>
              </w:rPr>
              <w:t xml:space="preserve">60,000 </w:t>
            </w:r>
            <w:r>
              <w:rPr>
                <w:color w:val="000000"/>
                <w:spacing w:val="0"/>
                <w:w w:val="100"/>
                <w:position w:val="0"/>
                <w:sz w:val="17"/>
                <w:szCs w:val="17"/>
              </w:rPr>
              <w:t>股，行权后按照规定锁定</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离职日后半年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股权激励高管第二个行权期行权</w:t>
            </w:r>
            <w:r>
              <w:rPr>
                <w:rFonts w:ascii="Times New Roman" w:eastAsia="Times New Roman" w:hAnsi="Times New Roman" w:cs="Times New Roman"/>
                <w:color w:val="000000"/>
                <w:spacing w:val="0"/>
                <w:w w:val="100"/>
                <w:position w:val="0"/>
                <w:sz w:val="18"/>
                <w:szCs w:val="18"/>
              </w:rPr>
              <w:t xml:space="preserve">45,000 </w:t>
            </w:r>
            <w:r>
              <w:rPr>
                <w:color w:val="000000"/>
                <w:spacing w:val="0"/>
                <w:w w:val="100"/>
                <w:position w:val="0"/>
                <w:sz w:val="17"/>
                <w:szCs w:val="17"/>
              </w:rPr>
              <w:t>股，行权后按照规定锁定</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离职日后半年</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淘宝（中 国）软件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139,428,753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139,428,753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股票限售期已结束，股份全部解除限售；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139,709,237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258,751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139,428,753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539,235</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二</w:t>
      </w:r>
      <w:bookmarkEnd w:id="629"/>
      <w:r>
        <w:rPr>
          <w:color w:val="000000"/>
          <w:spacing w:val="0"/>
          <w:w w:val="100"/>
          <w:position w:val="0"/>
        </w:rPr>
        <w:t>、证券发行与上市情况</w:t>
      </w:r>
      <w:bookmarkEnd w:id="627"/>
      <w:bookmarkEnd w:id="628"/>
      <w:bookmarkEnd w:id="630"/>
    </w:p>
    <w:p>
      <w:pPr>
        <w:pStyle w:val="Style32"/>
        <w:keepNext/>
        <w:keepLines/>
        <w:widowControl w:val="0"/>
        <w:shd w:val="clear" w:color="auto" w:fill="auto"/>
        <w:bidi w:val="0"/>
        <w:spacing w:before="0" w:after="30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color w:val="000000"/>
          <w:spacing w:val="0"/>
          <w:w w:val="100"/>
          <w:position w:val="0"/>
        </w:rPr>
        <w:t>、报告期内证券发行（不含优先股）情况</w:t>
      </w:r>
      <w:bookmarkEnd w:id="631"/>
      <w:bookmarkEnd w:id="632"/>
      <w:bookmarkEnd w:id="63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76"/>
        <w:gridCol w:w="710"/>
        <w:gridCol w:w="706"/>
        <w:gridCol w:w="994"/>
        <w:gridCol w:w="1133"/>
        <w:gridCol w:w="854"/>
        <w:gridCol w:w="989"/>
        <w:gridCol w:w="2693"/>
        <w:gridCol w:w="931"/>
      </w:tblGrid>
      <w:tr>
        <w:trPr>
          <w:trHeight w:val="1651"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股票 及其 衍生 证券 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发行价 格（或利 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发行数量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上市日期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获准上市 交易数量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交易终止日 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披露日期</w:t>
            </w:r>
          </w:p>
        </w:tc>
      </w:tr>
      <w:tr>
        <w:trPr>
          <w:trHeight w:val="403" w:hRule="exact"/>
        </w:trPr>
        <w:tc>
          <w:tcPr>
            <w:gridSpan w:val="9"/>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 xml:space="preserve">日分别刊登于《中国证券 报》、《证券时报》及巨潮资讯网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 xml:space="preserve">的《关于公司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年股票期权激励计划预留部 分股票期权第一个行权期可行权 的公告》（</w:t>
            </w:r>
            <w:r>
              <w:rPr>
                <w:rFonts w:ascii="Times New Roman" w:eastAsia="Times New Roman" w:hAnsi="Times New Roman" w:cs="Times New Roman"/>
                <w:color w:val="000000"/>
                <w:spacing w:val="0"/>
                <w:w w:val="100"/>
                <w:position w:val="0"/>
                <w:sz w:val="18"/>
                <w:szCs w:val="18"/>
              </w:rPr>
              <w:t>2019-36</w:t>
            </w:r>
            <w:r>
              <w:rPr>
                <w:color w:val="000000"/>
                <w:spacing w:val="0"/>
                <w:w w:val="100"/>
                <w:position w:val="0"/>
                <w:sz w:val="17"/>
                <w:szCs w:val="17"/>
              </w:rPr>
              <w:t xml:space="preserve">）、《关于公司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年股票期权激励计划首次授 予股票期权第二个行权期可行权 的公告》（</w:t>
            </w:r>
            <w:r>
              <w:rPr>
                <w:rFonts w:ascii="Times New Roman" w:eastAsia="Times New Roman" w:hAnsi="Times New Roman" w:cs="Times New Roman"/>
                <w:color w:val="000000"/>
                <w:spacing w:val="0"/>
                <w:w w:val="100"/>
                <w:position w:val="0"/>
                <w:sz w:val="18"/>
                <w:szCs w:val="18"/>
              </w:rPr>
              <w:t>2019-45</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报告期内，公司因执行《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年股权激励计划》行权事项导致公司股本增加，除此之外，公司未进行其他增发股份的事项。</w:t>
      </w:r>
    </w:p>
    <w:p>
      <w:pPr>
        <w:pStyle w:val="Style32"/>
        <w:keepNext/>
        <w:keepLines/>
        <w:widowControl w:val="0"/>
        <w:shd w:val="clear" w:color="auto" w:fill="auto"/>
        <w:tabs>
          <w:tab w:pos="378" w:val="left"/>
        </w:tabs>
        <w:bidi w:val="0"/>
        <w:spacing w:before="0" w:after="380" w:line="312" w:lineRule="exact"/>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bookmarkEnd w:id="637"/>
      <w:r>
        <w:rPr>
          <w:color w:val="000000"/>
          <w:spacing w:val="0"/>
          <w:w w:val="100"/>
          <w:position w:val="0"/>
        </w:rPr>
        <w:t>、</w:t>
        <w:tab/>
        <w:t>公司股份总数及股东结构的变动、公司资产和负债结构的变动情况说明</w:t>
      </w:r>
      <w:bookmarkEnd w:id="635"/>
      <w:bookmarkEnd w:id="636"/>
      <w:bookmarkEnd w:id="638"/>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300"/>
        <w:ind w:left="0" w:right="0" w:firstLine="0"/>
        <w:jc w:val="left"/>
        <w:rPr>
          <w:sz w:val="22"/>
          <w:szCs w:val="22"/>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年度，公司股权激励对象共计行权</w:t>
      </w:r>
      <w:r>
        <w:rPr>
          <w:color w:val="000000"/>
          <w:spacing w:val="0"/>
          <w:w w:val="100"/>
          <w:position w:val="0"/>
          <w:sz w:val="22"/>
          <w:szCs w:val="22"/>
        </w:rPr>
        <w:t>1,507,964</w:t>
      </w:r>
      <w:r>
        <w:rPr>
          <w:rFonts w:ascii="SimSun" w:eastAsia="SimSun" w:hAnsi="SimSun" w:cs="SimSun"/>
          <w:color w:val="000000"/>
          <w:spacing w:val="0"/>
          <w:w w:val="100"/>
          <w:position w:val="0"/>
          <w:sz w:val="22"/>
          <w:szCs w:val="22"/>
        </w:rPr>
        <w:t>股，故公司股份总额增加</w:t>
      </w:r>
      <w:r>
        <w:rPr>
          <w:color w:val="000000"/>
          <w:spacing w:val="0"/>
          <w:w w:val="100"/>
          <w:position w:val="0"/>
          <w:sz w:val="22"/>
          <w:szCs w:val="22"/>
        </w:rPr>
        <w:t>1,507,964</w:t>
      </w:r>
      <w:r>
        <w:rPr>
          <w:rFonts w:ascii="SimSun" w:eastAsia="SimSun" w:hAnsi="SimSun" w:cs="SimSun"/>
          <w:color w:val="000000"/>
          <w:spacing w:val="0"/>
          <w:w w:val="100"/>
          <w:position w:val="0"/>
          <w:sz w:val="22"/>
          <w:szCs w:val="22"/>
        </w:rPr>
        <w:t xml:space="preserve">股，由期初的 </w:t>
      </w:r>
      <w:r>
        <w:rPr>
          <w:color w:val="000000"/>
          <w:spacing w:val="0"/>
          <w:w w:val="100"/>
          <w:position w:val="0"/>
          <w:sz w:val="22"/>
          <w:szCs w:val="22"/>
        </w:rPr>
        <w:t>1,069,604,219</w:t>
      </w:r>
      <w:r>
        <w:rPr>
          <w:rFonts w:ascii="SimSun" w:eastAsia="SimSun" w:hAnsi="SimSun" w:cs="SimSun"/>
          <w:color w:val="000000"/>
          <w:spacing w:val="0"/>
          <w:w w:val="100"/>
          <w:position w:val="0"/>
          <w:sz w:val="22"/>
          <w:szCs w:val="22"/>
        </w:rPr>
        <w:t xml:space="preserve">股变更为 </w:t>
      </w:r>
      <w:r>
        <w:rPr>
          <w:color w:val="000000"/>
          <w:spacing w:val="0"/>
          <w:w w:val="100"/>
          <w:position w:val="0"/>
          <w:sz w:val="22"/>
          <w:szCs w:val="22"/>
        </w:rPr>
        <w:t xml:space="preserve">1,071,112,183 </w:t>
      </w:r>
      <w:r>
        <w:rPr>
          <w:rFonts w:ascii="SimSun" w:eastAsia="SimSun" w:hAnsi="SimSun" w:cs="SimSun"/>
          <w:color w:val="000000"/>
          <w:spacing w:val="0"/>
          <w:w w:val="100"/>
          <w:position w:val="0"/>
          <w:sz w:val="22"/>
          <w:szCs w:val="22"/>
        </w:rPr>
        <w:t>股。</w:t>
      </w:r>
    </w:p>
    <w:p>
      <w:pPr>
        <w:pStyle w:val="Style32"/>
        <w:keepNext/>
        <w:keepLines/>
        <w:widowControl w:val="0"/>
        <w:shd w:val="clear" w:color="auto" w:fill="auto"/>
        <w:tabs>
          <w:tab w:pos="378" w:val="left"/>
        </w:tabs>
        <w:bidi w:val="0"/>
        <w:spacing w:before="0" w:after="380" w:line="312" w:lineRule="exact"/>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3</w:t>
      </w:r>
      <w:bookmarkEnd w:id="641"/>
      <w:r>
        <w:rPr>
          <w:color w:val="000000"/>
          <w:spacing w:val="0"/>
          <w:w w:val="100"/>
          <w:position w:val="0"/>
        </w:rPr>
        <w:t>、</w:t>
        <w:tab/>
        <w:t>现存的内部职工股情况</w:t>
      </w:r>
      <w:bookmarkEnd w:id="639"/>
      <w:bookmarkEnd w:id="640"/>
      <w:bookmarkEnd w:id="64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三</w:t>
      </w:r>
      <w:bookmarkEnd w:id="645"/>
      <w:r>
        <w:rPr>
          <w:color w:val="000000"/>
          <w:spacing w:val="0"/>
          <w:w w:val="100"/>
          <w:position w:val="0"/>
        </w:rPr>
        <w:t>、股东和实际控制人情况</w:t>
      </w:r>
      <w:bookmarkEnd w:id="643"/>
      <w:bookmarkEnd w:id="644"/>
      <w:bookmarkEnd w:id="646"/>
    </w:p>
    <w:p>
      <w:pPr>
        <w:pStyle w:val="Style32"/>
        <w:keepNext/>
        <w:keepLines/>
        <w:widowControl w:val="0"/>
        <w:shd w:val="clear" w:color="auto" w:fill="auto"/>
        <w:bidi w:val="0"/>
        <w:spacing w:before="0" w:after="380" w:line="312" w:lineRule="exact"/>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color w:val="000000"/>
          <w:spacing w:val="0"/>
          <w:w w:val="100"/>
          <w:position w:val="0"/>
        </w:rPr>
        <w:t>、公司股东数量及持股情况</w:t>
      </w:r>
      <w:bookmarkEnd w:id="647"/>
      <w:bookmarkEnd w:id="648"/>
      <w:bookmarkEnd w:id="650"/>
    </w:p>
    <w:p>
      <w:pPr>
        <w:pStyle w:val="Style28"/>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709"/>
        <w:gridCol w:w="144"/>
        <w:gridCol w:w="552"/>
        <w:gridCol w:w="485"/>
        <w:gridCol w:w="787"/>
        <w:gridCol w:w="725"/>
        <w:gridCol w:w="283"/>
        <w:gridCol w:w="427"/>
        <w:gridCol w:w="566"/>
        <w:gridCol w:w="1277"/>
        <w:gridCol w:w="139"/>
        <w:gridCol w:w="226"/>
        <w:gridCol w:w="912"/>
        <w:gridCol w:w="850"/>
        <w:gridCol w:w="139"/>
        <w:gridCol w:w="370"/>
      </w:tblGrid>
      <w:tr>
        <w:trPr>
          <w:trHeight w:val="1027" w:hRule="exact"/>
        </w:trPr>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报告期末普通股股东 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19,092</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年度报告披露日前上一 月末普通股股东总数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17,194</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报告期末表决权恢复的 优先股股东总数（如有）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年度报告披露日前上一 月末表决权恢复的优先 股股东总数（如有）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6"/>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3"/>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gridSpan w:val="2"/>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gridSpan w:val="2"/>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持有有限售条 件的股份数量</w:t>
            </w:r>
          </w:p>
        </w:tc>
        <w:tc>
          <w:tcPr>
            <w:gridSpan w:val="3"/>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持有无限售条 件的股份数量</w:t>
            </w:r>
          </w:p>
        </w:tc>
        <w:tc>
          <w:tcPr>
            <w:gridSpan w:val="3"/>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质押或冻结情况</w:t>
            </w:r>
          </w:p>
        </w:tc>
      </w:tr>
      <w:tr>
        <w:trPr>
          <w:trHeight w:val="403" w:hRule="exact"/>
        </w:trPr>
        <w:tc>
          <w:tcPr>
            <w:vMerge/>
            <w:tcBorders>
              <w:left w:val="single" w:sz="4"/>
            </w:tcBorders>
            <w:shd w:val="clear" w:color="auto" w:fill="D4D4D4"/>
            <w:vAlign w:val="center"/>
          </w:tcPr>
          <w:p>
            <w:pPr/>
          </w:p>
        </w:tc>
        <w:tc>
          <w:tcPr>
            <w:gridSpan w:val="3"/>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3"/>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数量</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李仲初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54.54%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584,236,800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438,177,600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146,059,200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淘宝（中国）软件有 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139,428,753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139,428,753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焦梅荣</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38,700,720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38,700,720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北京业勤投资有限公 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36,361,950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36,361,950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上海高毅资产管理合 伙企业（有限合伙） 一高毅邻山</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号远望 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23,800,000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香港中央结算有限公 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20,530,158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20,530,158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中央汇金资产管理有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限责任公司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18,010,800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18,010,800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陈国强</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9,375,625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9,375,625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北京磐沣投资管理合 伙企业（有限合伙） 一磐沣价值私募证券 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8,430,826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8,430,826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中国工商银行一易方 达价值成长混合型证 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8,334,698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8,334,698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无</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战略投资者或一般法人因配售新股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w:t>
            </w:r>
          </w:p>
        </w:tc>
        <w:tc>
          <w:tcPr>
            <w:gridSpan w:val="1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淘宝（中国）软件有限公司为公司战略投资者，在公司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年度进行的非公开发行 股份中认购股份</w:t>
            </w:r>
            <w:r>
              <w:rPr>
                <w:rFonts w:ascii="Times New Roman" w:eastAsia="Times New Roman" w:hAnsi="Times New Roman" w:cs="Times New Roman"/>
                <w:color w:val="000000"/>
                <w:spacing w:val="0"/>
                <w:w w:val="100"/>
                <w:position w:val="0"/>
                <w:sz w:val="18"/>
                <w:szCs w:val="18"/>
              </w:rPr>
              <w:t>46,476,251</w:t>
            </w:r>
            <w:r>
              <w:rPr>
                <w:color w:val="000000"/>
                <w:spacing w:val="0"/>
                <w:w w:val="100"/>
                <w:position w:val="0"/>
                <w:sz w:val="17"/>
                <w:szCs w:val="17"/>
              </w:rPr>
              <w:t>股，该股份于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日上市发行，认购完成后， 淘宝（中国）成为公司第二大股东，该股份在上市之初均为有限售条件的流通股，淘 宝（中国）软件有限公司认购的该股份自上市首日起六十个月内不转让，已于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日流通上市。</w:t>
            </w:r>
          </w:p>
        </w:tc>
      </w:tr>
      <w:tr>
        <w:trPr>
          <w:trHeight w:val="1339" w:hRule="exact"/>
        </w:trPr>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上述股东关联关系或一致行动的说 明</w:t>
            </w:r>
          </w:p>
        </w:tc>
        <w:tc>
          <w:tcPr>
            <w:gridSpan w:val="1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本公司股东焦梅荣为本公司控股股东李仲初之岳母，李仲初持有本公司</w:t>
            </w:r>
            <w:r>
              <w:rPr>
                <w:rFonts w:ascii="Times New Roman" w:eastAsia="Times New Roman" w:hAnsi="Times New Roman" w:cs="Times New Roman"/>
                <w:color w:val="000000"/>
                <w:spacing w:val="0"/>
                <w:w w:val="100"/>
                <w:position w:val="0"/>
                <w:sz w:val="18"/>
                <w:szCs w:val="18"/>
              </w:rPr>
              <w:t>54.54%</w:t>
            </w:r>
            <w:r>
              <w:rPr>
                <w:color w:val="000000"/>
                <w:spacing w:val="0"/>
                <w:w w:val="100"/>
                <w:position w:val="0"/>
                <w:sz w:val="17"/>
                <w:szCs w:val="17"/>
              </w:rPr>
              <w:t>的股 份，焦梅荣持有本公司</w:t>
            </w:r>
            <w:r>
              <w:rPr>
                <w:rFonts w:ascii="Times New Roman" w:eastAsia="Times New Roman" w:hAnsi="Times New Roman" w:cs="Times New Roman"/>
                <w:color w:val="000000"/>
                <w:spacing w:val="0"/>
                <w:w w:val="100"/>
                <w:position w:val="0"/>
                <w:sz w:val="18"/>
                <w:szCs w:val="18"/>
              </w:rPr>
              <w:t>3.61%</w:t>
            </w:r>
            <w:r>
              <w:rPr>
                <w:color w:val="000000"/>
                <w:spacing w:val="0"/>
                <w:w w:val="100"/>
                <w:position w:val="0"/>
                <w:sz w:val="17"/>
                <w:szCs w:val="17"/>
              </w:rPr>
              <w:t>的股份。与有限售条件的其他股东之间不存在关联关系， 也不属于一致行动人。未知其他股东相互之间是否存在关联关系，也未知是否属于《上 市公司信息披露管理办法》中规定的一致行动人。</w:t>
            </w:r>
          </w:p>
        </w:tc>
      </w:tr>
      <w:tr>
        <w:trPr>
          <w:trHeight w:val="725" w:hRule="exact"/>
        </w:trPr>
        <w:tc>
          <w:tcPr>
            <w:gridSpan w:val="4"/>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 弃表决权情况的说明</w:t>
            </w:r>
          </w:p>
        </w:tc>
        <w:tc>
          <w:tcPr>
            <w:gridSpan w:val="1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2890"/>
        <w:gridCol w:w="3989"/>
        <w:gridCol w:w="1354"/>
        <w:gridCol w:w="1358"/>
      </w:tblGrid>
      <w:tr>
        <w:trPr>
          <w:trHeight w:val="403" w:hRule="exact"/>
        </w:trPr>
        <w:tc>
          <w:tcPr>
            <w:gridSpan w:val="4"/>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146,059,200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146,059,200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139,428,753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139,428,753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焦梅荣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38,700,720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38,700,720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北京业勤投资有限公司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36,361,950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36,361,950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上海高毅资产管理合伙企业（有限合 伙）一高毅邻山</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号远望基金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23,800,000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20,530,158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20,530,158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中央汇金资产管理有限责任公司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18,010,800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18,010,800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陈国强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9,375,625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9,375,625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北京磐沣投资管理合伙企业（有限合 伙）一磐沣价值私募证券投资基金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8,430,826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8,430,826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中国工商银行一易方达价值成长混 合型证券投资基金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8,334,698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8,334,698</w:t>
            </w: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本公司股东焦梅荣为本公司控股股东李仲初之岳母，李仲初持有本公司</w:t>
            </w:r>
            <w:r>
              <w:rPr>
                <w:rFonts w:ascii="Times New Roman" w:eastAsia="Times New Roman" w:hAnsi="Times New Roman" w:cs="Times New Roman"/>
                <w:color w:val="000000"/>
                <w:spacing w:val="0"/>
                <w:w w:val="100"/>
                <w:position w:val="0"/>
                <w:sz w:val="18"/>
                <w:szCs w:val="18"/>
              </w:rPr>
              <w:t>54.54%</w:t>
            </w:r>
            <w:r>
              <w:rPr>
                <w:color w:val="000000"/>
                <w:spacing w:val="0"/>
                <w:w w:val="100"/>
                <w:position w:val="0"/>
                <w:sz w:val="17"/>
                <w:szCs w:val="17"/>
              </w:rPr>
              <w:t>的股 份，焦梅荣持有本公司</w:t>
            </w:r>
            <w:r>
              <w:rPr>
                <w:rFonts w:ascii="Times New Roman" w:eastAsia="Times New Roman" w:hAnsi="Times New Roman" w:cs="Times New Roman"/>
                <w:color w:val="000000"/>
                <w:spacing w:val="0"/>
                <w:w w:val="100"/>
                <w:position w:val="0"/>
                <w:sz w:val="18"/>
                <w:szCs w:val="18"/>
              </w:rPr>
              <w:t>3.61%</w:t>
            </w:r>
            <w:r>
              <w:rPr>
                <w:color w:val="000000"/>
                <w:spacing w:val="0"/>
                <w:w w:val="100"/>
                <w:position w:val="0"/>
                <w:sz w:val="17"/>
                <w:szCs w:val="17"/>
              </w:rPr>
              <w:t>的股份。与有限售条件的其他股东之间不存在关联关系， 也不属于一致行动人。未知其他股东相互之间是否存在关联关系，也未知是否属于《上 市公司信息披露管理办法》中规定的一致行动人。</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 务情况说明（如有）</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北京业勤投资有限公司在报告期内以其持有的</w:t>
            </w:r>
            <w:r>
              <w:rPr>
                <w:rFonts w:ascii="Times New Roman" w:eastAsia="Times New Roman" w:hAnsi="Times New Roman" w:cs="Times New Roman"/>
                <w:color w:val="000000"/>
                <w:spacing w:val="0"/>
                <w:w w:val="100"/>
                <w:position w:val="0"/>
                <w:sz w:val="18"/>
                <w:szCs w:val="18"/>
              </w:rPr>
              <w:t>36,361,950</w:t>
            </w:r>
            <w:r>
              <w:rPr>
                <w:color w:val="000000"/>
                <w:spacing w:val="0"/>
                <w:w w:val="100"/>
                <w:position w:val="0"/>
                <w:sz w:val="17"/>
                <w:szCs w:val="17"/>
              </w:rPr>
              <w:t>股中的</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sz w:val="17"/>
                <w:szCs w:val="17"/>
              </w:rPr>
              <w:t>股参与了 融资融券业务。</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、公司控股股东情况</w:t>
      </w:r>
      <w:bookmarkEnd w:id="651"/>
      <w:bookmarkEnd w:id="652"/>
      <w:bookmarkEnd w:id="654"/>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控股股东性质：自然人控股</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本公司董事长兼总裁</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控股股东报告期内变更</w:t>
      </w:r>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公司报告期控股股东未发生变更。</w:t>
      </w:r>
      <w:r>
        <w:br w:type="page"/>
      </w:r>
    </w:p>
    <w:p>
      <w:pPr>
        <w:pStyle w:val="Style32"/>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、公司实际控制人及其一致行动人</w:t>
      </w:r>
      <w:bookmarkEnd w:id="655"/>
      <w:bookmarkEnd w:id="656"/>
      <w:bookmarkEnd w:id="65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本公司董事长兼总裁</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14566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stretch/>
                  </pic:blipFill>
                  <pic:spPr>
                    <a:xfrm>
                      <a:ext cx="4596130" cy="2145665"/>
                    </a:xfrm>
                    <a:prstGeom prst="rect"/>
                  </pic:spPr>
                </pic:pic>
              </a:graphicData>
            </a:graphic>
          </wp:inline>
        </w:drawing>
      </w:r>
    </w:p>
    <w:p>
      <w:pPr>
        <w:widowControl w:val="0"/>
        <w:spacing w:after="2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4</w:t>
      </w:r>
      <w:bookmarkEnd w:id="66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9"/>
      <w:bookmarkEnd w:id="660"/>
      <w:bookmarkEnd w:id="66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1133"/>
        <w:gridCol w:w="1560"/>
        <w:gridCol w:w="1416"/>
        <w:gridCol w:w="4190"/>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法人股东名称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主要经营业务或管理活动</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淘宝（中国）软 件有限公司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37500</w:t>
            </w:r>
            <w:r>
              <w:rPr>
                <w:color w:val="000000"/>
                <w:spacing w:val="0"/>
                <w:w w:val="100"/>
                <w:position w:val="0"/>
                <w:sz w:val="17"/>
                <w:szCs w:val="17"/>
              </w:rPr>
              <w:t>万美元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研究、开发计算机软、硬件，网络技术产品，多媒体 产品；系统集成的设计、调试及维护；销售自身开发 的产品；并提供计算机技术咨询、服务，电子商务平 台支持；经济信息咨询（含商品中介）（国家禁止和 限制的除外，凡涉及许可证制度的凭证经营）</w:t>
            </w:r>
          </w:p>
        </w:tc>
      </w:tr>
    </w:tbl>
    <w:p>
      <w:pPr>
        <w:pStyle w:val="Style32"/>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5</w:t>
      </w:r>
      <w:bookmarkEnd w:id="665"/>
      <w:r>
        <w:rPr>
          <w:color w:val="000000"/>
          <w:spacing w:val="0"/>
          <w:w w:val="100"/>
          <w:position w:val="0"/>
        </w:rPr>
        <w:t>、控股股东、实际控制人、重组方及其他承诺主体股份限制减持情况</w:t>
      </w:r>
      <w:bookmarkEnd w:id="663"/>
      <w:bookmarkEnd w:id="664"/>
      <w:bookmarkEnd w:id="666"/>
    </w:p>
    <w:p>
      <w:pPr>
        <w:pStyle w:val="Style28"/>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412" w:right="1050" w:bottom="1479" w:left="105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2" behindDoc="0" locked="0" layoutInCell="1" allowOverlap="1">
                <wp:simplePos x="0" y="0"/>
                <wp:positionH relativeFrom="page">
                  <wp:posOffset>2691765</wp:posOffset>
                </wp:positionH>
                <wp:positionV relativeFrom="paragraph">
                  <wp:posOffset>0</wp:posOffset>
                </wp:positionV>
                <wp:extent cx="2170430" cy="243840"/>
                <wp:wrapTopAndBottom/>
                <wp:docPr id="36" name="Shape 3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67" w:name="bookmark667"/>
                            <w:bookmarkStart w:id="668" w:name="bookmark668"/>
                            <w:bookmarkStart w:id="669" w:name="bookmark669"/>
                            <w:r>
                              <w:rPr>
                                <w:color w:val="000000"/>
                                <w:spacing w:val="0"/>
                                <w:w w:val="100"/>
                                <w:position w:val="0"/>
                              </w:rPr>
                              <w:t>第七节优先股相关情况</w:t>
                            </w:r>
                            <w:bookmarkEnd w:id="667"/>
                            <w:bookmarkEnd w:id="668"/>
                            <w:bookmarkEnd w:id="669"/>
                          </w:p>
                        </w:txbxContent>
                      </wps:txbx>
                      <wps:bodyPr wrap="none" lIns="0" tIns="0" rIns="0" bIns="0">
                        <a:noAutoFit/>
                      </wps:bodyPr>
                    </wps:wsp>
                  </a:graphicData>
                </a:graphic>
              </wp:anchor>
            </w:drawing>
          </mc:Choice>
          <mc:Fallback>
            <w:pict>
              <v:shape id="_x0000_s1062" type="#_x0000_t202" style="position:absolute;margin-left:211.95000000000002pt;margin-top:0;width:170.90000000000001pt;height:19.199999999999999pt;z-index:-125829371;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67" w:name="bookmark667"/>
                      <w:bookmarkStart w:id="668" w:name="bookmark668"/>
                      <w:bookmarkStart w:id="669" w:name="bookmark669"/>
                      <w:r>
                        <w:rPr>
                          <w:color w:val="000000"/>
                          <w:spacing w:val="0"/>
                          <w:w w:val="100"/>
                          <w:position w:val="0"/>
                        </w:rPr>
                        <w:t>第七节优先股相关情况</w:t>
                      </w:r>
                      <w:bookmarkEnd w:id="667"/>
                      <w:bookmarkEnd w:id="668"/>
                      <w:bookmarkEnd w:id="669"/>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0"/>
        <w:jc w:val="left"/>
      </w:pPr>
      <w:bookmarkStart w:id="670" w:name="bookmark67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0"/>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60" w:after="560" w:line="240" w:lineRule="auto"/>
        <w:ind w:left="0" w:right="0" w:firstLine="0"/>
        <w:jc w:val="center"/>
      </w:pPr>
      <w:bookmarkStart w:id="671" w:name="bookmark671"/>
      <w:bookmarkStart w:id="672" w:name="bookmark672"/>
      <w:bookmarkStart w:id="673" w:name="bookmark673"/>
      <w:r>
        <w:rPr>
          <w:color w:val="000000"/>
          <w:spacing w:val="0"/>
          <w:w w:val="100"/>
          <w:position w:val="0"/>
        </w:rPr>
        <w:t>第八节可转换公司债券相关情况</w:t>
      </w:r>
      <w:bookmarkEnd w:id="671"/>
      <w:bookmarkEnd w:id="672"/>
      <w:bookmarkEnd w:id="673"/>
    </w:p>
    <w:p>
      <w:pPr>
        <w:pStyle w:val="Style28"/>
        <w:keepNext w:val="0"/>
        <w:keepLines w:val="0"/>
        <w:widowControl w:val="0"/>
        <w:shd w:val="clear" w:color="auto" w:fill="auto"/>
        <w:bidi w:val="0"/>
        <w:spacing w:before="0" w:after="120" w:line="240" w:lineRule="auto"/>
        <w:ind w:left="0" w:right="0" w:firstLine="0"/>
        <w:jc w:val="left"/>
      </w:pPr>
      <w:bookmarkStart w:id="674" w:name="bookmark67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74"/>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40" w:line="240" w:lineRule="auto"/>
        <w:ind w:left="0" w:right="0" w:firstLine="0"/>
        <w:jc w:val="center"/>
      </w:pPr>
      <w:bookmarkStart w:id="675" w:name="bookmark675"/>
      <w:bookmarkStart w:id="676" w:name="bookmark676"/>
      <w:bookmarkStart w:id="677" w:name="bookmark677"/>
      <w:r>
        <w:rPr>
          <w:color w:val="000000"/>
          <w:spacing w:val="0"/>
          <w:w w:val="100"/>
          <w:position w:val="0"/>
        </w:rPr>
        <w:t>第九节董事、监事、高级管理人员和员工情况</w:t>
      </w:r>
      <w:bookmarkEnd w:id="675"/>
      <w:bookmarkEnd w:id="676"/>
      <w:bookmarkEnd w:id="677"/>
    </w:p>
    <w:p>
      <w:pPr>
        <w:pStyle w:val="Style24"/>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bookmarkStart w:id="681" w:name="bookmark681"/>
      <w:bookmarkStart w:id="682" w:name="bookmark682"/>
      <w:r>
        <w:rPr>
          <w:color w:val="000000"/>
          <w:spacing w:val="0"/>
          <w:w w:val="100"/>
          <w:position w:val="0"/>
        </w:rPr>
        <w:t>一</w:t>
      </w:r>
      <w:bookmarkEnd w:id="681"/>
      <w:r>
        <w:rPr>
          <w:color w:val="000000"/>
          <w:spacing w:val="0"/>
          <w:w w:val="100"/>
          <w:position w:val="0"/>
        </w:rPr>
        <w:t>、董事、监事和高级管理人员持股变动</w:t>
      </w:r>
      <w:bookmarkEnd w:id="679"/>
      <w:bookmarkEnd w:id="680"/>
      <w:bookmarkEnd w:id="682"/>
      <w:bookmarkEnd w:id="678"/>
    </w:p>
    <w:tbl>
      <w:tblPr>
        <w:tblOverlap w:val="never"/>
        <w:jc w:val="center"/>
        <w:tblLayout w:type="fixed"/>
      </w:tblPr>
      <w:tblGrid>
        <w:gridCol w:w="806"/>
        <w:gridCol w:w="1186"/>
        <w:gridCol w:w="850"/>
        <w:gridCol w:w="427"/>
        <w:gridCol w:w="427"/>
        <w:gridCol w:w="850"/>
        <w:gridCol w:w="994"/>
        <w:gridCol w:w="1133"/>
        <w:gridCol w:w="566"/>
        <w:gridCol w:w="566"/>
        <w:gridCol w:w="710"/>
        <w:gridCol w:w="1075"/>
      </w:tblGrid>
      <w:tr>
        <w:trPr>
          <w:trHeight w:val="165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280" w:firstLine="0"/>
              <w:jc w:val="right"/>
              <w:rPr>
                <w:sz w:val="17"/>
                <w:szCs w:val="17"/>
              </w:rPr>
            </w:pPr>
            <w:r>
              <w:rPr>
                <w:color w:val="000000"/>
                <w:spacing w:val="0"/>
                <w:w w:val="100"/>
                <w:position w:val="0"/>
                <w:sz w:val="17"/>
                <w:szCs w:val="17"/>
              </w:rPr>
              <w:t>期初持股数</w:t>
            </w:r>
          </w:p>
          <w:p>
            <w:pPr>
              <w:pStyle w:val="Style20"/>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 增持 股份 数量 （股）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 减持 股份 数量 （股）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其他增 减变动</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260" w:firstLine="0"/>
              <w:jc w:val="right"/>
              <w:rPr>
                <w:sz w:val="17"/>
                <w:szCs w:val="17"/>
              </w:rPr>
            </w:pPr>
            <w:r>
              <w:rPr>
                <w:color w:val="000000"/>
                <w:spacing w:val="0"/>
                <w:w w:val="100"/>
                <w:position w:val="0"/>
                <w:sz w:val="17"/>
                <w:szCs w:val="17"/>
              </w:rPr>
              <w:t>期末持股数</w:t>
            </w:r>
          </w:p>
          <w:p>
            <w:pPr>
              <w:pStyle w:val="Style20"/>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董事长兼总裁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584,236,800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李殿坤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6,263,496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赖德源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董事、副总裁、 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Kevin</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Patrick</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首席运营官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关东玉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王敏敏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148,980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副总裁兼董事</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张广杰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806"/>
        <w:gridCol w:w="1186"/>
        <w:gridCol w:w="850"/>
        <w:gridCol w:w="427"/>
        <w:gridCol w:w="427"/>
        <w:gridCol w:w="850"/>
        <w:gridCol w:w="994"/>
        <w:gridCol w:w="1133"/>
        <w:gridCol w:w="566"/>
        <w:gridCol w:w="566"/>
        <w:gridCol w:w="710"/>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王淑杰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590,874,276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591,219,276</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二</w:t>
      </w:r>
      <w:bookmarkEnd w:id="685"/>
      <w:r>
        <w:rPr>
          <w:color w:val="000000"/>
          <w:spacing w:val="0"/>
          <w:w w:val="100"/>
          <w:position w:val="0"/>
        </w:rPr>
        <w:t>、公司董事、监事、高级管理人员变动情况</w:t>
      </w:r>
      <w:bookmarkEnd w:id="683"/>
      <w:bookmarkEnd w:id="684"/>
      <w:bookmarkEnd w:id="68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744"/>
        <w:gridCol w:w="1699"/>
        <w:gridCol w:w="447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李少华</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李少华先生为公司第二大股东淘宝中国所推选董事，因</w:t>
            </w:r>
          </w:p>
        </w:tc>
      </w:tr>
      <w:tr>
        <w:trPr>
          <w:trHeight w:val="44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阿里巴巴集团工作岗位调整，李少华辞去公司董事一职。</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三</w:t>
      </w:r>
      <w:bookmarkEnd w:id="689"/>
      <w:r>
        <w:rPr>
          <w:color w:val="000000"/>
          <w:spacing w:val="0"/>
          <w:w w:val="100"/>
          <w:position w:val="0"/>
        </w:rPr>
        <w:t>、任职情况</w:t>
      </w:r>
      <w:bookmarkEnd w:id="687"/>
      <w:bookmarkEnd w:id="688"/>
      <w:bookmarkEnd w:id="690"/>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keepLines/>
        <w:widowControl w:val="0"/>
        <w:shd w:val="clear" w:color="auto" w:fill="auto"/>
        <w:bidi w:val="0"/>
        <w:spacing w:before="0" w:after="160" w:line="315" w:lineRule="exact"/>
        <w:ind w:left="0" w:right="0" w:firstLine="440"/>
        <w:jc w:val="both"/>
      </w:pPr>
      <w:bookmarkStart w:id="691" w:name="bookmark691"/>
      <w:bookmarkStart w:id="692" w:name="bookmark692"/>
      <w:bookmarkStart w:id="693" w:name="bookmark693"/>
      <w:bookmarkStart w:id="694" w:name="bookmark694"/>
      <w:r>
        <w:rPr>
          <w:color w:val="000000"/>
          <w:spacing w:val="0"/>
          <w:w w:val="100"/>
          <w:position w:val="0"/>
        </w:rPr>
        <w:t>（</w:t>
      </w:r>
      <w:bookmarkEnd w:id="693"/>
      <w:r>
        <w:rPr>
          <w:color w:val="000000"/>
          <w:spacing w:val="0"/>
          <w:w w:val="100"/>
          <w:position w:val="0"/>
        </w:rPr>
        <w:t>一）董事</w:t>
      </w:r>
      <w:bookmarkEnd w:id="691"/>
      <w:bookmarkEnd w:id="692"/>
      <w:bookmarkEnd w:id="694"/>
    </w:p>
    <w:p>
      <w:pPr>
        <w:pStyle w:val="Style35"/>
        <w:keepNext w:val="0"/>
        <w:keepLines w:val="0"/>
        <w:widowControl w:val="0"/>
        <w:shd w:val="clear" w:color="auto" w:fill="auto"/>
        <w:bidi w:val="0"/>
        <w:spacing w:before="0" w:after="100" w:line="315" w:lineRule="exact"/>
        <w:ind w:left="0" w:right="0" w:firstLine="440"/>
        <w:jc w:val="both"/>
      </w:pPr>
      <w:r>
        <w:rPr>
          <w:b/>
          <w:bCs/>
          <w:color w:val="000000"/>
          <w:spacing w:val="0"/>
          <w:w w:val="100"/>
          <w:position w:val="0"/>
        </w:rPr>
        <w:t>李仲初</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年，中国公民，工学硕士，工程师，本公司创始人及控股股东。</w:t>
      </w:r>
      <w:r>
        <w:rPr>
          <w:rFonts w:ascii="Times New Roman" w:eastAsia="Times New Roman" w:hAnsi="Times New Roman" w:cs="Times New Roman"/>
          <w:color w:val="000000"/>
          <w:spacing w:val="0"/>
          <w:w w:val="100"/>
          <w:position w:val="0"/>
        </w:rPr>
        <w:t>1984</w:t>
      </w:r>
      <w:r>
        <w:rPr>
          <w:color w:val="000000"/>
          <w:spacing w:val="0"/>
          <w:w w:val="100"/>
          <w:position w:val="0"/>
        </w:rPr>
        <w:t>年毕业 于武汉大学空间物理系，获得理学学士学位，</w:t>
      </w:r>
      <w:r>
        <w:rPr>
          <w:rFonts w:ascii="Times New Roman" w:eastAsia="Times New Roman" w:hAnsi="Times New Roman" w:cs="Times New Roman"/>
          <w:color w:val="000000"/>
          <w:spacing w:val="0"/>
          <w:w w:val="100"/>
          <w:position w:val="0"/>
        </w:rPr>
        <w:t>1987</w:t>
      </w:r>
      <w:r>
        <w:rPr>
          <w:color w:val="000000"/>
          <w:spacing w:val="0"/>
          <w:w w:val="100"/>
          <w:position w:val="0"/>
        </w:rPr>
        <w:t>年获得原国家航天部第二研究院工学硕士学位，曾任职 于航天部某研究所。离职后于</w:t>
      </w:r>
      <w:r>
        <w:rPr>
          <w:rFonts w:ascii="Times New Roman" w:eastAsia="Times New Roman" w:hAnsi="Times New Roman" w:cs="Times New Roman"/>
          <w:color w:val="000000"/>
          <w:spacing w:val="0"/>
          <w:w w:val="100"/>
          <w:position w:val="0"/>
        </w:rPr>
        <w:t>1998</w:t>
      </w:r>
      <w:r>
        <w:rPr>
          <w:color w:val="000000"/>
          <w:spacing w:val="0"/>
          <w:w w:val="100"/>
          <w:position w:val="0"/>
        </w:rPr>
        <w:t>年创立本公司并作为本公司的创始人、经营者持续至今，现任本公司第 七届董事会董事、董事长兼总裁。</w:t>
      </w:r>
    </w:p>
    <w:p>
      <w:pPr>
        <w:pStyle w:val="Style35"/>
        <w:keepNext w:val="0"/>
        <w:keepLines w:val="0"/>
        <w:widowControl w:val="0"/>
        <w:shd w:val="clear" w:color="auto" w:fill="auto"/>
        <w:bidi w:val="0"/>
        <w:spacing w:before="0" w:after="100" w:line="315" w:lineRule="exact"/>
        <w:ind w:left="0" w:right="0" w:firstLine="440"/>
        <w:jc w:val="both"/>
      </w:pPr>
      <w:r>
        <w:rPr>
          <w:b/>
          <w:bCs/>
          <w:color w:val="000000"/>
          <w:spacing w:val="0"/>
          <w:w w:val="100"/>
          <w:position w:val="0"/>
        </w:rPr>
        <w:t>李殿坤</w:t>
      </w:r>
      <w:r>
        <w:rPr>
          <w:color w:val="000000"/>
          <w:spacing w:val="0"/>
          <w:w w:val="100"/>
          <w:position w:val="0"/>
        </w:rPr>
        <w:t>：男，出生于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年，中国公民，研究生学历。</w:t>
      </w:r>
      <w:r>
        <w:rPr>
          <w:rFonts w:ascii="Times New Roman" w:eastAsia="Times New Roman" w:hAnsi="Times New Roman" w:cs="Times New Roman"/>
          <w:color w:val="000000"/>
          <w:spacing w:val="0"/>
          <w:w w:val="100"/>
          <w:position w:val="0"/>
        </w:rPr>
        <w:t>1991</w:t>
      </w:r>
      <w:r>
        <w:rPr>
          <w:color w:val="000000"/>
          <w:spacing w:val="0"/>
          <w:w w:val="100"/>
          <w:position w:val="0"/>
        </w:rPr>
        <w:t>年毕业于浙江大学材料科学与工程学院， 获得工学学士学位；</w:t>
      </w:r>
      <w:r>
        <w:rPr>
          <w:rFonts w:ascii="Times New Roman" w:eastAsia="Times New Roman" w:hAnsi="Times New Roman" w:cs="Times New Roman"/>
          <w:color w:val="000000"/>
          <w:spacing w:val="0"/>
          <w:w w:val="100"/>
          <w:position w:val="0"/>
        </w:rPr>
        <w:t>1994</w:t>
      </w:r>
      <w:r>
        <w:rPr>
          <w:color w:val="000000"/>
          <w:spacing w:val="0"/>
          <w:w w:val="100"/>
          <w:position w:val="0"/>
        </w:rPr>
        <w:t>年毕业于北京大学光华管理学院，获得经济学硕士学位。曾任职于上海万国证券 公司投资银行总部项目经理、高级经理，国信证券有限责任公司投资银行总部部门总经理、内核办主任， 东莞证券有限责任公司总裁助理。现任本公司第七届董事会董事。</w:t>
      </w:r>
    </w:p>
    <w:p>
      <w:pPr>
        <w:pStyle w:val="Style35"/>
        <w:keepNext w:val="0"/>
        <w:keepLines w:val="0"/>
        <w:widowControl w:val="0"/>
        <w:shd w:val="clear" w:color="auto" w:fill="auto"/>
        <w:bidi w:val="0"/>
        <w:spacing w:before="0" w:after="100" w:line="310" w:lineRule="exact"/>
        <w:ind w:left="0" w:right="0" w:firstLine="440"/>
        <w:jc w:val="both"/>
      </w:pPr>
      <w:r>
        <w:rPr>
          <w:b/>
          <w:bCs/>
          <w:color w:val="000000"/>
          <w:spacing w:val="0"/>
          <w:w w:val="100"/>
          <w:position w:val="0"/>
        </w:rPr>
        <w:t>赖德源</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年，中华人民共和国香港特别行政区居民，本科学历，毕业于香港理工学院 电子工程系。先后就职于香港地下铁路有限公司、香港国辉电脑有限公司，</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月先后 担任富达自动化管理系统（上海）有限公司（该公司为</w:t>
      </w:r>
      <w:r>
        <w:rPr>
          <w:rFonts w:ascii="Times New Roman" w:eastAsia="Times New Roman" w:hAnsi="Times New Roman" w:cs="Times New Roman"/>
          <w:color w:val="000000"/>
          <w:spacing w:val="0"/>
          <w:w w:val="100"/>
          <w:position w:val="0"/>
        </w:rPr>
        <w:t>MICROS</w:t>
      </w:r>
      <w:r>
        <w:rPr>
          <w:color w:val="000000"/>
          <w:spacing w:val="0"/>
          <w:w w:val="100"/>
          <w:position w:val="0"/>
        </w:rPr>
        <w:t>在中国设立的全资子公司）董事总经理、 香港</w:t>
      </w:r>
      <w:r>
        <w:rPr>
          <w:rFonts w:ascii="Times New Roman" w:eastAsia="Times New Roman" w:hAnsi="Times New Roman" w:cs="Times New Roman"/>
          <w:color w:val="000000"/>
          <w:spacing w:val="0"/>
          <w:w w:val="100"/>
          <w:position w:val="0"/>
        </w:rPr>
        <w:t>MOVIELINK</w:t>
      </w:r>
      <w:r>
        <w:rPr>
          <w:color w:val="000000"/>
          <w:spacing w:val="0"/>
          <w:w w:val="100"/>
          <w:position w:val="0"/>
        </w:rPr>
        <w:t>公司总经理。现任本公司第七届董事会董事、公司副总裁、财务总监。</w:t>
      </w:r>
    </w:p>
    <w:p>
      <w:pPr>
        <w:pStyle w:val="Style35"/>
        <w:keepNext w:val="0"/>
        <w:keepLines w:val="0"/>
        <w:widowControl w:val="0"/>
        <w:shd w:val="clear" w:color="auto" w:fill="auto"/>
        <w:bidi w:val="0"/>
        <w:spacing w:before="0" w:after="100" w:line="317" w:lineRule="exact"/>
        <w:ind w:left="0" w:right="0" w:firstLine="440"/>
        <w:jc w:val="both"/>
      </w:pPr>
      <w:r>
        <w:rPr>
          <w:b/>
          <w:bCs/>
          <w:color w:val="000000"/>
          <w:spacing w:val="0"/>
          <w:w w:val="100"/>
          <w:position w:val="0"/>
        </w:rPr>
        <w:t>庄卓然</w:t>
      </w:r>
      <w:r>
        <w:rPr>
          <w:color w:val="000000"/>
          <w:spacing w:val="0"/>
          <w:w w:val="100"/>
          <w:position w:val="0"/>
        </w:rPr>
        <w:t>：男，</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年出生，中国国籍，毕业于北京化工大学，于</w:t>
      </w:r>
      <w:r>
        <w:rPr>
          <w:rFonts w:ascii="Times New Roman" w:eastAsia="Times New Roman" w:hAnsi="Times New Roman" w:cs="Times New Roman"/>
          <w:color w:val="000000"/>
          <w:spacing w:val="0"/>
          <w:w w:val="100"/>
          <w:position w:val="0"/>
        </w:rPr>
        <w:t>2009</w:t>
      </w:r>
      <w:r>
        <w:rPr>
          <w:color w:val="000000"/>
          <w:spacing w:val="0"/>
          <w:w w:val="100"/>
          <w:position w:val="0"/>
        </w:rPr>
        <w:t>年加入阿里巴巴集团，历任淘宝 首席架构师、天猫技术总监、手机淘宝资深总监、阿里大文娱事业群</w:t>
      </w:r>
      <w:r>
        <w:rPr>
          <w:rFonts w:ascii="Times New Roman" w:eastAsia="Times New Roman" w:hAnsi="Times New Roman" w:cs="Times New Roman"/>
          <w:color w:val="000000"/>
          <w:spacing w:val="0"/>
          <w:w w:val="100"/>
          <w:position w:val="0"/>
        </w:rPr>
        <w:t>COO</w:t>
      </w:r>
      <w:r>
        <w:rPr>
          <w:color w:val="000000"/>
          <w:spacing w:val="0"/>
          <w:w w:val="100"/>
          <w:position w:val="0"/>
        </w:rPr>
        <w:t>兼</w:t>
      </w:r>
      <w:r>
        <w:rPr>
          <w:rFonts w:ascii="Times New Roman" w:eastAsia="Times New Roman" w:hAnsi="Times New Roman" w:cs="Times New Roman"/>
          <w:color w:val="000000"/>
          <w:spacing w:val="0"/>
          <w:w w:val="100"/>
          <w:position w:val="0"/>
        </w:rPr>
        <w:t>CTO</w:t>
      </w:r>
      <w:r>
        <w:rPr>
          <w:color w:val="000000"/>
          <w:spacing w:val="0"/>
          <w:w w:val="100"/>
          <w:position w:val="0"/>
        </w:rPr>
        <w:t>、</w:t>
      </w:r>
      <w:r>
        <w:rPr>
          <w:color w:val="000000"/>
          <w:spacing w:val="0"/>
          <w:w w:val="100"/>
          <w:position w:val="0"/>
        </w:rPr>
        <w:t>飞猪事业群总裁，现任 阿里巴巴集团副总裁，兼飞猪事业群总裁，全面领导阿里巴巴旅游板块的业务。现任本公司第七届董事会 董事。</w:t>
      </w:r>
    </w:p>
    <w:p>
      <w:pPr>
        <w:pStyle w:val="Style35"/>
        <w:keepNext w:val="0"/>
        <w:keepLines w:val="0"/>
        <w:widowControl w:val="0"/>
        <w:shd w:val="clear" w:color="auto" w:fill="auto"/>
        <w:bidi w:val="0"/>
        <w:spacing w:before="0" w:after="100" w:line="314" w:lineRule="exact"/>
        <w:ind w:left="0" w:right="0" w:firstLine="440"/>
        <w:jc w:val="both"/>
      </w:pPr>
      <w:r>
        <w:rPr>
          <w:b/>
          <w:bCs/>
          <w:color w:val="000000"/>
          <w:spacing w:val="0"/>
          <w:w w:val="100"/>
          <w:position w:val="0"/>
        </w:rPr>
        <w:t>叶金福：</w:t>
      </w:r>
      <w:r>
        <w:rPr>
          <w:color w:val="000000"/>
          <w:spacing w:val="0"/>
          <w:w w:val="100"/>
          <w:position w:val="0"/>
        </w:rPr>
        <w:t>男，出生于</w:t>
      </w:r>
      <w:r>
        <w:rPr>
          <w:rFonts w:ascii="Times New Roman" w:eastAsia="Times New Roman" w:hAnsi="Times New Roman" w:cs="Times New Roman"/>
          <w:color w:val="000000"/>
          <w:spacing w:val="0"/>
          <w:w w:val="100"/>
          <w:position w:val="0"/>
        </w:rPr>
        <w:t>1975</w:t>
      </w:r>
      <w:r>
        <w:rPr>
          <w:color w:val="000000"/>
          <w:spacing w:val="0"/>
          <w:w w:val="100"/>
          <w:position w:val="0"/>
        </w:rPr>
        <w:t>年，中国公民，毕业于厦门大学，后毕业于中央财经大学，会计硕士，中国 注册会计师、中国注册资产评估师。曾先后就职于聊城大学、天健光华会计师事务所、天健正信会计师事 务所，</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月至今，在大华会计师事务所任职，合伙人。同时任北京数字政通科技股份有限公司独立 董事、利亚德光电股份有限公司独立董事、首创证券有限责任公司（未上市）独立董事、本公司第七届董 事会独立董事。</w:t>
      </w:r>
    </w:p>
    <w:p>
      <w:pPr>
        <w:pStyle w:val="Style35"/>
        <w:keepNext w:val="0"/>
        <w:keepLines w:val="0"/>
        <w:widowControl w:val="0"/>
        <w:shd w:val="clear" w:color="auto" w:fill="auto"/>
        <w:bidi w:val="0"/>
        <w:spacing w:before="0" w:after="120" w:line="314" w:lineRule="exact"/>
        <w:ind w:left="0" w:right="0" w:firstLine="440"/>
        <w:jc w:val="both"/>
      </w:pPr>
      <w:r>
        <w:rPr>
          <w:b/>
          <w:bCs/>
          <w:color w:val="000000"/>
          <w:spacing w:val="0"/>
          <w:w w:val="100"/>
          <w:position w:val="0"/>
        </w:rPr>
        <w:t>刘剑锋：</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年出生，中国公民，无境外永久居留权。研究生学历，澳大利亚新南威尔士大学金 融专业商学硕士，合肥工业大学工学学士，高级会计师、美国注册金融分析师</w:t>
      </w:r>
      <w:r>
        <w:rPr>
          <w:rFonts w:ascii="Times New Roman" w:eastAsia="Times New Roman" w:hAnsi="Times New Roman" w:cs="Times New Roman"/>
          <w:color w:val="000000"/>
          <w:spacing w:val="0"/>
          <w:w w:val="100"/>
          <w:position w:val="0"/>
        </w:rPr>
        <w:t>（CFA</w:t>
      </w:r>
      <w:r>
        <w:rPr>
          <w:color w:val="000000"/>
          <w:spacing w:val="0"/>
          <w:w w:val="100"/>
          <w:position w:val="0"/>
        </w:rPr>
        <w:t>）。</w:t>
      </w:r>
      <w:r>
        <w:rPr>
          <w:color w:val="000000"/>
          <w:spacing w:val="0"/>
          <w:w w:val="100"/>
          <w:position w:val="0"/>
        </w:rPr>
        <w:t>曾任北电网络</w:t>
      </w:r>
      <w:r>
        <w:rPr>
          <w:rFonts w:ascii="Times New Roman" w:eastAsia="Times New Roman" w:hAnsi="Times New Roman" w:cs="Times New Roman"/>
          <w:color w:val="000000"/>
          <w:spacing w:val="0"/>
          <w:w w:val="100"/>
          <w:position w:val="0"/>
        </w:rPr>
        <w:t>（Nortel</w:t>
      </w:r>
      <w:r>
        <w:rPr>
          <w:color w:val="000000"/>
          <w:spacing w:val="0"/>
          <w:w w:val="100"/>
          <w:position w:val="0"/>
        </w:rPr>
        <w:t xml:space="preserve">） </w:t>
      </w:r>
      <w:r>
        <w:rPr>
          <w:color w:val="000000"/>
          <w:spacing w:val="0"/>
          <w:w w:val="100"/>
          <w:position w:val="0"/>
        </w:rPr>
        <w:t xml:space="preserve">通讯工程有限公司财务总监，沈阳北电通信有限公司财务总监，迪成信息技术有限公司财务经理。现任上 </w:t>
      </w:r>
      <w:r>
        <w:rPr>
          <w:color w:val="000000"/>
          <w:spacing w:val="0"/>
          <w:w w:val="100"/>
          <w:position w:val="0"/>
        </w:rPr>
        <w:t>海科惠价值投资管理有限公司总经理，索通发展股份有限公司（</w:t>
      </w:r>
      <w:r>
        <w:rPr>
          <w:rFonts w:ascii="Times New Roman" w:eastAsia="Times New Roman" w:hAnsi="Times New Roman" w:cs="Times New Roman"/>
          <w:color w:val="000000"/>
          <w:spacing w:val="0"/>
          <w:w w:val="100"/>
          <w:position w:val="0"/>
        </w:rPr>
        <w:t>603612</w:t>
      </w:r>
      <w:r>
        <w:rPr>
          <w:color w:val="000000"/>
          <w:spacing w:val="0"/>
          <w:w w:val="100"/>
          <w:position w:val="0"/>
        </w:rPr>
        <w:t>）监事，伟本智能机电（上海）股 份有限公司独立董事、亚龙星叶投资发展有限公司监事，三亚椰风居餐饮有限责任公司法人代表及执行董 事，南通永琦家居有限公司副董事长，本公司第七届董事会独立董事。</w:t>
      </w:r>
    </w:p>
    <w:p>
      <w:pPr>
        <w:pStyle w:val="Style35"/>
        <w:keepNext w:val="0"/>
        <w:keepLines w:val="0"/>
        <w:widowControl w:val="0"/>
        <w:shd w:val="clear" w:color="auto" w:fill="auto"/>
        <w:bidi w:val="0"/>
        <w:spacing w:before="0" w:after="120" w:line="317" w:lineRule="exact"/>
        <w:ind w:left="0" w:right="0" w:firstLine="440"/>
        <w:jc w:val="both"/>
      </w:pPr>
      <w:r>
        <w:rPr>
          <w:b/>
          <w:bCs/>
          <w:color w:val="000000"/>
          <w:spacing w:val="0"/>
          <w:w w:val="100"/>
          <w:position w:val="0"/>
        </w:rPr>
        <w:t>陶涛：</w:t>
      </w:r>
      <w:r>
        <w:rPr>
          <w:color w:val="000000"/>
          <w:spacing w:val="0"/>
          <w:w w:val="100"/>
          <w:position w:val="0"/>
        </w:rPr>
        <w:t>陶涛：女，出生于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年，中国公民。毕业于北京大学经济学院，先后获经济学学士、硕士、 博士学位。博士毕业后一直任职于北京大学，现任北京大学经济学院教授，从事国际贸易、国际投资相关 领域的研究和教学，本公司第七届董事会独立董事。</w:t>
      </w:r>
    </w:p>
    <w:p>
      <w:pPr>
        <w:pStyle w:val="Style32"/>
        <w:keepNext/>
        <w:keepLines/>
        <w:widowControl w:val="0"/>
        <w:shd w:val="clear" w:color="auto" w:fill="auto"/>
        <w:tabs>
          <w:tab w:pos="978" w:val="left"/>
        </w:tabs>
        <w:bidi w:val="0"/>
        <w:spacing w:before="0" w:after="120" w:line="315" w:lineRule="exact"/>
        <w:ind w:left="0" w:right="0" w:firstLine="440"/>
        <w:jc w:val="both"/>
      </w:pPr>
      <w:bookmarkStart w:id="695" w:name="bookmark695"/>
      <w:bookmarkStart w:id="696" w:name="bookmark696"/>
      <w:bookmarkStart w:id="697" w:name="bookmark697"/>
      <w:bookmarkStart w:id="698" w:name="bookmark698"/>
      <w:r>
        <w:rPr>
          <w:color w:val="000000"/>
          <w:spacing w:val="0"/>
          <w:w w:val="100"/>
          <w:position w:val="0"/>
        </w:rPr>
        <w:t>（</w:t>
      </w:r>
      <w:bookmarkEnd w:id="697"/>
      <w:r>
        <w:rPr>
          <w:color w:val="000000"/>
          <w:spacing w:val="0"/>
          <w:w w:val="100"/>
          <w:position w:val="0"/>
        </w:rPr>
        <w:t>二）</w:t>
        <w:tab/>
        <w:t>监事</w:t>
      </w:r>
      <w:bookmarkEnd w:id="695"/>
      <w:bookmarkEnd w:id="696"/>
      <w:bookmarkEnd w:id="698"/>
    </w:p>
    <w:p>
      <w:pPr>
        <w:pStyle w:val="Style35"/>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郭明：</w:t>
      </w:r>
      <w:r>
        <w:rPr>
          <w:color w:val="000000"/>
          <w:spacing w:val="0"/>
          <w:w w:val="100"/>
          <w:position w:val="0"/>
        </w:rPr>
        <w:t>男，出生于</w:t>
      </w:r>
      <w:r>
        <w:rPr>
          <w:rFonts w:ascii="Times New Roman" w:eastAsia="Times New Roman" w:hAnsi="Times New Roman" w:cs="Times New Roman"/>
          <w:color w:val="000000"/>
          <w:spacing w:val="0"/>
          <w:w w:val="100"/>
          <w:position w:val="0"/>
        </w:rPr>
        <w:t>1956</w:t>
      </w:r>
      <w:r>
        <w:rPr>
          <w:color w:val="000000"/>
          <w:spacing w:val="0"/>
          <w:w w:val="100"/>
          <w:position w:val="0"/>
        </w:rPr>
        <w:t>年，经济师，大专学历，毕业于长春职工大学。</w:t>
      </w:r>
      <w:r>
        <w:rPr>
          <w:rFonts w:ascii="Times New Roman" w:eastAsia="Times New Roman" w:hAnsi="Times New Roman" w:cs="Times New Roman"/>
          <w:color w:val="000000"/>
          <w:spacing w:val="0"/>
          <w:w w:val="100"/>
          <w:position w:val="0"/>
        </w:rPr>
        <w:t>1977</w:t>
      </w:r>
      <w:r>
        <w:rPr>
          <w:color w:val="000000"/>
          <w:spacing w:val="0"/>
          <w:w w:val="100"/>
          <w:position w:val="0"/>
        </w:rPr>
        <w:t>年起先后任职于长春市电 车公司、长春市公共交通总公司、长春市煤气公司东郊煤气厂。自</w:t>
      </w:r>
      <w:r>
        <w:rPr>
          <w:rFonts w:ascii="Times New Roman" w:eastAsia="Times New Roman" w:hAnsi="Times New Roman" w:cs="Times New Roman"/>
          <w:color w:val="000000"/>
          <w:spacing w:val="0"/>
          <w:w w:val="100"/>
          <w:position w:val="0"/>
        </w:rPr>
        <w:t>1993</w:t>
      </w:r>
      <w:r>
        <w:rPr>
          <w:color w:val="000000"/>
          <w:spacing w:val="0"/>
          <w:w w:val="100"/>
          <w:position w:val="0"/>
        </w:rPr>
        <w:t>年起先后参与长春振兴实业股份有 限公司、长春康达医疗器械股份有限公司的股份制改造及上市工作，曾任董事会秘书、总经济师；</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年起任长春燃气股份有限公司董事、证券投资部经理，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月历任本公司董事、副总经 理、董事会秘书，现任本公司第七届监事会监事主席。</w:t>
      </w:r>
    </w:p>
    <w:p>
      <w:pPr>
        <w:pStyle w:val="Style35"/>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张广杰：</w:t>
      </w:r>
      <w:r>
        <w:rPr>
          <w:color w:val="000000"/>
          <w:spacing w:val="0"/>
          <w:w w:val="100"/>
          <w:position w:val="0"/>
        </w:rPr>
        <w:t>男，出生于</w:t>
      </w:r>
      <w:r>
        <w:rPr>
          <w:rFonts w:ascii="Times New Roman" w:eastAsia="Times New Roman" w:hAnsi="Times New Roman" w:cs="Times New Roman"/>
          <w:color w:val="000000"/>
          <w:spacing w:val="0"/>
          <w:w w:val="100"/>
          <w:position w:val="0"/>
        </w:rPr>
        <w:t>I960</w:t>
      </w:r>
      <w:r>
        <w:rPr>
          <w:color w:val="000000"/>
          <w:spacing w:val="0"/>
          <w:w w:val="100"/>
          <w:position w:val="0"/>
        </w:rPr>
        <w:t>年，毕业于首都师范大学数学系，先后就职于航天工业部第二研究院二零七 所、北京香格里拉大饭店，任助理工程师、电脑部经理。自</w:t>
      </w:r>
      <w:r>
        <w:rPr>
          <w:rFonts w:ascii="Times New Roman" w:eastAsia="Times New Roman" w:hAnsi="Times New Roman" w:cs="Times New Roman"/>
          <w:color w:val="000000"/>
          <w:spacing w:val="0"/>
          <w:w w:val="100"/>
          <w:position w:val="0"/>
        </w:rPr>
        <w:t>2001</w:t>
      </w:r>
      <w:r>
        <w:rPr>
          <w:color w:val="000000"/>
          <w:spacing w:val="0"/>
          <w:w w:val="100"/>
          <w:position w:val="0"/>
        </w:rPr>
        <w:t>年起在公司就职，现任本公司第七届监事 会监事。</w:t>
      </w:r>
    </w:p>
    <w:p>
      <w:pPr>
        <w:pStyle w:val="Style35"/>
        <w:keepNext w:val="0"/>
        <w:keepLines w:val="0"/>
        <w:widowControl w:val="0"/>
        <w:shd w:val="clear" w:color="auto" w:fill="auto"/>
        <w:bidi w:val="0"/>
        <w:spacing w:before="0" w:after="120" w:line="315" w:lineRule="exact"/>
        <w:ind w:left="0" w:right="0" w:firstLine="440"/>
        <w:jc w:val="both"/>
      </w:pPr>
      <w:r>
        <w:rPr>
          <w:b/>
          <w:bCs/>
          <w:color w:val="000000"/>
          <w:spacing w:val="0"/>
          <w:w w:val="100"/>
          <w:position w:val="0"/>
        </w:rPr>
        <w:t>王淑杰</w:t>
      </w:r>
      <w:r>
        <w:rPr>
          <w:color w:val="000000"/>
          <w:spacing w:val="0"/>
          <w:w w:val="100"/>
          <w:position w:val="0"/>
        </w:rPr>
        <w:t>：女，出生于</w:t>
      </w:r>
      <w:r>
        <w:rPr>
          <w:rFonts w:ascii="Times New Roman" w:eastAsia="Times New Roman" w:hAnsi="Times New Roman" w:cs="Times New Roman"/>
          <w:color w:val="000000"/>
          <w:spacing w:val="0"/>
          <w:w w:val="100"/>
          <w:position w:val="0"/>
        </w:rPr>
        <w:t>1968</w:t>
      </w:r>
      <w:r>
        <w:rPr>
          <w:color w:val="000000"/>
          <w:spacing w:val="0"/>
          <w:w w:val="100"/>
          <w:position w:val="0"/>
        </w:rPr>
        <w:t>年，硕士学位，</w:t>
      </w:r>
      <w:r>
        <w:rPr>
          <w:rFonts w:ascii="Times New Roman" w:eastAsia="Times New Roman" w:hAnsi="Times New Roman" w:cs="Times New Roman"/>
          <w:color w:val="000000"/>
          <w:spacing w:val="0"/>
          <w:w w:val="100"/>
          <w:position w:val="0"/>
        </w:rPr>
        <w:t>1991</w:t>
      </w:r>
      <w:r>
        <w:rPr>
          <w:color w:val="000000"/>
          <w:spacing w:val="0"/>
          <w:w w:val="100"/>
          <w:position w:val="0"/>
        </w:rPr>
        <w:t xml:space="preserve">年毕业于北京航空航天大学机械制造专业，获学士学位。 </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年在中国航天工业总公司第二研究院从事机械设计工作，</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年工作于北京商品交 易所，</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年在首都经济贸易大学经济系研究生班学习并毕业，自</w:t>
      </w:r>
      <w:r>
        <w:rPr>
          <w:rFonts w:ascii="Times New Roman" w:eastAsia="Times New Roman" w:hAnsi="Times New Roman" w:cs="Times New Roman"/>
          <w:color w:val="000000"/>
          <w:spacing w:val="0"/>
          <w:w w:val="100"/>
          <w:position w:val="0"/>
        </w:rPr>
        <w:t>1998</w:t>
      </w:r>
      <w:r>
        <w:rPr>
          <w:color w:val="000000"/>
          <w:spacing w:val="0"/>
          <w:w w:val="100"/>
          <w:position w:val="0"/>
        </w:rPr>
        <w:t>年起就职于本公司，从事 客户服务工作，现任本公司第七届监事会职工监事。</w:t>
      </w:r>
    </w:p>
    <w:p>
      <w:pPr>
        <w:pStyle w:val="Style32"/>
        <w:keepNext/>
        <w:keepLines/>
        <w:widowControl w:val="0"/>
        <w:shd w:val="clear" w:color="auto" w:fill="auto"/>
        <w:tabs>
          <w:tab w:pos="978" w:val="left"/>
        </w:tabs>
        <w:bidi w:val="0"/>
        <w:spacing w:before="0" w:after="120" w:line="315" w:lineRule="exact"/>
        <w:ind w:left="0" w:right="0" w:firstLine="440"/>
        <w:jc w:val="both"/>
      </w:pPr>
      <w:bookmarkStart w:id="699" w:name="bookmark699"/>
      <w:bookmarkStart w:id="700" w:name="bookmark700"/>
      <w:bookmarkStart w:id="701" w:name="bookmark701"/>
      <w:bookmarkStart w:id="702" w:name="bookmark702"/>
      <w:r>
        <w:rPr>
          <w:color w:val="000000"/>
          <w:spacing w:val="0"/>
          <w:w w:val="100"/>
          <w:position w:val="0"/>
        </w:rPr>
        <w:t>（</w:t>
      </w:r>
      <w:bookmarkEnd w:id="701"/>
      <w:r>
        <w:rPr>
          <w:color w:val="000000"/>
          <w:spacing w:val="0"/>
          <w:w w:val="100"/>
          <w:position w:val="0"/>
        </w:rPr>
        <w:t>三）</w:t>
        <w:tab/>
        <w:t>高级管理人员</w:t>
      </w:r>
      <w:bookmarkEnd w:id="699"/>
      <w:bookmarkEnd w:id="700"/>
      <w:bookmarkEnd w:id="702"/>
    </w:p>
    <w:p>
      <w:pPr>
        <w:pStyle w:val="Style35"/>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李仲初</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年，中国公民，工学硕士，工程师，本公司创始人及控股股东。</w:t>
      </w:r>
      <w:r>
        <w:rPr>
          <w:rFonts w:ascii="Times New Roman" w:eastAsia="Times New Roman" w:hAnsi="Times New Roman" w:cs="Times New Roman"/>
          <w:color w:val="000000"/>
          <w:spacing w:val="0"/>
          <w:w w:val="100"/>
          <w:position w:val="0"/>
        </w:rPr>
        <w:t>1984</w:t>
      </w:r>
      <w:r>
        <w:rPr>
          <w:color w:val="000000"/>
          <w:spacing w:val="0"/>
          <w:w w:val="100"/>
          <w:position w:val="0"/>
        </w:rPr>
        <w:t>年毕业 于武汉大学空间物理系，获得理学学士学位，</w:t>
      </w:r>
      <w:r>
        <w:rPr>
          <w:rFonts w:ascii="Times New Roman" w:eastAsia="Times New Roman" w:hAnsi="Times New Roman" w:cs="Times New Roman"/>
          <w:color w:val="000000"/>
          <w:spacing w:val="0"/>
          <w:w w:val="100"/>
          <w:position w:val="0"/>
        </w:rPr>
        <w:t>1987</w:t>
      </w:r>
      <w:r>
        <w:rPr>
          <w:color w:val="000000"/>
          <w:spacing w:val="0"/>
          <w:w w:val="100"/>
          <w:position w:val="0"/>
        </w:rPr>
        <w:t>年获得原国家航天部第二研究院工学硕士学位，曾任职 于航天部某研究所。离职后于</w:t>
      </w:r>
      <w:r>
        <w:rPr>
          <w:rFonts w:ascii="Times New Roman" w:eastAsia="Times New Roman" w:hAnsi="Times New Roman" w:cs="Times New Roman"/>
          <w:color w:val="000000"/>
          <w:spacing w:val="0"/>
          <w:w w:val="100"/>
          <w:position w:val="0"/>
        </w:rPr>
        <w:t>1998</w:t>
      </w:r>
      <w:r>
        <w:rPr>
          <w:color w:val="000000"/>
          <w:spacing w:val="0"/>
          <w:w w:val="100"/>
          <w:position w:val="0"/>
        </w:rPr>
        <w:t>年创立本公司并作为本公司的创始人、经营者持续至今，现任本公司第 七届董事会董事、董事长兼总裁。</w:t>
      </w:r>
    </w:p>
    <w:p>
      <w:pPr>
        <w:pStyle w:val="Style35"/>
        <w:keepNext w:val="0"/>
        <w:keepLines w:val="0"/>
        <w:widowControl w:val="0"/>
        <w:shd w:val="clear" w:color="auto" w:fill="auto"/>
        <w:bidi w:val="0"/>
        <w:spacing w:before="0" w:after="120" w:line="317" w:lineRule="exact"/>
        <w:ind w:left="0" w:right="0" w:firstLine="440"/>
        <w:jc w:val="both"/>
      </w:pPr>
      <w:r>
        <w:rPr>
          <w:rFonts w:ascii="Times New Roman" w:eastAsia="Times New Roman" w:hAnsi="Times New Roman" w:cs="Times New Roman"/>
          <w:b/>
          <w:bCs/>
          <w:color w:val="000000"/>
          <w:spacing w:val="0"/>
          <w:w w:val="100"/>
          <w:position w:val="0"/>
        </w:rPr>
        <w:t>Kevin Patrick King</w:t>
      </w:r>
      <w:r>
        <w:rPr>
          <w:b/>
          <w:bCs/>
          <w:color w:val="000000"/>
          <w:spacing w:val="0"/>
          <w:w w:val="100"/>
          <w:position w:val="0"/>
        </w:rPr>
        <w:t>：</w:t>
      </w:r>
      <w:r>
        <w:rPr>
          <w:color w:val="000000"/>
          <w:spacing w:val="0"/>
          <w:w w:val="100"/>
          <w:position w:val="0"/>
        </w:rPr>
        <w:t>中文名：金凯文，男，出生于</w:t>
      </w:r>
      <w:r>
        <w:rPr>
          <w:rFonts w:ascii="Times New Roman" w:eastAsia="Times New Roman" w:hAnsi="Times New Roman" w:cs="Times New Roman"/>
          <w:color w:val="000000"/>
          <w:spacing w:val="0"/>
          <w:w w:val="100"/>
          <w:position w:val="0"/>
        </w:rPr>
        <w:t>1962</w:t>
      </w:r>
      <w:r>
        <w:rPr>
          <w:color w:val="000000"/>
          <w:spacing w:val="0"/>
          <w:w w:val="100"/>
          <w:position w:val="0"/>
        </w:rPr>
        <w:t>年，国籍：澳大利亚，曾任职于</w:t>
      </w:r>
      <w:r>
        <w:rPr>
          <w:rFonts w:ascii="Times New Roman" w:eastAsia="Times New Roman" w:hAnsi="Times New Roman" w:cs="Times New Roman"/>
          <w:color w:val="000000"/>
          <w:spacing w:val="0"/>
          <w:w w:val="100"/>
          <w:position w:val="0"/>
        </w:rPr>
        <w:t>MICROS</w:t>
      </w:r>
      <w:r>
        <w:rPr>
          <w:color w:val="000000"/>
          <w:spacing w:val="0"/>
          <w:w w:val="100"/>
          <w:position w:val="0"/>
        </w:rPr>
        <w:t>公司 亚太区副总裁以及日本公司董事总经理并担任其中国公司和日本公司的法定代表人，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日至今 担任公司首席运营官。</w:t>
      </w:r>
    </w:p>
    <w:p>
      <w:pPr>
        <w:pStyle w:val="Style35"/>
        <w:keepNext w:val="0"/>
        <w:keepLines w:val="0"/>
        <w:widowControl w:val="0"/>
        <w:shd w:val="clear" w:color="auto" w:fill="auto"/>
        <w:bidi w:val="0"/>
        <w:spacing w:before="0" w:after="120" w:line="310" w:lineRule="exact"/>
        <w:ind w:left="0" w:right="0" w:firstLine="440"/>
        <w:jc w:val="both"/>
      </w:pPr>
      <w:r>
        <w:rPr>
          <w:b/>
          <w:bCs/>
          <w:color w:val="000000"/>
          <w:spacing w:val="0"/>
          <w:w w:val="100"/>
          <w:position w:val="0"/>
        </w:rPr>
        <w:t>赖德源</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年，中华人民共和国香港特别行政区居民，本科学历，毕业于香港理工学院 电子工程系。先后就职于香港地下铁路有限公司、香港国辉电脑有限公司，</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月先后 担任富达自动化管理系统（上海）有限公司（该公司为</w:t>
      </w:r>
      <w:r>
        <w:rPr>
          <w:rFonts w:ascii="Times New Roman" w:eastAsia="Times New Roman" w:hAnsi="Times New Roman" w:cs="Times New Roman"/>
          <w:color w:val="000000"/>
          <w:spacing w:val="0"/>
          <w:w w:val="100"/>
          <w:position w:val="0"/>
        </w:rPr>
        <w:t>MICROS</w:t>
      </w:r>
      <w:r>
        <w:rPr>
          <w:color w:val="000000"/>
          <w:spacing w:val="0"/>
          <w:w w:val="100"/>
          <w:position w:val="0"/>
        </w:rPr>
        <w:t>在中国设立的全资子公司）董事总经理、 香港</w:t>
      </w:r>
      <w:r>
        <w:rPr>
          <w:rFonts w:ascii="Times New Roman" w:eastAsia="Times New Roman" w:hAnsi="Times New Roman" w:cs="Times New Roman"/>
          <w:color w:val="000000"/>
          <w:spacing w:val="0"/>
          <w:w w:val="100"/>
          <w:position w:val="0"/>
        </w:rPr>
        <w:t>MOVIELINK</w:t>
      </w:r>
      <w:r>
        <w:rPr>
          <w:color w:val="000000"/>
          <w:spacing w:val="0"/>
          <w:w w:val="100"/>
          <w:position w:val="0"/>
        </w:rPr>
        <w:t>公司总经理。现任本公司第七届董事会董事、公司副总裁、财务总监。</w:t>
      </w:r>
    </w:p>
    <w:p>
      <w:pPr>
        <w:pStyle w:val="Style35"/>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关东玉</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年，中国公民，学士学位，毕业于国防科技大学电子技术系。</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-1988 </w:t>
      </w:r>
      <w:r>
        <w:rPr>
          <w:color w:val="000000"/>
          <w:spacing w:val="0"/>
          <w:w w:val="100"/>
          <w:position w:val="0"/>
        </w:rPr>
        <w:t>年任职于空军科研部某研究所，</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年期间先后任北京丽都假日酒店电脑部工程师、香港锦标公 司工程师及中国区经理、香港鑫宇公司中国区经理。</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年任香港现化电脑系统有限公司中国区 副总经理、香港现化电脑系统有限公司北京代表处首席代表，</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月任现化电脑系统（北京） 有限公司副总裁，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月至今担任公司副总裁。</w:t>
      </w:r>
    </w:p>
    <w:p>
      <w:pPr>
        <w:pStyle w:val="Style35"/>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王敏敏</w:t>
      </w:r>
      <w:r>
        <w:rPr>
          <w:color w:val="000000"/>
          <w:spacing w:val="0"/>
          <w:w w:val="100"/>
          <w:position w:val="0"/>
        </w:rPr>
        <w:t>，女，出生于</w:t>
      </w:r>
      <w:r>
        <w:rPr>
          <w:rFonts w:ascii="Times New Roman" w:eastAsia="Times New Roman" w:hAnsi="Times New Roman" w:cs="Times New Roman"/>
          <w:color w:val="000000"/>
          <w:spacing w:val="0"/>
          <w:w w:val="100"/>
          <w:position w:val="0"/>
        </w:rPr>
        <w:t>1962</w:t>
      </w:r>
      <w:r>
        <w:rPr>
          <w:color w:val="000000"/>
          <w:spacing w:val="0"/>
          <w:w w:val="100"/>
          <w:position w:val="0"/>
        </w:rPr>
        <w:t>年，中国公民，学士学位，</w:t>
      </w:r>
      <w:r>
        <w:rPr>
          <w:rFonts w:ascii="Times New Roman" w:eastAsia="Times New Roman" w:hAnsi="Times New Roman" w:cs="Times New Roman"/>
          <w:color w:val="000000"/>
          <w:spacing w:val="0"/>
          <w:w w:val="100"/>
          <w:position w:val="0"/>
        </w:rPr>
        <w:t>1983</w:t>
      </w:r>
      <w:r>
        <w:rPr>
          <w:color w:val="000000"/>
          <w:spacing w:val="0"/>
          <w:w w:val="100"/>
          <w:position w:val="0"/>
        </w:rPr>
        <w:t>年毕业于东北大学计算机科学系。</w:t>
      </w:r>
      <w:r>
        <w:rPr>
          <w:rFonts w:ascii="Times New Roman" w:eastAsia="Times New Roman" w:hAnsi="Times New Roman" w:cs="Times New Roman"/>
          <w:color w:val="000000"/>
          <w:spacing w:val="0"/>
          <w:w w:val="100"/>
          <w:position w:val="0"/>
        </w:rPr>
        <w:t>1983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-1997</w:t>
      </w:r>
      <w:r>
        <w:rPr>
          <w:color w:val="000000"/>
          <w:spacing w:val="0"/>
          <w:w w:val="100"/>
          <w:position w:val="0"/>
        </w:rPr>
        <w:t>年任职于浙江省计算技术研究所，</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年至今先后任杭州西软科技有限公司常务副总经理、总经理,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月至今担任本公司副总裁。</w:t>
      </w:r>
    </w:p>
    <w:p>
      <w:pPr>
        <w:pStyle w:val="Style35"/>
        <w:keepNext w:val="0"/>
        <w:keepLines w:val="0"/>
        <w:widowControl w:val="0"/>
        <w:shd w:val="clear" w:color="auto" w:fill="auto"/>
        <w:bidi w:val="0"/>
        <w:spacing w:before="0" w:after="120" w:line="312" w:lineRule="exact"/>
        <w:ind w:left="0" w:right="0" w:firstLine="440"/>
        <w:jc w:val="both"/>
        <w:rPr>
          <w:sz w:val="17"/>
          <w:szCs w:val="17"/>
        </w:rPr>
      </w:pPr>
      <w:r>
        <w:rPr>
          <w:b/>
          <w:bCs/>
          <w:color w:val="000000"/>
          <w:spacing w:val="0"/>
          <w:w w:val="100"/>
          <w:position w:val="0"/>
          <w:sz w:val="20"/>
          <w:szCs w:val="20"/>
        </w:rPr>
        <w:t>罗芳</w:t>
      </w:r>
      <w:r>
        <w:rPr>
          <w:color w:val="000000"/>
          <w:spacing w:val="0"/>
          <w:w w:val="100"/>
          <w:position w:val="0"/>
          <w:sz w:val="20"/>
          <w:szCs w:val="20"/>
        </w:rPr>
        <w:t>，女，出生于</w:t>
      </w:r>
      <w:r>
        <w:rPr>
          <w:rFonts w:ascii="Times New Roman" w:eastAsia="Times New Roman" w:hAnsi="Times New Roman" w:cs="Times New Roman"/>
          <w:color w:val="000000"/>
          <w:spacing w:val="0"/>
          <w:w w:val="100"/>
          <w:position w:val="0"/>
          <w:sz w:val="20"/>
          <w:szCs w:val="20"/>
        </w:rPr>
        <w:t>1978</w:t>
      </w:r>
      <w:r>
        <w:rPr>
          <w:color w:val="000000"/>
          <w:spacing w:val="0"/>
          <w:w w:val="100"/>
          <w:position w:val="0"/>
          <w:sz w:val="20"/>
          <w:szCs w:val="20"/>
        </w:rPr>
        <w:t>年，中国公民，理学、经济学双学士，副研究员。毕业于北京大学技术物理 系应用化学专业、北京大学中国经济研究中心经济学专业。</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月就职于中国核科技信息</w:t>
        <w:br w:type="page"/>
      </w:r>
      <w:r>
        <w:rPr>
          <w:color w:val="000000"/>
          <w:spacing w:val="0"/>
          <w:w w:val="100"/>
          <w:position w:val="0"/>
          <w:sz w:val="20"/>
          <w:szCs w:val="20"/>
        </w:rPr>
        <w:t>与经济研究院，从事核科技信息研究工作。</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月至今担任本公司副总裁、董事会秘书。 </w:t>
      </w:r>
      <w:r>
        <w:rPr>
          <w:color w:val="000000"/>
          <w:spacing w:val="0"/>
          <w:w w:val="100"/>
          <w:position w:val="0"/>
          <w:sz w:val="17"/>
          <w:szCs w:val="17"/>
        </w:rPr>
        <w:t>在股东单位任职情况</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在其他单位 担任的职务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浙江飞猪网络技术有限公司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法定代表人、 董事长、总经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叠境数字科技（上海）有限公司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杭州森堃垚信息技术有限公司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上海曼食文化传播有限公司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庄卓然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华数传媒控股股份有限公司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李殿坤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北京业勤教育科技有限公司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利亚德光电股份有限公司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首创证券有限责任公司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上海科惠价值投资管理有限公司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索通发展股份有限公司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三亚椰风居餐饮有限责任公司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亚龙星叶投资发展有限公司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南通永琦家居有限公司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刘剑锋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北京三又木文化发展有限公司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伟本智能机电（上海）股份有限公司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北京大学经济学院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四</w:t>
      </w:r>
      <w:bookmarkEnd w:id="705"/>
      <w:r>
        <w:rPr>
          <w:color w:val="000000"/>
          <w:spacing w:val="0"/>
          <w:w w:val="100"/>
          <w:position w:val="0"/>
        </w:rPr>
        <w:t>、董事、监事、高级管理人员报酬情况</w:t>
      </w:r>
      <w:bookmarkEnd w:id="703"/>
      <w:bookmarkEnd w:id="704"/>
      <w:bookmarkEnd w:id="706"/>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tabs>
          <w:tab w:pos="790" w:val="left"/>
        </w:tabs>
        <w:bidi w:val="0"/>
        <w:spacing w:before="0" w:after="0" w:line="314" w:lineRule="exact"/>
        <w:ind w:left="0" w:right="0" w:firstLine="440"/>
        <w:jc w:val="left"/>
      </w:pPr>
      <w:bookmarkStart w:id="707" w:name="bookmark707"/>
      <w:r>
        <w:rPr>
          <w:rFonts w:ascii="Times New Roman" w:eastAsia="Times New Roman" w:hAnsi="Times New Roman" w:cs="Times New Roman"/>
          <w:color w:val="000000"/>
          <w:spacing w:val="0"/>
          <w:w w:val="100"/>
          <w:position w:val="0"/>
        </w:rPr>
        <w:t>1</w:t>
      </w:r>
      <w:bookmarkEnd w:id="707"/>
      <w:r>
        <w:rPr>
          <w:color w:val="000000"/>
          <w:spacing w:val="0"/>
          <w:w w:val="100"/>
          <w:position w:val="0"/>
        </w:rPr>
        <w:t>、</w:t>
        <w:tab/>
        <w:t>董事、监事、高级管理人员报酬的决策程序：公司设立董事会薪酬委员会，负责公司董事、监事 和高级管理人员的薪酬考核工作。根据公司《董事会薪酬委员会工作细则》的规定，薪酬委员会提出公司 董事的薪酬政策、计划和方案报经董事会同意后，提交股东大会审议通过后方可实施；公司经理人员的薪 酬分配方案报经董事会批准。</w:t>
      </w:r>
    </w:p>
    <w:p>
      <w:pPr>
        <w:pStyle w:val="Style35"/>
        <w:keepNext w:val="0"/>
        <w:keepLines w:val="0"/>
        <w:widowControl w:val="0"/>
        <w:shd w:val="clear" w:color="auto" w:fill="auto"/>
        <w:tabs>
          <w:tab w:pos="776" w:val="left"/>
        </w:tabs>
        <w:bidi w:val="0"/>
        <w:spacing w:before="0" w:after="0" w:line="322" w:lineRule="exact"/>
        <w:ind w:left="0" w:right="0" w:firstLine="440"/>
        <w:jc w:val="left"/>
      </w:pPr>
      <w:bookmarkStart w:id="708" w:name="bookmark708"/>
      <w:r>
        <w:rPr>
          <w:rFonts w:ascii="Times New Roman" w:eastAsia="Times New Roman" w:hAnsi="Times New Roman" w:cs="Times New Roman"/>
          <w:color w:val="000000"/>
          <w:spacing w:val="0"/>
          <w:w w:val="100"/>
          <w:position w:val="0"/>
        </w:rPr>
        <w:t>2</w:t>
      </w:r>
      <w:bookmarkEnd w:id="708"/>
      <w:r>
        <w:rPr>
          <w:color w:val="000000"/>
          <w:spacing w:val="0"/>
          <w:w w:val="100"/>
          <w:position w:val="0"/>
        </w:rPr>
        <w:t>、</w:t>
        <w:tab/>
        <w:t>高级管理人员报酬确定依据：公司高级管理人员的报酬根据公司《高级管理人员薪酬考核制度》 的规定执行。</w:t>
      </w:r>
    </w:p>
    <w:p>
      <w:pPr>
        <w:pStyle w:val="Style35"/>
        <w:keepNext w:val="0"/>
        <w:keepLines w:val="0"/>
        <w:widowControl w:val="0"/>
        <w:shd w:val="clear" w:color="auto" w:fill="auto"/>
        <w:tabs>
          <w:tab w:pos="786" w:val="left"/>
        </w:tabs>
        <w:bidi w:val="0"/>
        <w:spacing w:before="0" w:after="500" w:line="317" w:lineRule="exact"/>
        <w:ind w:left="0" w:right="0" w:firstLine="440"/>
        <w:jc w:val="left"/>
      </w:pPr>
      <w:bookmarkStart w:id="709" w:name="bookmark709"/>
      <w:r>
        <w:rPr>
          <w:rFonts w:ascii="Times New Roman" w:eastAsia="Times New Roman" w:hAnsi="Times New Roman" w:cs="Times New Roman"/>
          <w:color w:val="000000"/>
          <w:spacing w:val="0"/>
          <w:w w:val="100"/>
          <w:position w:val="0"/>
        </w:rPr>
        <w:t>3</w:t>
      </w:r>
      <w:bookmarkEnd w:id="709"/>
      <w:r>
        <w:rPr>
          <w:color w:val="000000"/>
          <w:spacing w:val="0"/>
          <w:w w:val="100"/>
          <w:position w:val="0"/>
        </w:rPr>
        <w:t>、</w:t>
        <w:tab/>
        <w:t>董事、监事、高级管理人员报酬实际支付情况：</w:t>
      </w:r>
      <w:r>
        <w:rPr>
          <w:rFonts w:ascii="Times New Roman" w:eastAsia="Times New Roman" w:hAnsi="Times New Roman" w:cs="Times New Roman"/>
          <w:color w:val="000000"/>
          <w:spacing w:val="0"/>
          <w:w w:val="100"/>
          <w:position w:val="0"/>
        </w:rPr>
        <w:t>2020</w:t>
      </w:r>
      <w:r>
        <w:rPr>
          <w:color w:val="000000"/>
          <w:spacing w:val="0"/>
          <w:w w:val="100"/>
          <w:position w:val="0"/>
        </w:rPr>
        <w:t>年度公司实际支付董事、监事、高级管理人 员的薪酬合计为</w:t>
      </w:r>
      <w:r>
        <w:rPr>
          <w:rFonts w:ascii="Times New Roman" w:eastAsia="Times New Roman" w:hAnsi="Times New Roman" w:cs="Times New Roman"/>
          <w:color w:val="000000"/>
          <w:spacing w:val="0"/>
          <w:w w:val="100"/>
          <w:position w:val="0"/>
        </w:rPr>
        <w:t>794.24</w:t>
      </w:r>
      <w:r>
        <w:rPr>
          <w:color w:val="000000"/>
          <w:spacing w:val="0"/>
          <w:w w:val="100"/>
          <w:position w:val="0"/>
        </w:rPr>
        <w:t>万元。</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92"/>
        <w:gridCol w:w="2410"/>
        <w:gridCol w:w="850"/>
        <w:gridCol w:w="710"/>
        <w:gridCol w:w="883"/>
        <w:gridCol w:w="1368"/>
        <w:gridCol w:w="1378"/>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董事长兼总裁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赖德源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Kevin Patrick King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首席运营官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关东玉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王敏敏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副总裁兼董事会秘书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张广杰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92"/>
        <w:gridCol w:w="2410"/>
        <w:gridCol w:w="850"/>
        <w:gridCol w:w="710"/>
        <w:gridCol w:w="883"/>
        <w:gridCol w:w="1368"/>
        <w:gridCol w:w="137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王淑杰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794.24</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可行权股</w:t>
            </w:r>
          </w:p>
          <w:p>
            <w:pPr>
              <w:pStyle w:val="Style20"/>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报告期内 已行权股</w:t>
            </w:r>
          </w:p>
          <w:p>
            <w:pPr>
              <w:pStyle w:val="Style20"/>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期初持有 限制性股 票数量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本期已解</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锁股份数</w:t>
            </w:r>
          </w:p>
          <w:p>
            <w:pPr>
              <w:pStyle w:val="Style20"/>
              <w:keepNext w:val="0"/>
              <w:keepLines w:val="0"/>
              <w:widowControl w:val="0"/>
              <w:shd w:val="clear" w:color="auto" w:fill="auto"/>
              <w:bidi w:val="0"/>
              <w:spacing w:before="0" w:after="100" w:line="240" w:lineRule="auto"/>
              <w:ind w:left="0" w:right="340" w:firstLine="0"/>
              <w:jc w:val="right"/>
              <w:rPr>
                <w:sz w:val="17"/>
                <w:szCs w:val="17"/>
              </w:rPr>
            </w:pPr>
            <w:r>
              <w:rPr>
                <w:color w:val="000000"/>
                <w:spacing w:val="0"/>
                <w:w w:val="100"/>
                <w:position w:val="0"/>
                <w:sz w:val="17"/>
                <w:szCs w:val="17"/>
              </w:rPr>
              <w:t>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报告期新 授予限制 性股票数</w:t>
            </w:r>
          </w:p>
          <w:p>
            <w:pPr>
              <w:pStyle w:val="Style20"/>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期末持有 限制性股 票数量</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Kevin</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Patrick</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首席运营</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赖德源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董事、副总 裁、财务总 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关东玉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王敏敏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副总裁兼 董事会秘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345,000</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备注（如有）</w:t>
            </w:r>
          </w:p>
        </w:tc>
        <w:tc>
          <w:tcPr>
            <w:gridSpan w:val="9"/>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本报告期内，董事、高级管理人员股权激励行权后锁定</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股份；本报告期内，公司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年股权激 励计划第三个行权期不满足行权条件，剩余股份已经完成注销。</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五</w:t>
      </w:r>
      <w:bookmarkEnd w:id="712"/>
      <w:r>
        <w:rPr>
          <w:color w:val="000000"/>
          <w:spacing w:val="0"/>
          <w:w w:val="100"/>
          <w:position w:val="0"/>
        </w:rPr>
        <w:t>、公司员工情况</w:t>
      </w:r>
      <w:bookmarkEnd w:id="710"/>
      <w:bookmarkEnd w:id="711"/>
      <w:bookmarkEnd w:id="713"/>
    </w:p>
    <w:p>
      <w:pPr>
        <w:pStyle w:val="Style32"/>
        <w:keepNext/>
        <w:keepLines/>
        <w:widowControl w:val="0"/>
        <w:shd w:val="clear" w:color="auto" w:fill="auto"/>
        <w:bidi w:val="0"/>
        <w:spacing w:before="0" w:after="32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、员工数量、专业构成及教育程度</w:t>
      </w:r>
      <w:bookmarkEnd w:id="714"/>
      <w:bookmarkEnd w:id="715"/>
      <w:bookmarkEnd w:id="71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534</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4,757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5,291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5,291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623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1,618</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2,148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5,291</w:t>
            </w:r>
          </w:p>
        </w:tc>
      </w:tr>
      <w:tr>
        <w:trPr>
          <w:trHeight w:val="403" w:hRule="exact"/>
        </w:trPr>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2,771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1,712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中专及以下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5,291</w:t>
            </w:r>
          </w:p>
        </w:tc>
      </w:tr>
    </w:tbl>
    <w:p>
      <w:pPr>
        <w:widowControl w:val="0"/>
        <w:spacing w:after="279" w:line="1" w:lineRule="exact"/>
      </w:pPr>
    </w:p>
    <w:p>
      <w:pPr>
        <w:pStyle w:val="Style32"/>
        <w:keepNext/>
        <w:keepLines/>
        <w:widowControl w:val="0"/>
        <w:shd w:val="clear" w:color="auto" w:fill="auto"/>
        <w:tabs>
          <w:tab w:pos="371" w:val="left"/>
        </w:tabs>
        <w:bidi w:val="0"/>
        <w:spacing w:before="0" w:after="280" w:line="314" w:lineRule="exact"/>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w:t>
        <w:tab/>
        <w:t>薪酬政策</w:t>
      </w:r>
      <w:bookmarkEnd w:id="718"/>
      <w:bookmarkEnd w:id="719"/>
      <w:bookmarkEnd w:id="721"/>
    </w:p>
    <w:p>
      <w:pPr>
        <w:pStyle w:val="Style35"/>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公司充分贯彻</w:t>
      </w:r>
      <w:r>
        <w:rPr>
          <w:rFonts w:ascii="Times New Roman" w:eastAsia="Times New Roman" w:hAnsi="Times New Roman" w:cs="Times New Roman"/>
          <w:color w:val="000000"/>
          <w:spacing w:val="0"/>
          <w:w w:val="100"/>
          <w:position w:val="0"/>
        </w:rPr>
        <w:t>“</w:t>
      </w:r>
      <w:r>
        <w:rPr>
          <w:color w:val="000000"/>
          <w:spacing w:val="0"/>
          <w:w w:val="100"/>
          <w:position w:val="0"/>
        </w:rPr>
        <w:t>帮助员工成功''的理念，秉承个人价值与薪酬体系紧密结合的原则，根据员工岗位职责、 工作表现、市场状况、政府有关规定等因素综合确定员工薪酬，使员工实现自身最大的潜在价值，持续提 高自身的专业技术和管理水平，不断开拓更大的发展空间。</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报告期内，公司职工薪酬总额（计入成本部分）</w:t>
      </w:r>
      <w:r>
        <w:rPr>
          <w:rFonts w:ascii="Times New Roman" w:eastAsia="Times New Roman" w:hAnsi="Times New Roman" w:cs="Times New Roman"/>
          <w:color w:val="000000"/>
          <w:spacing w:val="0"/>
          <w:w w:val="100"/>
          <w:position w:val="0"/>
          <w:sz w:val="18"/>
          <w:szCs w:val="18"/>
        </w:rPr>
        <w:t>84,415.91</w:t>
      </w:r>
      <w:r>
        <w:rPr>
          <w:color w:val="000000"/>
          <w:spacing w:val="0"/>
          <w:w w:val="100"/>
          <w:position w:val="0"/>
        </w:rPr>
        <w:t>万元，占公司营业成本的</w:t>
      </w:r>
      <w:r>
        <w:rPr>
          <w:rFonts w:ascii="Times New Roman" w:eastAsia="Times New Roman" w:hAnsi="Times New Roman" w:cs="Times New Roman"/>
          <w:color w:val="000000"/>
          <w:spacing w:val="0"/>
          <w:w w:val="100"/>
          <w:position w:val="0"/>
          <w:sz w:val="18"/>
          <w:szCs w:val="18"/>
        </w:rPr>
        <w:t>42.97%</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日，公司核 心技术人员为</w:t>
      </w:r>
      <w:r>
        <w:rPr>
          <w:rFonts w:ascii="Times New Roman" w:eastAsia="Times New Roman" w:hAnsi="Times New Roman" w:cs="Times New Roman"/>
          <w:color w:val="000000"/>
          <w:spacing w:val="0"/>
          <w:w w:val="100"/>
          <w:position w:val="0"/>
          <w:sz w:val="18"/>
          <w:szCs w:val="18"/>
        </w:rPr>
        <w:t>2144</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40.31%</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sz w:val="18"/>
          <w:szCs w:val="18"/>
        </w:rPr>
        <w:t>2588</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46.43%</w:t>
      </w:r>
      <w:r>
        <w:rPr>
          <w:color w:val="000000"/>
          <w:spacing w:val="0"/>
          <w:w w:val="100"/>
          <w:position w:val="0"/>
        </w:rPr>
        <w:t>；本报告期 内核心技术人员薪酬占全体员工薪酬的</w:t>
      </w:r>
      <w:r>
        <w:rPr>
          <w:rFonts w:ascii="Times New Roman" w:eastAsia="Times New Roman" w:hAnsi="Times New Roman" w:cs="Times New Roman"/>
          <w:color w:val="000000"/>
          <w:spacing w:val="0"/>
          <w:w w:val="100"/>
          <w:position w:val="0"/>
          <w:sz w:val="18"/>
          <w:szCs w:val="18"/>
        </w:rPr>
        <w:t>31.87%</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60.87%</w:t>
      </w:r>
      <w:r>
        <w:rPr>
          <w:color w:val="000000"/>
          <w:spacing w:val="0"/>
          <w:w w:val="100"/>
          <w:position w:val="0"/>
        </w:rPr>
        <w:t>。</w:t>
      </w:r>
    </w:p>
    <w:p>
      <w:pPr>
        <w:pStyle w:val="Style32"/>
        <w:keepNext/>
        <w:keepLines/>
        <w:widowControl w:val="0"/>
        <w:shd w:val="clear" w:color="auto" w:fill="auto"/>
        <w:tabs>
          <w:tab w:pos="371" w:val="left"/>
        </w:tabs>
        <w:bidi w:val="0"/>
        <w:spacing w:before="0" w:after="280" w:line="314" w:lineRule="exact"/>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3</w:t>
      </w:r>
      <w:bookmarkEnd w:id="724"/>
      <w:r>
        <w:rPr>
          <w:color w:val="000000"/>
          <w:spacing w:val="0"/>
          <w:w w:val="100"/>
          <w:position w:val="0"/>
        </w:rPr>
        <w:t>、</w:t>
        <w:tab/>
        <w:t>培训计划</w:t>
      </w:r>
      <w:bookmarkEnd w:id="722"/>
      <w:bookmarkEnd w:id="723"/>
      <w:bookmarkEnd w:id="725"/>
    </w:p>
    <w:p>
      <w:pPr>
        <w:pStyle w:val="Style35"/>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公司高度重视员工培训，旨在为企业发展提供合理的人才梯队及软性保障。为了鼓励员工持续进步， 提升员工职业技能、岗位胜任能力及综合素质，公司将培训划分为内部培训、外部培训两大类。内部培训 包括入职培训、技术业务培训及部门间培训等；外部培训包括国家有关部门组织的各种培训，企业经理人 培训等。</w:t>
      </w:r>
    </w:p>
    <w:p>
      <w:pPr>
        <w:pStyle w:val="Style32"/>
        <w:keepNext/>
        <w:keepLines/>
        <w:widowControl w:val="0"/>
        <w:shd w:val="clear" w:color="auto" w:fill="auto"/>
        <w:tabs>
          <w:tab w:pos="371" w:val="left"/>
        </w:tabs>
        <w:bidi w:val="0"/>
        <w:spacing w:before="0" w:after="280" w:line="314" w:lineRule="exact"/>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4</w:t>
      </w:r>
      <w:bookmarkEnd w:id="728"/>
      <w:r>
        <w:rPr>
          <w:color w:val="000000"/>
          <w:spacing w:val="0"/>
          <w:w w:val="100"/>
          <w:position w:val="0"/>
        </w:rPr>
        <w:t>、</w:t>
        <w:tab/>
        <w:t>劳务外包情况</w:t>
      </w:r>
      <w:bookmarkEnd w:id="726"/>
      <w:bookmarkEnd w:id="727"/>
      <w:bookmarkEnd w:id="729"/>
    </w:p>
    <w:p>
      <w:pPr>
        <w:pStyle w:val="Style28"/>
        <w:keepNext w:val="0"/>
        <w:keepLines w:val="0"/>
        <w:widowControl w:val="0"/>
        <w:shd w:val="clear" w:color="auto" w:fill="auto"/>
        <w:bidi w:val="0"/>
        <w:spacing w:before="0" w:after="2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0" w:after="580" w:line="240" w:lineRule="auto"/>
        <w:ind w:left="0" w:right="0" w:firstLine="0"/>
        <w:jc w:val="center"/>
      </w:pPr>
      <w:bookmarkStart w:id="730" w:name="bookmark730"/>
      <w:bookmarkStart w:id="731" w:name="bookmark731"/>
      <w:bookmarkStart w:id="732" w:name="bookmark732"/>
      <w:r>
        <w:rPr>
          <w:color w:val="000000"/>
          <w:spacing w:val="0"/>
          <w:w w:val="100"/>
          <w:position w:val="0"/>
        </w:rPr>
        <w:t>第十节公司治理</w:t>
      </w:r>
      <w:bookmarkEnd w:id="730"/>
      <w:bookmarkEnd w:id="731"/>
      <w:bookmarkEnd w:id="732"/>
    </w:p>
    <w:p>
      <w:pPr>
        <w:pStyle w:val="Style24"/>
        <w:keepNext/>
        <w:keepLines/>
        <w:widowControl w:val="0"/>
        <w:shd w:val="clear" w:color="auto" w:fill="auto"/>
        <w:bidi w:val="0"/>
        <w:spacing w:before="0" w:after="260" w:line="240" w:lineRule="auto"/>
        <w:ind w:left="0" w:right="0" w:firstLine="0"/>
        <w:jc w:val="left"/>
      </w:pPr>
      <w:bookmarkStart w:id="733" w:name="bookmark733"/>
      <w:bookmarkStart w:id="734" w:name="bookmark734"/>
      <w:bookmarkStart w:id="735" w:name="bookmark735"/>
      <w:bookmarkStart w:id="736" w:name="bookmark736"/>
      <w:bookmarkStart w:id="737" w:name="bookmark737"/>
      <w:r>
        <w:rPr>
          <w:color w:val="000000"/>
          <w:spacing w:val="0"/>
          <w:w w:val="100"/>
          <w:position w:val="0"/>
        </w:rPr>
        <w:t>一</w:t>
      </w:r>
      <w:bookmarkEnd w:id="736"/>
      <w:r>
        <w:rPr>
          <w:color w:val="000000"/>
          <w:spacing w:val="0"/>
          <w:w w:val="100"/>
          <w:position w:val="0"/>
        </w:rPr>
        <w:t>、公司治理的基本状况</w:t>
      </w:r>
      <w:bookmarkEnd w:id="734"/>
      <w:bookmarkEnd w:id="735"/>
      <w:bookmarkEnd w:id="737"/>
      <w:bookmarkEnd w:id="733"/>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报告期内，根据严格按照《公司法》、《证券法》、《深圳证券交易所股票上市规则》、《深圳证券 交易所中小企业板上市公司规范运作指引》等多部法律法规及部门规章，公司不断的进行内部治理的改进 与提升，通过不断完善公司法人治理结构，建立健全内部管理和控制制度，达到规范公司运作，提高公司 治理水平的最终目标。目前公司结合自身经营特点，已建立较为完整的涵盖经营管理、财务管理、信息披 露等内容的内部控制制度，同时形成了股东会，董事会、监事会、经理层之间权责分明、各司其职、有效 制衡、科学决策、协调运作的公司治理结构，尤其对公司报告期内发生的重大事项进行严格审议，提高重 大事项决策的规范运作水平。</w:t>
      </w:r>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截至报告期末，本公司治理实际情况符合中国证监会发布的有关上市公司治理的规范性文件的要求。</w:t>
      </w:r>
    </w:p>
    <w:p>
      <w:pPr>
        <w:pStyle w:val="Style32"/>
        <w:keepNext/>
        <w:keepLines/>
        <w:widowControl w:val="0"/>
        <w:shd w:val="clear" w:color="auto" w:fill="auto"/>
        <w:tabs>
          <w:tab w:pos="697" w:val="left"/>
        </w:tabs>
        <w:bidi w:val="0"/>
        <w:spacing w:before="0" w:after="0" w:line="314" w:lineRule="exact"/>
        <w:ind w:left="0" w:right="0" w:firstLine="36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w:t>
        <w:tab/>
        <w:t>关于股东与股东大会</w:t>
      </w:r>
      <w:bookmarkEnd w:id="738"/>
      <w:bookmarkEnd w:id="739"/>
      <w:bookmarkEnd w:id="741"/>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本公司严格按照《公司法》、《上市公司股东大会规则》、《公司章程》和《股东大会议事规则》等 法律、法规及制度的要求，召集、召开股东大会。公司股东大会始终秉承平等对待所有股东的原则，</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年度公司采用现场和网络相结合的投票方式，确保股东特别是中小股东能充分行使自己的权利。公司召开 股东大会谨慎审议了包括年度报告、关联交易、购买、出售资产或股权等重大事项，同时在涉及影响中小 投资者利益的议案表决时采用中小投资者单独计票的方式。公司在股东大会召开之后，专门预留与安排股 东与管理层的交流时间，能够确保参会股东及时了解公司情况，充分行使股东权利。</w:t>
      </w:r>
    </w:p>
    <w:p>
      <w:pPr>
        <w:pStyle w:val="Style32"/>
        <w:keepNext/>
        <w:keepLines/>
        <w:widowControl w:val="0"/>
        <w:shd w:val="clear" w:color="auto" w:fill="auto"/>
        <w:tabs>
          <w:tab w:pos="707" w:val="left"/>
        </w:tabs>
        <w:bidi w:val="0"/>
        <w:spacing w:before="0" w:after="0" w:line="314" w:lineRule="exact"/>
        <w:ind w:left="0" w:right="0" w:firstLine="36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color w:val="000000"/>
          <w:spacing w:val="0"/>
          <w:w w:val="100"/>
          <w:position w:val="0"/>
        </w:rPr>
        <w:t>、</w:t>
        <w:tab/>
        <w:t>关于控股股东与上市公司的关系</w:t>
      </w:r>
      <w:bookmarkEnd w:id="742"/>
      <w:bookmarkEnd w:id="743"/>
      <w:bookmarkEnd w:id="745"/>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公司控股股东及实际控制人均为李仲初先生。控股股东及实际控制人均依法行使出资人权利并承担相 应义务，没有超越股东大会授权范围行使职权，直接或间接干预本公司的决策和生产经营活动。</w:t>
      </w:r>
    </w:p>
    <w:p>
      <w:pPr>
        <w:pStyle w:val="Style35"/>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公司拥有独立的业务和经营自主能力，在业务、人员、资产、机构、财务上独立于控股股东，公司董 事会、监事会和内部机构独立运作。</w:t>
      </w:r>
    </w:p>
    <w:p>
      <w:pPr>
        <w:pStyle w:val="Style32"/>
        <w:keepNext/>
        <w:keepLines/>
        <w:widowControl w:val="0"/>
        <w:shd w:val="clear" w:color="auto" w:fill="auto"/>
        <w:tabs>
          <w:tab w:pos="707" w:val="left"/>
        </w:tabs>
        <w:bidi w:val="0"/>
        <w:spacing w:before="0" w:after="0" w:line="329" w:lineRule="auto"/>
        <w:ind w:left="0" w:right="0" w:firstLine="36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3</w:t>
      </w:r>
      <w:bookmarkEnd w:id="748"/>
      <w:r>
        <w:rPr>
          <w:color w:val="000000"/>
          <w:spacing w:val="0"/>
          <w:w w:val="100"/>
          <w:position w:val="0"/>
        </w:rPr>
        <w:t>、</w:t>
        <w:tab/>
        <w:t>关于董事与董事会</w:t>
      </w:r>
      <w:bookmarkEnd w:id="746"/>
      <w:bookmarkEnd w:id="747"/>
      <w:bookmarkEnd w:id="749"/>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公司董事会严格按照《公司法》和《公司章程》和《董事会议事规则》等法律法规开展工作，董事选 聘程序符合相关法律法规的要求，公司目前董事会成员</w:t>
      </w:r>
      <w:r>
        <w:rPr>
          <w:rFonts w:ascii="Times New Roman" w:eastAsia="Times New Roman" w:hAnsi="Times New Roman" w:cs="Times New Roman"/>
          <w:color w:val="000000"/>
          <w:spacing w:val="0"/>
          <w:w w:val="100"/>
          <w:position w:val="0"/>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人，董事会的人数及人员构成 符合要求。全体董事认真出席公司董事会、股东大会会议并审议相关议案，积极参加有关培训，熟悉有关 法律、法规，并按照相关规定依法履行董事职责。</w:t>
      </w:r>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报告期内，公司第七届董事会成员切实履行忠实义务和勤勉义务，将上市公司相关制度规范转化为参 与公司重大决策，日常经营管理的行为准则，严格执行公司董事行为规范。</w:t>
      </w:r>
    </w:p>
    <w:p>
      <w:pPr>
        <w:pStyle w:val="Style35"/>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公司独立董事按照《公司章程》等法律、法规独立履行职责，对公司重大投资等事项发表自己的独立 意见，保证了公司的规范运作。董事会下设提名委员会、薪酬委员会与审计委员会三个专业委员会，各专 业委员会根据相应的工作细则通过召开会议、实地考察、面谈等方式履行职责，对公司重大投融资行为等 事项提出意见并作出相关决议。</w:t>
      </w:r>
    </w:p>
    <w:p>
      <w:pPr>
        <w:pStyle w:val="Style32"/>
        <w:keepNext/>
        <w:keepLines/>
        <w:widowControl w:val="0"/>
        <w:shd w:val="clear" w:color="auto" w:fill="auto"/>
        <w:tabs>
          <w:tab w:pos="707" w:val="left"/>
        </w:tabs>
        <w:bidi w:val="0"/>
        <w:spacing w:before="0" w:after="0" w:line="329" w:lineRule="auto"/>
        <w:ind w:left="0" w:right="0" w:firstLine="36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4</w:t>
      </w:r>
      <w:bookmarkEnd w:id="752"/>
      <w:r>
        <w:rPr>
          <w:color w:val="000000"/>
          <w:spacing w:val="0"/>
          <w:w w:val="100"/>
          <w:position w:val="0"/>
        </w:rPr>
        <w:t>、</w:t>
        <w:tab/>
        <w:t>关于监事和监事会</w:t>
      </w:r>
      <w:bookmarkEnd w:id="750"/>
      <w:bookmarkEnd w:id="751"/>
      <w:bookmarkEnd w:id="753"/>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本公司监事会严格按照《公司法》、《公司章程》和《监事会议事规则》的有关规定开展工作，监事 的推荐、选举和产生程序符合相关法律、法规的要求，监事会的人数及构成符合要求。报告期内，公司监 事会认真履行职责，对公司重大事项、财务状况以及董事、总裁和其他高级管理人员行使职权的合规性进 行监督，维护公司及股东的合法权益。</w:t>
      </w:r>
    </w:p>
    <w:p>
      <w:pPr>
        <w:pStyle w:val="Style32"/>
        <w:keepNext/>
        <w:keepLines/>
        <w:widowControl w:val="0"/>
        <w:shd w:val="clear" w:color="auto" w:fill="auto"/>
        <w:tabs>
          <w:tab w:pos="707" w:val="left"/>
        </w:tabs>
        <w:bidi w:val="0"/>
        <w:spacing w:before="0" w:after="0" w:line="314" w:lineRule="exact"/>
        <w:ind w:left="0" w:right="0" w:firstLine="36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5</w:t>
      </w:r>
      <w:bookmarkEnd w:id="756"/>
      <w:r>
        <w:rPr>
          <w:color w:val="000000"/>
          <w:spacing w:val="0"/>
          <w:w w:val="100"/>
          <w:position w:val="0"/>
        </w:rPr>
        <w:t>、</w:t>
        <w:tab/>
        <w:t>关于绩效考核与激励约束机制</w:t>
      </w:r>
      <w:bookmarkEnd w:id="754"/>
      <w:bookmarkEnd w:id="755"/>
      <w:bookmarkEnd w:id="757"/>
    </w:p>
    <w:p>
      <w:pPr>
        <w:pStyle w:val="Style35"/>
        <w:keepNext w:val="0"/>
        <w:keepLines w:val="0"/>
        <w:widowControl w:val="0"/>
        <w:shd w:val="clear" w:color="auto" w:fill="auto"/>
        <w:bidi w:val="0"/>
        <w:spacing w:before="0" w:after="80" w:line="314" w:lineRule="exact"/>
        <w:ind w:left="0" w:right="0" w:firstLine="3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年度为疫情肆虐的一年，为进一步建立和完善公司激励机制，增强公司与管理层及核心骨干员工 </w:t>
      </w:r>
      <w:r>
        <w:rPr>
          <w:color w:val="000000"/>
          <w:spacing w:val="0"/>
          <w:w w:val="100"/>
          <w:position w:val="0"/>
        </w:rPr>
        <w:t>共同持续发展的理念，公司未对核心工作人员降低薪酬，主要为维持管理团队和业务骨干的稳定，确保公 司发展战略和经营目标的实现，保证公司在疫情过后仍能长期稳健发展。公司高管人员的聘任公开、透 明，符合法律法规的规定。</w:t>
      </w:r>
    </w:p>
    <w:p>
      <w:pPr>
        <w:pStyle w:val="Style32"/>
        <w:keepNext/>
        <w:keepLines/>
        <w:widowControl w:val="0"/>
        <w:shd w:val="clear" w:color="auto" w:fill="auto"/>
        <w:tabs>
          <w:tab w:pos="693" w:val="left"/>
        </w:tabs>
        <w:bidi w:val="0"/>
        <w:spacing w:before="0" w:after="0" w:line="326" w:lineRule="auto"/>
        <w:ind w:left="0" w:right="0" w:firstLine="34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6</w:t>
      </w:r>
      <w:bookmarkEnd w:id="760"/>
      <w:r>
        <w:rPr>
          <w:color w:val="000000"/>
          <w:spacing w:val="0"/>
          <w:w w:val="100"/>
          <w:position w:val="0"/>
        </w:rPr>
        <w:t>、</w:t>
        <w:tab/>
        <w:t>关于信息披露与透明度</w:t>
      </w:r>
      <w:bookmarkEnd w:id="758"/>
      <w:bookmarkEnd w:id="759"/>
      <w:bookmarkEnd w:id="761"/>
    </w:p>
    <w:p>
      <w:pPr>
        <w:pStyle w:val="Style35"/>
        <w:keepNext w:val="0"/>
        <w:keepLines w:val="0"/>
        <w:widowControl w:val="0"/>
        <w:shd w:val="clear" w:color="auto" w:fill="auto"/>
        <w:bidi w:val="0"/>
        <w:spacing w:before="0" w:after="80" w:line="313" w:lineRule="exact"/>
        <w:ind w:left="0" w:right="0" w:firstLine="360"/>
        <w:jc w:val="left"/>
      </w:pPr>
      <w:r>
        <w:rPr>
          <w:color w:val="000000"/>
          <w:spacing w:val="0"/>
          <w:w w:val="100"/>
          <w:position w:val="0"/>
        </w:rPr>
        <w:t>报告期内，公司严格按照《信息披露管理办法》、《重大信息及敏感信息内部管理制度》、《上市公 司重大资产重组管理办法》、《内幕信息知情人登记管理制度》履行信息披露义务，及时报送公司重大事 项及定期报告的内幕信息知情人，指定《上海证券报》、《中国证券报》及巨潮资讯网作为本公司信息披 露的报纸和网站，真实、准确、完整、及时的披露有关信息，确保所有投资者公平获取公司信息。本公司 指定董事会秘书负责信息披露工作，证券事务代表协助董事会秘书开展工作。</w:t>
      </w:r>
    </w:p>
    <w:p>
      <w:pPr>
        <w:pStyle w:val="Style32"/>
        <w:keepNext/>
        <w:keepLines/>
        <w:widowControl w:val="0"/>
        <w:shd w:val="clear" w:color="auto" w:fill="auto"/>
        <w:tabs>
          <w:tab w:pos="689" w:val="left"/>
        </w:tabs>
        <w:bidi w:val="0"/>
        <w:spacing w:before="0" w:after="0" w:line="326" w:lineRule="auto"/>
        <w:ind w:left="0" w:right="0" w:firstLine="34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7</w:t>
      </w:r>
      <w:bookmarkEnd w:id="764"/>
      <w:r>
        <w:rPr>
          <w:color w:val="000000"/>
          <w:spacing w:val="0"/>
          <w:w w:val="100"/>
          <w:position w:val="0"/>
        </w:rPr>
        <w:t>、</w:t>
        <w:tab/>
        <w:t>关于相关利益者</w:t>
      </w:r>
      <w:bookmarkEnd w:id="762"/>
      <w:bookmarkEnd w:id="763"/>
      <w:bookmarkEnd w:id="765"/>
    </w:p>
    <w:p>
      <w:pPr>
        <w:pStyle w:val="Style35"/>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本公司能够充分尊重和维护相关利益者的合法权益，实现社会、股东、员工、客户等各方利益的协调 平衡，共同推动公司持续、健康的发展。</w:t>
      </w:r>
    </w:p>
    <w:p>
      <w:pPr>
        <w:pStyle w:val="Style2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bidi w:val="0"/>
        <w:spacing w:before="0" w:after="28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二</w:t>
      </w:r>
      <w:bookmarkEnd w:id="768"/>
      <w:r>
        <w:rPr>
          <w:color w:val="000000"/>
          <w:spacing w:val="0"/>
          <w:w w:val="100"/>
          <w:position w:val="0"/>
        </w:rPr>
        <w:t>、公司相对于控股股东在业务、人员、资产、机构、财务等方面的独立情况</w:t>
      </w:r>
      <w:bookmarkEnd w:id="766"/>
      <w:bookmarkEnd w:id="767"/>
      <w:bookmarkEnd w:id="769"/>
    </w:p>
    <w:p>
      <w:pPr>
        <w:pStyle w:val="Style3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公司与控股股东在业务、人员、资产、机构、财务等方面完全分开，具有独立完整的业务及自主经营 能力。</w:t>
      </w:r>
    </w:p>
    <w:p>
      <w:pPr>
        <w:pStyle w:val="Style35"/>
        <w:keepNext w:val="0"/>
        <w:keepLines w:val="0"/>
        <w:widowControl w:val="0"/>
        <w:shd w:val="clear" w:color="auto" w:fill="auto"/>
        <w:tabs>
          <w:tab w:pos="1014" w:val="left"/>
        </w:tabs>
        <w:bidi w:val="0"/>
        <w:spacing w:before="0" w:after="0" w:line="313" w:lineRule="exact"/>
        <w:ind w:left="0" w:right="0" w:firstLine="440"/>
        <w:jc w:val="left"/>
      </w:pPr>
      <w:bookmarkStart w:id="770" w:name="bookmark770"/>
      <w:r>
        <w:rPr>
          <w:b/>
          <w:bCs/>
          <w:color w:val="000000"/>
          <w:spacing w:val="0"/>
          <w:w w:val="100"/>
          <w:position w:val="0"/>
        </w:rPr>
        <w:t>（</w:t>
      </w:r>
      <w:bookmarkEnd w:id="770"/>
      <w:r>
        <w:rPr>
          <w:b/>
          <w:bCs/>
          <w:color w:val="000000"/>
          <w:spacing w:val="0"/>
          <w:w w:val="100"/>
          <w:position w:val="0"/>
        </w:rPr>
        <w:t>一）</w:t>
        <w:tab/>
        <w:t>业务独立</w:t>
      </w:r>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本公司主要从事涉及酒店、餐饮、零售等大消费旅游行业的信息管理系统软件的开发销售、系统集成、 技术支持与服务业务，具有独立完整的业务体系，包括完整的开发、销售及售后服务体系，是目前国内最 主要的酒店信息管理系统全面解决方案提供商之一。公司业务完全独立于控股股东，拥有独立完整的经营 系统，独立开展业务，不依赖于股东或其他任何关联方。</w:t>
      </w:r>
    </w:p>
    <w:p>
      <w:pPr>
        <w:pStyle w:val="Style35"/>
        <w:keepNext w:val="0"/>
        <w:keepLines w:val="0"/>
        <w:widowControl w:val="0"/>
        <w:shd w:val="clear" w:color="auto" w:fill="auto"/>
        <w:tabs>
          <w:tab w:pos="1014" w:val="left"/>
        </w:tabs>
        <w:bidi w:val="0"/>
        <w:spacing w:before="0" w:after="0" w:line="313" w:lineRule="exact"/>
        <w:ind w:left="0" w:right="0" w:firstLine="440"/>
        <w:jc w:val="both"/>
      </w:pPr>
      <w:bookmarkStart w:id="771" w:name="bookmark771"/>
      <w:r>
        <w:rPr>
          <w:b/>
          <w:bCs/>
          <w:color w:val="000000"/>
          <w:spacing w:val="0"/>
          <w:w w:val="100"/>
          <w:position w:val="0"/>
        </w:rPr>
        <w:t>（</w:t>
      </w:r>
      <w:bookmarkEnd w:id="771"/>
      <w:r>
        <w:rPr>
          <w:b/>
          <w:bCs/>
          <w:color w:val="000000"/>
          <w:spacing w:val="0"/>
          <w:w w:val="100"/>
          <w:position w:val="0"/>
        </w:rPr>
        <w:t>二）</w:t>
        <w:tab/>
        <w:t>人员独立</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本公司人员、劳动、人事及工资管理完全独立。本公司拥有独立、完整的人力资源管理体系，设有人 力资源部，根据《中华人民共和国劳动法》、《公司法》及国家有关政策的规定，制定了独立的劳动人事 管理制度，并实行全员劳动合同制，由本公司与员工独立签订劳动合同，做到人员管理制度化和规范化； 本公司在员工的社会保障、工薪报酬等方面实行独立管理。</w:t>
      </w:r>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公司董事、监事、高级管理人员的推荐、选举、聘任均通过合法程序独立进行；总裁、首席运营官（</w:t>
      </w:r>
      <w:r>
        <w:rPr>
          <w:rFonts w:ascii="Times New Roman" w:eastAsia="Times New Roman" w:hAnsi="Times New Roman" w:cs="Times New Roman"/>
          <w:color w:val="000000"/>
          <w:spacing w:val="0"/>
          <w:w w:val="100"/>
          <w:position w:val="0"/>
        </w:rPr>
        <w:t xml:space="preserve">COO </w:t>
      </w:r>
      <w:r>
        <w:rPr>
          <w:color w:val="000000"/>
          <w:spacing w:val="0"/>
          <w:w w:val="100"/>
          <w:position w:val="0"/>
        </w:rPr>
        <w:t>）、 副总裁、董事会秘书和财务负责人等高级管理人员未在控股股东、实际控制人及其控制的其他企业中担任 除董事、监事以外的其他职务，未在控股股东、实际控制人及其控制的其他企业领薪；公司的财务人员未 在控股股东、实际控制人及其控制的其他企业中兼职。</w:t>
      </w:r>
    </w:p>
    <w:p>
      <w:pPr>
        <w:pStyle w:val="Style35"/>
        <w:keepNext w:val="0"/>
        <w:keepLines w:val="0"/>
        <w:widowControl w:val="0"/>
        <w:shd w:val="clear" w:color="auto" w:fill="auto"/>
        <w:tabs>
          <w:tab w:pos="934" w:val="left"/>
        </w:tabs>
        <w:bidi w:val="0"/>
        <w:spacing w:before="0" w:after="0" w:line="313" w:lineRule="exact"/>
        <w:ind w:left="0" w:right="0" w:firstLine="360"/>
        <w:jc w:val="both"/>
      </w:pPr>
      <w:bookmarkStart w:id="772" w:name="bookmark772"/>
      <w:r>
        <w:rPr>
          <w:b/>
          <w:bCs/>
          <w:color w:val="000000"/>
          <w:spacing w:val="0"/>
          <w:w w:val="100"/>
          <w:position w:val="0"/>
        </w:rPr>
        <w:t>（</w:t>
      </w:r>
      <w:bookmarkEnd w:id="772"/>
      <w:r>
        <w:rPr>
          <w:b/>
          <w:bCs/>
          <w:color w:val="000000"/>
          <w:spacing w:val="0"/>
          <w:w w:val="100"/>
          <w:position w:val="0"/>
        </w:rPr>
        <w:t>三）</w:t>
        <w:tab/>
        <w:t>资产独立</w:t>
      </w:r>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本公司以整体变更的方式设立，设立时各发起人投入本公司的资产已经武汉众环会计师事务所有限责 任公司出具的武众会内（</w:t>
      </w:r>
      <w:r>
        <w:rPr>
          <w:rFonts w:ascii="Times New Roman" w:eastAsia="Times New Roman" w:hAnsi="Times New Roman" w:cs="Times New Roman"/>
          <w:color w:val="000000"/>
          <w:spacing w:val="0"/>
          <w:w w:val="100"/>
          <w:position w:val="0"/>
        </w:rPr>
        <w:t>2001</w:t>
      </w:r>
      <w:r>
        <w:rPr>
          <w:color w:val="000000"/>
          <w:spacing w:val="0"/>
          <w:w w:val="100"/>
          <w:position w:val="0"/>
        </w:rPr>
        <w:t xml:space="preserve">） </w:t>
      </w:r>
      <w:r>
        <w:rPr>
          <w:rFonts w:ascii="Times New Roman" w:eastAsia="Times New Roman" w:hAnsi="Times New Roman" w:cs="Times New Roman"/>
          <w:color w:val="000000"/>
          <w:spacing w:val="0"/>
          <w:w w:val="100"/>
          <w:position w:val="0"/>
        </w:rPr>
        <w:t>049</w:t>
      </w:r>
      <w:r>
        <w:rPr>
          <w:color w:val="000000"/>
          <w:spacing w:val="0"/>
          <w:w w:val="100"/>
          <w:position w:val="0"/>
        </w:rPr>
        <w:t>号《验资报告》验证。本公司和控股股东产权关系明晰，资产完整并 由本公司实际控制和使用，本公司拥有独立的经营系统和配套设施以及专有技术、计算机著作权等资产， 拥有独立的经营场所，对全部资产拥有完全的控制支配权。本公司资产独立于控股股东和其他发起人，不 存在其资产、资金被控股股东占用而损害公司利益的情况。</w:t>
      </w:r>
    </w:p>
    <w:p>
      <w:pPr>
        <w:pStyle w:val="Style35"/>
        <w:keepNext w:val="0"/>
        <w:keepLines w:val="0"/>
        <w:widowControl w:val="0"/>
        <w:shd w:val="clear" w:color="auto" w:fill="auto"/>
        <w:tabs>
          <w:tab w:pos="934" w:val="left"/>
        </w:tabs>
        <w:bidi w:val="0"/>
        <w:spacing w:before="0" w:after="0" w:line="313" w:lineRule="exact"/>
        <w:ind w:left="0" w:right="0" w:firstLine="360"/>
        <w:jc w:val="both"/>
      </w:pPr>
      <w:bookmarkStart w:id="773" w:name="bookmark773"/>
      <w:r>
        <w:rPr>
          <w:b/>
          <w:bCs/>
          <w:color w:val="000000"/>
          <w:spacing w:val="0"/>
          <w:w w:val="100"/>
          <w:position w:val="0"/>
        </w:rPr>
        <w:t>（</w:t>
      </w:r>
      <w:bookmarkEnd w:id="773"/>
      <w:r>
        <w:rPr>
          <w:b/>
          <w:bCs/>
          <w:color w:val="000000"/>
          <w:spacing w:val="0"/>
          <w:w w:val="100"/>
          <w:position w:val="0"/>
        </w:rPr>
        <w:t>四）</w:t>
        <w:tab/>
        <w:t>机构独立</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本公司根据《公司法》、《证券法》及《公司章程》的规定，建立健全了股东大会、董事会、监事会 及管理层的运作体系，并制定了相应的议事规则和工作细则。本公司设立了健全的组织机构体系，拥有独 </w:t>
      </w:r>
      <w:r>
        <w:rPr>
          <w:color w:val="000000"/>
          <w:spacing w:val="0"/>
          <w:w w:val="100"/>
          <w:position w:val="0"/>
        </w:rPr>
        <w:t>立于控股股东的经营场所和经营机构，不存在与控股股东混合经营、合署办公的情形。本公司各业务部门 及办事机构的设置方案不存在受控股股东及其他任何单位或个人干预的情形。</w:t>
      </w:r>
    </w:p>
    <w:p>
      <w:pPr>
        <w:pStyle w:val="Style32"/>
        <w:keepNext/>
        <w:keepLines/>
        <w:widowControl w:val="0"/>
        <w:numPr>
          <w:ilvl w:val="0"/>
          <w:numId w:val="23"/>
        </w:numPr>
        <w:shd w:val="clear" w:color="auto" w:fill="auto"/>
        <w:bidi w:val="0"/>
        <w:spacing w:before="0" w:after="0" w:line="314" w:lineRule="exact"/>
        <w:ind w:left="0" w:right="0" w:firstLine="360"/>
        <w:jc w:val="both"/>
      </w:pPr>
      <w:bookmarkStart w:id="774" w:name="bookmark774"/>
      <w:bookmarkStart w:id="775" w:name="bookmark775"/>
      <w:bookmarkStart w:id="776" w:name="bookmark776"/>
      <w:bookmarkStart w:id="777" w:name="bookmark777"/>
      <w:bookmarkEnd w:id="776"/>
      <w:r>
        <w:rPr>
          <w:color w:val="000000"/>
          <w:spacing w:val="0"/>
          <w:w w:val="100"/>
          <w:position w:val="0"/>
        </w:rPr>
        <w:t>财务独立</w:t>
      </w:r>
      <w:bookmarkEnd w:id="774"/>
      <w:bookmarkEnd w:id="775"/>
      <w:bookmarkEnd w:id="777"/>
    </w:p>
    <w:p>
      <w:pPr>
        <w:pStyle w:val="Style3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本公司设有独立的财务部门，建立了独立的会计核算体系和财务管理制度，配备专职财务人员，并实施严 格的内部审计制度，不存在本公司股东或其他关联方干预本公司资金使用的情况；本公司拥有独立的银行 账户，独立进行纳税申报并履行纳税义务，本公司股东及其他关联方没有非正常占用本公司资金、资产和 其他资源。</w:t>
      </w:r>
    </w:p>
    <w:p>
      <w:pPr>
        <w:pStyle w:val="Style24"/>
        <w:keepNext/>
        <w:keepLines/>
        <w:widowControl w:val="0"/>
        <w:shd w:val="clear" w:color="auto" w:fill="auto"/>
        <w:tabs>
          <w:tab w:pos="522" w:val="left"/>
        </w:tabs>
        <w:bidi w:val="0"/>
        <w:spacing w:before="0" w:after="360" w:line="240" w:lineRule="auto"/>
        <w:ind w:left="0" w:right="0" w:firstLine="0"/>
        <w:jc w:val="both"/>
      </w:pPr>
      <w:bookmarkStart w:id="778" w:name="bookmark778"/>
      <w:bookmarkStart w:id="779" w:name="bookmark779"/>
      <w:bookmarkStart w:id="780" w:name="bookmark780"/>
      <w:bookmarkStart w:id="781" w:name="bookmark781"/>
      <w:r>
        <w:rPr>
          <w:color w:val="000000"/>
          <w:spacing w:val="0"/>
          <w:w w:val="100"/>
          <w:position w:val="0"/>
        </w:rPr>
        <w:t>三</w:t>
      </w:r>
      <w:bookmarkEnd w:id="780"/>
      <w:r>
        <w:rPr>
          <w:color w:val="000000"/>
          <w:spacing w:val="0"/>
          <w:w w:val="100"/>
          <w:position w:val="0"/>
        </w:rPr>
        <w:t>、</w:t>
        <w:tab/>
        <w:t>同业竞争情况</w:t>
      </w:r>
      <w:bookmarkEnd w:id="778"/>
      <w:bookmarkEnd w:id="779"/>
      <w:bookmarkEnd w:id="781"/>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both"/>
      </w:pPr>
      <w:bookmarkStart w:id="782" w:name="bookmark782"/>
      <w:bookmarkStart w:id="783" w:name="bookmark783"/>
      <w:bookmarkStart w:id="784" w:name="bookmark784"/>
      <w:bookmarkStart w:id="785" w:name="bookmark785"/>
      <w:r>
        <w:rPr>
          <w:color w:val="000000"/>
          <w:spacing w:val="0"/>
          <w:w w:val="100"/>
          <w:position w:val="0"/>
        </w:rPr>
        <w:t>四</w:t>
      </w:r>
      <w:bookmarkEnd w:id="784"/>
      <w:r>
        <w:rPr>
          <w:color w:val="000000"/>
          <w:spacing w:val="0"/>
          <w:w w:val="100"/>
          <w:position w:val="0"/>
        </w:rPr>
        <w:t>、</w:t>
        <w:tab/>
        <w:t>报告期内召开的年度股东大会和临时股东大会的有关情况</w:t>
      </w:r>
      <w:bookmarkEnd w:id="782"/>
      <w:bookmarkEnd w:id="783"/>
      <w:bookmarkEnd w:id="785"/>
    </w:p>
    <w:p>
      <w:pPr>
        <w:pStyle w:val="Style32"/>
        <w:keepNext/>
        <w:keepLines/>
        <w:widowControl w:val="0"/>
        <w:shd w:val="clear" w:color="auto" w:fill="auto"/>
        <w:bidi w:val="0"/>
        <w:spacing w:before="0" w:after="320" w:line="240" w:lineRule="auto"/>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color w:val="000000"/>
          <w:spacing w:val="0"/>
          <w:w w:val="100"/>
          <w:position w:val="0"/>
        </w:rPr>
        <w:t>、本报告期股东大会情况</w:t>
      </w:r>
      <w:bookmarkEnd w:id="786"/>
      <w:bookmarkEnd w:id="787"/>
      <w:bookmarkEnd w:id="789"/>
    </w:p>
    <w:tbl>
      <w:tblPr>
        <w:tblOverlap w:val="never"/>
        <w:jc w:val="center"/>
        <w:tblLayout w:type="fixed"/>
      </w:tblPr>
      <w:tblGrid>
        <w:gridCol w:w="1142"/>
        <w:gridCol w:w="1277"/>
        <w:gridCol w:w="1133"/>
        <w:gridCol w:w="1277"/>
        <w:gridCol w:w="1416"/>
        <w:gridCol w:w="3341"/>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投资者参与 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详见《中国证券报》、《上海证券报》及巨 潮资讯网</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sz w:val="17"/>
                <w:szCs w:val="17"/>
              </w:rPr>
              <w:t xml:space="preserve">的《关于公司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年年度股东大会决议公告》(</w:t>
            </w:r>
            <w:r>
              <w:rPr>
                <w:rFonts w:ascii="Times New Roman" w:eastAsia="Times New Roman" w:hAnsi="Times New Roman" w:cs="Times New Roman"/>
                <w:color w:val="000000"/>
                <w:spacing w:val="0"/>
                <w:w w:val="100"/>
                <w:position w:val="0"/>
                <w:sz w:val="18"/>
                <w:szCs w:val="18"/>
              </w:rPr>
              <w:t>2020-16</w:t>
            </w:r>
            <w:r>
              <w:rPr>
                <w:color w:val="000000"/>
                <w:spacing w:val="0"/>
                <w:w w:val="100"/>
                <w:position w:val="0"/>
                <w:sz w:val="17"/>
                <w:szCs w:val="17"/>
              </w:rPr>
              <w:t>)</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2</w:t>
      </w:r>
      <w:bookmarkEnd w:id="792"/>
      <w:r>
        <w:rPr>
          <w:color w:val="000000"/>
          <w:spacing w:val="0"/>
          <w:w w:val="100"/>
          <w:position w:val="0"/>
        </w:rPr>
        <w:t>、表决权恢复的优先股股东请求召开临时股东大会</w:t>
      </w:r>
      <w:bookmarkEnd w:id="790"/>
      <w:bookmarkEnd w:id="791"/>
      <w:bookmarkEnd w:id="793"/>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794" w:name="bookmark794"/>
      <w:bookmarkStart w:id="795" w:name="bookmark795"/>
      <w:bookmarkStart w:id="796" w:name="bookmark796"/>
      <w:bookmarkStart w:id="797" w:name="bookmark797"/>
      <w:r>
        <w:rPr>
          <w:color w:val="000000"/>
          <w:spacing w:val="0"/>
          <w:w w:val="100"/>
          <w:position w:val="0"/>
        </w:rPr>
        <w:t>五</w:t>
      </w:r>
      <w:bookmarkEnd w:id="796"/>
      <w:r>
        <w:rPr>
          <w:color w:val="000000"/>
          <w:spacing w:val="0"/>
          <w:w w:val="100"/>
          <w:position w:val="0"/>
        </w:rPr>
        <w:t>、报告期内独立董事履行职责的情况</w:t>
      </w:r>
      <w:bookmarkEnd w:id="794"/>
      <w:bookmarkEnd w:id="795"/>
      <w:bookmarkEnd w:id="797"/>
    </w:p>
    <w:p>
      <w:pPr>
        <w:pStyle w:val="Style32"/>
        <w:keepNext/>
        <w:keepLines/>
        <w:widowControl w:val="0"/>
        <w:shd w:val="clear" w:color="auto" w:fill="auto"/>
        <w:bidi w:val="0"/>
        <w:spacing w:before="0" w:after="32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color w:val="000000"/>
          <w:spacing w:val="0"/>
          <w:w w:val="100"/>
          <w:position w:val="0"/>
        </w:rPr>
        <w:t>、独立董事出席董事会及股东大会的情况</w:t>
      </w:r>
      <w:bookmarkEnd w:id="798"/>
      <w:bookmarkEnd w:id="799"/>
      <w:bookmarkEnd w:id="801"/>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本报告期应参</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刘剑锋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报告期内公司独立董事未出现连续两次未亲自出席董事会的情形。</w:t>
      </w:r>
    </w:p>
    <w:p>
      <w:pPr>
        <w:pStyle w:val="Style32"/>
        <w:keepNext/>
        <w:keepLines/>
        <w:widowControl w:val="0"/>
        <w:shd w:val="clear" w:color="auto" w:fill="auto"/>
        <w:tabs>
          <w:tab w:pos="378" w:val="left"/>
        </w:tabs>
        <w:bidi w:val="0"/>
        <w:spacing w:before="0" w:after="380" w:line="317" w:lineRule="exact"/>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color w:val="000000"/>
          <w:spacing w:val="0"/>
          <w:w w:val="100"/>
          <w:position w:val="0"/>
        </w:rPr>
        <w:t>、</w:t>
        <w:tab/>
        <w:t>独立董事对公司有关事项提出异议的情况</w:t>
      </w:r>
      <w:bookmarkEnd w:id="802"/>
      <w:bookmarkEnd w:id="803"/>
      <w:bookmarkEnd w:id="80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380" w:line="317" w:lineRule="exact"/>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3</w:t>
      </w:r>
      <w:bookmarkEnd w:id="808"/>
      <w:r>
        <w:rPr>
          <w:color w:val="000000"/>
          <w:spacing w:val="0"/>
          <w:w w:val="100"/>
          <w:position w:val="0"/>
        </w:rPr>
        <w:t>、</w:t>
        <w:tab/>
        <w:t>独立董事履行职责的其他说明</w:t>
      </w:r>
      <w:bookmarkEnd w:id="806"/>
      <w:bookmarkEnd w:id="807"/>
      <w:bookmarkEnd w:id="80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报告期内，独立董事根据《公司法》、《关于在上市公司建立独立董事的指导意见》、《深圳证券交 易所上市公司规范运作指引》、《公司章程》及《独立董事工作条例》等相关法律法规和规章制度的规定, 诚信、勤勉、尽责、忠实地履行职责，充分利用自己的专业优势，密切关注公司的经营情况，并利用召开 董事会、股东大会的机会及其他时间，深入现场了解公司的生产、经营和管理情况，积极与其他董事、监 事、管理人员进行沟通交流，及时掌握公司的经营动态，共同分析研究公司所面临的问题，并利用各自专 业知识为公司发展和未来规划建言献策。独立董事从各自专业角度为公司的经营发展提出合理的意见和建 议，并对报告期内公司的关联交易、利润分配、对外投资等需要独立董事发表意见的事项出具了独立、公 正意见，为维护公司和股东尤其是社会公众股股东的利益发挥了应有的作用。对于独立董事所提出的意见, 公司均予以采纳。</w:t>
      </w:r>
    </w:p>
    <w:p>
      <w:pPr>
        <w:pStyle w:val="Style24"/>
        <w:keepNext/>
        <w:keepLines/>
        <w:widowControl w:val="0"/>
        <w:shd w:val="clear" w:color="auto" w:fill="auto"/>
        <w:bidi w:val="0"/>
        <w:spacing w:before="0" w:after="28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六</w:t>
      </w:r>
      <w:bookmarkEnd w:id="812"/>
      <w:r>
        <w:rPr>
          <w:color w:val="000000"/>
          <w:spacing w:val="0"/>
          <w:w w:val="100"/>
          <w:position w:val="0"/>
        </w:rPr>
        <w:t>、董事会下设专门委员会在报告期内履行职责情况</w:t>
      </w:r>
      <w:bookmarkEnd w:id="810"/>
      <w:bookmarkEnd w:id="811"/>
      <w:bookmarkEnd w:id="813"/>
    </w:p>
    <w:p>
      <w:pPr>
        <w:pStyle w:val="Style32"/>
        <w:keepNext/>
        <w:keepLines/>
        <w:widowControl w:val="0"/>
        <w:shd w:val="clear" w:color="auto" w:fill="auto"/>
        <w:bidi w:val="0"/>
        <w:spacing w:before="0" w:after="280" w:line="317" w:lineRule="exact"/>
        <w:ind w:left="0" w:right="0" w:firstLine="0"/>
        <w:jc w:val="left"/>
      </w:pPr>
      <w:bookmarkStart w:id="814" w:name="bookmark814"/>
      <w:bookmarkStart w:id="815" w:name="bookmark815"/>
      <w:bookmarkStart w:id="816" w:name="bookmark816"/>
      <w:r>
        <w:rPr>
          <w:color w:val="000000"/>
          <w:spacing w:val="0"/>
          <w:w w:val="100"/>
          <w:position w:val="0"/>
        </w:rPr>
        <w:t>（一）董事会审计委员会履职情况汇总报告</w:t>
      </w:r>
      <w:bookmarkEnd w:id="814"/>
      <w:bookmarkEnd w:id="815"/>
      <w:bookmarkEnd w:id="816"/>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公司董事会审计委员会由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名董事组成，其中两名为公司独立董事，主任委员由具有专业会计背景的 独立董事担任。根据中国证监会、深圳证券交易所及公司《董事会审计委员会工作细则》，公司董事会审 计委员会本着勤勉尽责的原则，报告期内及报告期后</w:t>
      </w:r>
      <w:r>
        <w:rPr>
          <w:rFonts w:ascii="Times New Roman" w:eastAsia="Times New Roman" w:hAnsi="Times New Roman" w:cs="Times New Roman"/>
          <w:color w:val="000000"/>
          <w:spacing w:val="0"/>
          <w:w w:val="100"/>
          <w:position w:val="0"/>
        </w:rPr>
        <w:t>2020</w:t>
      </w:r>
      <w:r>
        <w:rPr>
          <w:color w:val="000000"/>
          <w:spacing w:val="0"/>
          <w:w w:val="100"/>
          <w:position w:val="0"/>
        </w:rPr>
        <w:t>年年度报告期间，履行了以下工作职责：</w:t>
      </w:r>
    </w:p>
    <w:p>
      <w:pPr>
        <w:pStyle w:val="Style35"/>
        <w:keepNext w:val="0"/>
        <w:keepLines w:val="0"/>
        <w:widowControl w:val="0"/>
        <w:shd w:val="clear" w:color="auto" w:fill="auto"/>
        <w:tabs>
          <w:tab w:pos="794" w:val="left"/>
        </w:tabs>
        <w:bidi w:val="0"/>
        <w:spacing w:before="0" w:after="0" w:line="317" w:lineRule="exact"/>
        <w:ind w:left="0" w:right="0" w:firstLine="440"/>
        <w:jc w:val="both"/>
      </w:pPr>
      <w:bookmarkStart w:id="817" w:name="bookmark817"/>
      <w:r>
        <w:rPr>
          <w:rFonts w:ascii="Times New Roman" w:eastAsia="Times New Roman" w:hAnsi="Times New Roman" w:cs="Times New Roman"/>
          <w:color w:val="000000"/>
          <w:spacing w:val="0"/>
          <w:w w:val="100"/>
          <w:position w:val="0"/>
        </w:rPr>
        <w:t>1</w:t>
      </w:r>
      <w:bookmarkEnd w:id="817"/>
      <w:r>
        <w:rPr>
          <w:color w:val="000000"/>
          <w:spacing w:val="0"/>
          <w:w w:val="100"/>
          <w:position w:val="0"/>
        </w:rPr>
        <w:t>、</w:t>
        <w:tab/>
        <w:t>审计委员会召开会议情况</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报告期内，董事会审计委员会召开会议情况如下：</w:t>
      </w:r>
    </w:p>
    <w:p>
      <w:pPr>
        <w:pStyle w:val="Style35"/>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日，审计委员会召开了</w:t>
      </w:r>
      <w:r>
        <w:rPr>
          <w:rFonts w:ascii="Times New Roman" w:eastAsia="Times New Roman" w:hAnsi="Times New Roman" w:cs="Times New Roman"/>
          <w:color w:val="000000"/>
          <w:spacing w:val="0"/>
          <w:w w:val="100"/>
          <w:position w:val="0"/>
        </w:rPr>
        <w:t>2020</w:t>
      </w:r>
      <w:r>
        <w:rPr>
          <w:color w:val="000000"/>
          <w:spacing w:val="0"/>
          <w:w w:val="100"/>
          <w:position w:val="0"/>
        </w:rPr>
        <w:t>年度第一次会议，审议通过了《关于续聘信永中和会计师事 务所（特殊普通合伙）担任公司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年度审计机构的议案》，并出具了审核意见；</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日，审计委员会召开了</w:t>
      </w:r>
      <w:r>
        <w:rPr>
          <w:rFonts w:ascii="Times New Roman" w:eastAsia="Times New Roman" w:hAnsi="Times New Roman" w:cs="Times New Roman"/>
          <w:color w:val="000000"/>
          <w:spacing w:val="0"/>
          <w:w w:val="100"/>
          <w:position w:val="0"/>
        </w:rPr>
        <w:t>2020</w:t>
      </w:r>
      <w:r>
        <w:rPr>
          <w:color w:val="000000"/>
          <w:spacing w:val="0"/>
          <w:w w:val="100"/>
          <w:position w:val="0"/>
        </w:rPr>
        <w:t>年度第二次会议，审议通过了《关于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年年度报告的议案》， 并出具了审核意见；</w:t>
      </w:r>
    </w:p>
    <w:p>
      <w:pPr>
        <w:pStyle w:val="Style35"/>
        <w:keepNext w:val="0"/>
        <w:keepLines w:val="0"/>
        <w:widowControl w:val="0"/>
        <w:shd w:val="clear" w:color="auto" w:fill="auto"/>
        <w:bidi w:val="0"/>
        <w:spacing w:before="0" w:after="0" w:line="32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年第三次会议，审议通过了《关于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年第一季度报告的议案》， 并出具了审核意见。</w:t>
      </w:r>
    </w:p>
    <w:p>
      <w:pPr>
        <w:pStyle w:val="Style35"/>
        <w:keepNext w:val="0"/>
        <w:keepLines w:val="0"/>
        <w:widowControl w:val="0"/>
        <w:shd w:val="clear" w:color="auto" w:fill="auto"/>
        <w:bidi w:val="0"/>
        <w:spacing w:before="0" w:after="0" w:line="32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年第四次会议，审议通过了《关于修订</w:t>
      </w:r>
      <w:r>
        <w:rPr>
          <w:color w:val="000000"/>
          <w:spacing w:val="0"/>
          <w:w w:val="100"/>
          <w:position w:val="0"/>
        </w:rPr>
        <w:t>〈</w:t>
      </w:r>
      <w:r>
        <w:rPr>
          <w:color w:val="000000"/>
          <w:spacing w:val="0"/>
          <w:w w:val="100"/>
          <w:position w:val="0"/>
        </w:rPr>
        <w:t>董事会审计委员会工作 细则</w:t>
      </w:r>
      <w:r>
        <w:rPr>
          <w:color w:val="000000"/>
          <w:spacing w:val="0"/>
          <w:w w:val="100"/>
          <w:position w:val="0"/>
        </w:rPr>
        <w:t>〉</w:t>
      </w:r>
      <w:r>
        <w:rPr>
          <w:color w:val="000000"/>
          <w:spacing w:val="0"/>
          <w:w w:val="100"/>
          <w:position w:val="0"/>
        </w:rPr>
        <w:t>的议案》，并出具了审核意见。</w:t>
      </w:r>
    </w:p>
    <w:p>
      <w:pPr>
        <w:pStyle w:val="Style35"/>
        <w:keepNext w:val="0"/>
        <w:keepLines w:val="0"/>
        <w:widowControl w:val="0"/>
        <w:shd w:val="clear" w:color="auto" w:fill="auto"/>
        <w:bidi w:val="0"/>
        <w:spacing w:before="0" w:after="0" w:line="32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年第五次会议，审议通过了《关于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年半年度报告的议案》， 并出具了审核意见。</w:t>
      </w:r>
    </w:p>
    <w:p>
      <w:pPr>
        <w:pStyle w:val="Style35"/>
        <w:keepNext w:val="0"/>
        <w:keepLines w:val="0"/>
        <w:widowControl w:val="0"/>
        <w:shd w:val="clear" w:color="auto" w:fill="auto"/>
        <w:bidi w:val="0"/>
        <w:spacing w:before="0" w:after="0" w:line="32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年第六次会议，审议通过了《关于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年第三季度报告的议案》， 并出具了审核意见。</w:t>
      </w:r>
    </w:p>
    <w:p>
      <w:pPr>
        <w:pStyle w:val="Style35"/>
        <w:keepNext w:val="0"/>
        <w:keepLines w:val="0"/>
        <w:widowControl w:val="0"/>
        <w:shd w:val="clear" w:color="auto" w:fill="auto"/>
        <w:tabs>
          <w:tab w:pos="813" w:val="left"/>
        </w:tabs>
        <w:bidi w:val="0"/>
        <w:spacing w:before="0" w:after="80" w:line="329" w:lineRule="exact"/>
        <w:ind w:left="0" w:right="0" w:firstLine="440"/>
        <w:jc w:val="both"/>
      </w:pPr>
      <w:bookmarkStart w:id="818" w:name="bookmark818"/>
      <w:r>
        <w:rPr>
          <w:rFonts w:ascii="Times New Roman" w:eastAsia="Times New Roman" w:hAnsi="Times New Roman" w:cs="Times New Roman"/>
          <w:color w:val="000000"/>
          <w:spacing w:val="0"/>
          <w:w w:val="100"/>
          <w:position w:val="0"/>
        </w:rPr>
        <w:t>2</w:t>
      </w:r>
      <w:bookmarkEnd w:id="818"/>
      <w:r>
        <w:rPr>
          <w:color w:val="000000"/>
          <w:spacing w:val="0"/>
          <w:w w:val="100"/>
          <w:position w:val="0"/>
        </w:rPr>
        <w:t>、</w:t>
        <w:tab/>
        <w:t>审计委员会进行</w:t>
      </w:r>
      <w:r>
        <w:rPr>
          <w:rFonts w:ascii="Times New Roman" w:eastAsia="Times New Roman" w:hAnsi="Times New Roman" w:cs="Times New Roman"/>
          <w:color w:val="000000"/>
          <w:spacing w:val="0"/>
          <w:w w:val="100"/>
          <w:position w:val="0"/>
        </w:rPr>
        <w:t>2020</w:t>
      </w:r>
      <w:r>
        <w:rPr>
          <w:color w:val="000000"/>
          <w:spacing w:val="0"/>
          <w:w w:val="100"/>
          <w:position w:val="0"/>
        </w:rPr>
        <w:t>年度报告沟通工作及审阅</w:t>
      </w: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p>
      <w:pPr>
        <w:pStyle w:val="Style35"/>
        <w:keepNext w:val="0"/>
        <w:keepLines w:val="0"/>
        <w:widowControl w:val="0"/>
        <w:shd w:val="clear" w:color="auto" w:fill="auto"/>
        <w:tabs>
          <w:tab w:pos="890" w:val="left"/>
        </w:tabs>
        <w:bidi w:val="0"/>
        <w:spacing w:before="0" w:after="0" w:line="315" w:lineRule="exact"/>
        <w:ind w:left="0" w:right="0" w:firstLine="44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与年审注册会计师沟通</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年度审计工作计划</w:t>
      </w:r>
    </w:p>
    <w:p>
      <w:pPr>
        <w:pStyle w:val="Style35"/>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日，公司董事会审计委员会以通讯方式召开了</w:t>
      </w:r>
      <w:r>
        <w:rPr>
          <w:rFonts w:ascii="Times New Roman" w:eastAsia="Times New Roman" w:hAnsi="Times New Roman" w:cs="Times New Roman"/>
          <w:color w:val="000000"/>
          <w:spacing w:val="0"/>
          <w:w w:val="100"/>
          <w:position w:val="0"/>
        </w:rPr>
        <w:t>2020</w:t>
      </w:r>
      <w:r>
        <w:rPr>
          <w:color w:val="000000"/>
          <w:spacing w:val="0"/>
          <w:w w:val="100"/>
          <w:position w:val="0"/>
        </w:rPr>
        <w:t>年年报第一次工作会议，会计师向审计 委员会汇报了审计计划、人员安排和预审情况，审计委员会委员就预审中的问题、审计过程中需要注意的 问题等事项与会计师进行了沟通，并要求会计师注意审计计划的合理安排以及审计过程中的细节，按照计 划的进度完成年报审计工作。</w:t>
      </w:r>
    </w:p>
    <w:p>
      <w:pPr>
        <w:pStyle w:val="Style35"/>
        <w:keepNext w:val="0"/>
        <w:keepLines w:val="0"/>
        <w:widowControl w:val="0"/>
        <w:shd w:val="clear" w:color="auto" w:fill="auto"/>
        <w:tabs>
          <w:tab w:pos="890" w:val="left"/>
        </w:tabs>
        <w:bidi w:val="0"/>
        <w:spacing w:before="0" w:after="0" w:line="315" w:lineRule="exact"/>
        <w:ind w:left="0" w:right="0" w:firstLine="44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审计进场前审阅公司编制的财务会计报表</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董事会审计委员会认真审阅了公司管理层提交的未经审计的</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年度财务报表，经与公司管理层就有 关资料进行询问交流后，发表意见如下：</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公司财务报表依照公司新企业会计准则、会计政策、企业会计制度以及财政部发布的有关规定要求， 未发现重大错报和漏报情况，所包含的信息能从重大方面反映出公司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年度财务状况和经营成果，同意 以此财务报表为基础，展开</w:t>
      </w:r>
      <w:r>
        <w:rPr>
          <w:rFonts w:ascii="Times New Roman" w:eastAsia="Times New Roman" w:hAnsi="Times New Roman" w:cs="Times New Roman"/>
          <w:color w:val="000000"/>
          <w:spacing w:val="0"/>
          <w:w w:val="100"/>
          <w:position w:val="0"/>
        </w:rPr>
        <w:t>2020</w:t>
      </w:r>
      <w:r>
        <w:rPr>
          <w:color w:val="000000"/>
          <w:spacing w:val="0"/>
          <w:w w:val="100"/>
          <w:position w:val="0"/>
        </w:rPr>
        <w:t>年年度报告审计工作。</w:t>
      </w:r>
    </w:p>
    <w:p>
      <w:pPr>
        <w:pStyle w:val="Style35"/>
        <w:keepNext w:val="0"/>
        <w:keepLines w:val="0"/>
        <w:widowControl w:val="0"/>
        <w:shd w:val="clear" w:color="auto" w:fill="auto"/>
        <w:tabs>
          <w:tab w:pos="890" w:val="left"/>
        </w:tabs>
        <w:bidi w:val="0"/>
        <w:spacing w:before="0" w:after="0" w:line="315" w:lineRule="exact"/>
        <w:ind w:left="0" w:right="0" w:firstLine="44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3</w:t>
      </w:r>
      <w:r>
        <w:rPr>
          <w:color w:val="000000"/>
          <w:spacing w:val="0"/>
          <w:w w:val="100"/>
          <w:position w:val="0"/>
        </w:rPr>
        <w:t>）</w:t>
        <w:tab/>
        <w:t>审计期间保持与会计师事务所的沟通并审阅经初步审计后的财务报表</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公司年审注册会计师进场后，董事会审计委员会与年审注册会计师于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2020</w:t>
      </w:r>
      <w:r>
        <w:rPr>
          <w:color w:val="000000"/>
          <w:spacing w:val="0"/>
          <w:w w:val="100"/>
          <w:position w:val="0"/>
        </w:rPr>
        <w:t>年年 报第二次工作会议，注册会计师向审计委员会汇报了审计中的调整事项，审计委员会就审计过程中发现的 问题、审计调整事项以及审计进度进行了沟通和交流，发表如下审核意见：</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保持原有的审议意见，并认为公司已严格按照新企业会计准则处理了资产负债日期后事项，公司财务 报表已经按照新企业会计准则及公司有关财务制度的规定编制，同意年审注册会计师对公司财务会计报表 出具的初步审计报告，同时请审计项目组按照审计计划尽快完成审计工作，以保证公司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年年度报告如 期披露。</w:t>
      </w:r>
    </w:p>
    <w:p>
      <w:pPr>
        <w:pStyle w:val="Style35"/>
        <w:keepNext w:val="0"/>
        <w:keepLines w:val="0"/>
        <w:widowControl w:val="0"/>
        <w:shd w:val="clear" w:color="auto" w:fill="auto"/>
        <w:tabs>
          <w:tab w:pos="890" w:val="left"/>
        </w:tabs>
        <w:bidi w:val="0"/>
        <w:spacing w:before="0" w:after="0" w:line="314" w:lineRule="exact"/>
        <w:ind w:left="0" w:right="0" w:firstLine="44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4</w:t>
      </w:r>
      <w:r>
        <w:rPr>
          <w:color w:val="000000"/>
          <w:spacing w:val="0"/>
          <w:w w:val="100"/>
          <w:position w:val="0"/>
        </w:rPr>
        <w:t>）</w:t>
        <w:tab/>
        <w:t>审阅公司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w:t>
      </w:r>
    </w:p>
    <w:p>
      <w:pPr>
        <w:pStyle w:val="Style35"/>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日，董事会审计委员会召开了年报工作第三次工作会议，认真审阅了经信永中和会计师 事务所出具的</w:t>
      </w:r>
      <w:r>
        <w:rPr>
          <w:rFonts w:ascii="Times New Roman" w:eastAsia="Times New Roman" w:hAnsi="Times New Roman" w:cs="Times New Roman"/>
          <w:color w:val="000000"/>
          <w:spacing w:val="0"/>
          <w:w w:val="100"/>
          <w:position w:val="0"/>
        </w:rPr>
        <w:t>2020</w:t>
      </w:r>
      <w:r>
        <w:rPr>
          <w:color w:val="000000"/>
          <w:spacing w:val="0"/>
          <w:w w:val="100"/>
          <w:position w:val="0"/>
        </w:rPr>
        <w:t>年年度审计报告，同时审议通过了以下决议：</w:t>
      </w:r>
    </w:p>
    <w:p>
      <w:pPr>
        <w:pStyle w:val="Style35"/>
        <w:keepNext w:val="0"/>
        <w:keepLines w:val="0"/>
        <w:widowControl w:val="0"/>
        <w:shd w:val="clear" w:color="auto" w:fill="auto"/>
        <w:tabs>
          <w:tab w:pos="809" w:val="left"/>
        </w:tabs>
        <w:bidi w:val="0"/>
        <w:spacing w:before="0" w:after="0" w:line="312" w:lineRule="exact"/>
        <w:ind w:left="0" w:right="0" w:firstLine="440"/>
        <w:jc w:val="both"/>
      </w:pPr>
      <w:bookmarkStart w:id="823" w:name="bookmark823"/>
      <w:r>
        <w:rPr>
          <w:rFonts w:ascii="Times New Roman" w:eastAsia="Times New Roman" w:hAnsi="Times New Roman" w:cs="Times New Roman"/>
          <w:color w:val="000000"/>
          <w:spacing w:val="0"/>
          <w:w w:val="100"/>
          <w:position w:val="0"/>
        </w:rPr>
        <w:t>A</w:t>
      </w:r>
      <w:bookmarkEnd w:id="823"/>
      <w:r>
        <w:rPr>
          <w:color w:val="000000"/>
          <w:spacing w:val="0"/>
          <w:w w:val="100"/>
          <w:position w:val="0"/>
        </w:rPr>
        <w:t>、</w:t>
        <w:tab/>
      </w:r>
      <w:r>
        <w:rPr>
          <w:color w:val="000000"/>
          <w:spacing w:val="0"/>
          <w:w w:val="100"/>
          <w:position w:val="0"/>
        </w:rPr>
        <w:t>信永中和会计师事务所（特殊普通合伙）出具的《</w:t>
      </w:r>
      <w:r>
        <w:rPr>
          <w:rFonts w:ascii="Times New Roman" w:eastAsia="Times New Roman" w:hAnsi="Times New Roman" w:cs="Times New Roman"/>
          <w:color w:val="000000"/>
          <w:spacing w:val="0"/>
          <w:w w:val="100"/>
          <w:position w:val="0"/>
        </w:rPr>
        <w:t>2020</w:t>
      </w:r>
      <w:r>
        <w:rPr>
          <w:color w:val="000000"/>
          <w:spacing w:val="0"/>
          <w:w w:val="100"/>
          <w:position w:val="0"/>
        </w:rPr>
        <w:t>年年度审计报告》严格按照新企业会计准 则及公司有关财务制度的规定编制，公允地反映了公司</w:t>
      </w:r>
      <w:r>
        <w:rPr>
          <w:rFonts w:ascii="Times New Roman" w:eastAsia="Times New Roman" w:hAnsi="Times New Roman" w:cs="Times New Roman"/>
          <w:color w:val="000000"/>
          <w:spacing w:val="0"/>
          <w:w w:val="100"/>
          <w:position w:val="0"/>
        </w:rPr>
        <w:t>2020</w:t>
      </w:r>
      <w:r>
        <w:rPr>
          <w:color w:val="000000"/>
          <w:spacing w:val="0"/>
          <w:w w:val="100"/>
          <w:position w:val="0"/>
        </w:rPr>
        <w:t>年度的财务状况和经营成果，同意以该审计报 告为基础制作公司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年年度报告和摘要；</w:t>
      </w:r>
    </w:p>
    <w:p>
      <w:pPr>
        <w:pStyle w:val="Style35"/>
        <w:keepNext w:val="0"/>
        <w:keepLines w:val="0"/>
        <w:widowControl w:val="0"/>
        <w:shd w:val="clear" w:color="auto" w:fill="auto"/>
        <w:tabs>
          <w:tab w:pos="809" w:val="left"/>
        </w:tabs>
        <w:bidi w:val="0"/>
        <w:spacing w:before="0" w:after="0" w:line="315" w:lineRule="exact"/>
        <w:ind w:left="0" w:right="0" w:firstLine="440"/>
        <w:jc w:val="both"/>
      </w:pPr>
      <w:bookmarkStart w:id="824" w:name="bookmark824"/>
      <w:r>
        <w:rPr>
          <w:rFonts w:ascii="Times New Roman" w:eastAsia="Times New Roman" w:hAnsi="Times New Roman" w:cs="Times New Roman"/>
          <w:color w:val="000000"/>
          <w:spacing w:val="0"/>
          <w:w w:val="100"/>
          <w:position w:val="0"/>
        </w:rPr>
        <w:t>B</w:t>
      </w:r>
      <w:bookmarkEnd w:id="824"/>
      <w:r>
        <w:rPr>
          <w:color w:val="000000"/>
          <w:spacing w:val="0"/>
          <w:w w:val="100"/>
          <w:position w:val="0"/>
        </w:rPr>
        <w:t>、</w:t>
        <w:tab/>
      </w:r>
      <w:r>
        <w:rPr>
          <w:color w:val="000000"/>
          <w:spacing w:val="0"/>
          <w:w w:val="100"/>
          <w:position w:val="0"/>
        </w:rPr>
        <w:t>审议通过了《关于会计师事务所从事本年度审计工作的总结》。</w:t>
      </w:r>
    </w:p>
    <w:p>
      <w:pPr>
        <w:pStyle w:val="Style35"/>
        <w:keepNext w:val="0"/>
        <w:keepLines w:val="0"/>
        <w:widowControl w:val="0"/>
        <w:shd w:val="clear" w:color="auto" w:fill="auto"/>
        <w:bidi w:val="0"/>
        <w:spacing w:before="0" w:after="0" w:line="315" w:lineRule="exact"/>
        <w:ind w:left="0" w:right="0" w:firstLine="0"/>
        <w:jc w:val="left"/>
      </w:pPr>
      <w:bookmarkStart w:id="825" w:name="bookmark825"/>
      <w:r>
        <w:rPr>
          <w:b/>
          <w:bCs/>
          <w:color w:val="000000"/>
          <w:spacing w:val="0"/>
          <w:w w:val="100"/>
          <w:position w:val="0"/>
        </w:rPr>
        <w:t>（</w:t>
      </w:r>
      <w:bookmarkEnd w:id="825"/>
      <w:r>
        <w:rPr>
          <w:b/>
          <w:bCs/>
          <w:color w:val="000000"/>
          <w:spacing w:val="0"/>
          <w:w w:val="100"/>
          <w:position w:val="0"/>
        </w:rPr>
        <w:t>二）董事会薪酬委员会履职情况汇总报告</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董事会薪酬委员会成员由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名董事组成，其中两名为公司独立董事，主任委员由独立董事担任。</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根据中国证监会、深圳证券交易所有关规定及公司《董事会薪酬委员会工作细则》，公司董事会薪酬 委员会本着勤勉尽责的原则，本报告期内履行了以下工作职责：</w:t>
      </w:r>
    </w:p>
    <w:p>
      <w:pPr>
        <w:pStyle w:val="Style35"/>
        <w:keepNext w:val="0"/>
        <w:keepLines w:val="0"/>
        <w:widowControl w:val="0"/>
        <w:shd w:val="clear" w:color="auto" w:fill="auto"/>
        <w:bidi w:val="0"/>
        <w:spacing w:before="0" w:after="0" w:line="312" w:lineRule="exact"/>
        <w:ind w:left="0" w:right="0" w:firstLine="440"/>
        <w:jc w:val="both"/>
      </w:pPr>
      <w:bookmarkStart w:id="826" w:name="bookmark826"/>
      <w:r>
        <w:rPr>
          <w:rFonts w:ascii="Times New Roman" w:eastAsia="Times New Roman" w:hAnsi="Times New Roman" w:cs="Times New Roman"/>
          <w:color w:val="000000"/>
          <w:spacing w:val="0"/>
          <w:w w:val="100"/>
          <w:position w:val="0"/>
        </w:rPr>
        <w:t>1</w:t>
      </w:r>
      <w:bookmarkEnd w:id="826"/>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日，董事会薪酬委员会召开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年第一次会议，审议《关于公司高级管理人员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 度薪酬的议案》，听取了公司管理层就</w:t>
      </w:r>
      <w:r>
        <w:rPr>
          <w:rFonts w:ascii="Times New Roman" w:eastAsia="Times New Roman" w:hAnsi="Times New Roman" w:cs="Times New Roman"/>
          <w:color w:val="000000"/>
          <w:spacing w:val="0"/>
          <w:w w:val="100"/>
          <w:position w:val="0"/>
        </w:rPr>
        <w:t>2019</w:t>
      </w:r>
      <w:r>
        <w:rPr>
          <w:color w:val="000000"/>
          <w:spacing w:val="0"/>
          <w:w w:val="100"/>
          <w:position w:val="0"/>
        </w:rPr>
        <w:t>年主要业务经营情况和经营目标完成情况的汇报，并依据公司 董事、监事及高管人员的岗位职责，对公司高管人员</w:t>
      </w:r>
      <w:r>
        <w:rPr>
          <w:rFonts w:ascii="Times New Roman" w:eastAsia="Times New Roman" w:hAnsi="Times New Roman" w:cs="Times New Roman"/>
          <w:color w:val="000000"/>
          <w:spacing w:val="0"/>
          <w:w w:val="100"/>
          <w:position w:val="0"/>
        </w:rPr>
        <w:t>2019</w:t>
      </w:r>
      <w:r>
        <w:rPr>
          <w:color w:val="000000"/>
          <w:spacing w:val="0"/>
          <w:w w:val="100"/>
          <w:position w:val="0"/>
        </w:rPr>
        <w:t>年度薪酬进行了审核，并出具如下审核意见：报 告期内，公司管理层基本完成了董事会制定的经营业绩目标，石基信息高管人员薪酬收入执行了股东大会、 董事会批准的有关规定，公司</w:t>
      </w:r>
      <w:r>
        <w:rPr>
          <w:rFonts w:ascii="Times New Roman" w:eastAsia="Times New Roman" w:hAnsi="Times New Roman" w:cs="Times New Roman"/>
          <w:color w:val="000000"/>
          <w:spacing w:val="0"/>
          <w:w w:val="100"/>
          <w:position w:val="0"/>
        </w:rPr>
        <w:t>2019</w:t>
      </w:r>
      <w:r>
        <w:rPr>
          <w:color w:val="000000"/>
          <w:spacing w:val="0"/>
          <w:w w:val="100"/>
          <w:position w:val="0"/>
        </w:rPr>
        <w:t>年年度报告中披露的有关高管人员薪酬收入情况真实、客观。</w:t>
      </w:r>
    </w:p>
    <w:p>
      <w:pPr>
        <w:pStyle w:val="Style35"/>
        <w:keepNext w:val="0"/>
        <w:keepLines w:val="0"/>
        <w:widowControl w:val="0"/>
        <w:shd w:val="clear" w:color="auto" w:fill="auto"/>
        <w:tabs>
          <w:tab w:pos="809" w:val="left"/>
        </w:tabs>
        <w:bidi w:val="0"/>
        <w:spacing w:before="0" w:after="0" w:line="321" w:lineRule="exact"/>
        <w:ind w:left="0" w:right="0" w:firstLine="440"/>
        <w:jc w:val="both"/>
      </w:pPr>
      <w:bookmarkStart w:id="827" w:name="bookmark827"/>
      <w:r>
        <w:rPr>
          <w:rFonts w:ascii="Times New Roman" w:eastAsia="Times New Roman" w:hAnsi="Times New Roman" w:cs="Times New Roman"/>
          <w:color w:val="000000"/>
          <w:spacing w:val="0"/>
          <w:w w:val="100"/>
          <w:position w:val="0"/>
        </w:rPr>
        <w:t>2</w:t>
      </w:r>
      <w:bookmarkEnd w:id="82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日，董事会薪酬委员会召开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年第二次会议，审议通过了《关于修订</w:t>
      </w:r>
      <w:r>
        <w:rPr>
          <w:color w:val="000000"/>
          <w:spacing w:val="0"/>
          <w:w w:val="100"/>
          <w:position w:val="0"/>
        </w:rPr>
        <w:t>〈</w:t>
      </w:r>
      <w:r>
        <w:rPr>
          <w:color w:val="000000"/>
          <w:spacing w:val="0"/>
          <w:w w:val="100"/>
          <w:position w:val="0"/>
        </w:rPr>
        <w:t>董事会薪酬 委员会工作细则</w:t>
      </w:r>
      <w:r>
        <w:rPr>
          <w:color w:val="000000"/>
          <w:spacing w:val="0"/>
          <w:w w:val="100"/>
          <w:position w:val="0"/>
        </w:rPr>
        <w:t>〉</w:t>
      </w:r>
      <w:r>
        <w:rPr>
          <w:color w:val="000000"/>
          <w:spacing w:val="0"/>
          <w:w w:val="100"/>
          <w:position w:val="0"/>
        </w:rPr>
        <w:t>的议案》，并出具了审核意见。</w:t>
      </w:r>
    </w:p>
    <w:p>
      <w:pPr>
        <w:pStyle w:val="Style35"/>
        <w:keepNext w:val="0"/>
        <w:keepLines w:val="0"/>
        <w:widowControl w:val="0"/>
        <w:shd w:val="clear" w:color="auto" w:fill="auto"/>
        <w:tabs>
          <w:tab w:pos="809" w:val="left"/>
        </w:tabs>
        <w:bidi w:val="0"/>
        <w:spacing w:before="0" w:after="0" w:line="321" w:lineRule="exact"/>
        <w:ind w:left="0" w:right="0" w:firstLine="440"/>
        <w:jc w:val="both"/>
      </w:pPr>
      <w:bookmarkStart w:id="828" w:name="bookmark828"/>
      <w:r>
        <w:rPr>
          <w:rFonts w:ascii="Times New Roman" w:eastAsia="Times New Roman" w:hAnsi="Times New Roman" w:cs="Times New Roman"/>
          <w:color w:val="000000"/>
          <w:spacing w:val="0"/>
          <w:w w:val="100"/>
          <w:position w:val="0"/>
        </w:rPr>
        <w:t>3</w:t>
      </w:r>
      <w:bookmarkEnd w:id="82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color w:val="000000"/>
          <w:spacing w:val="0"/>
          <w:w w:val="100"/>
          <w:position w:val="0"/>
        </w:rPr>
        <w:t>，</w:t>
      </w:r>
      <w:r>
        <w:rPr>
          <w:color w:val="000000"/>
          <w:spacing w:val="0"/>
          <w:w w:val="100"/>
          <w:position w:val="0"/>
        </w:rPr>
        <w:t>董事会薪酬委员会召开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年第三次会议，审议《关于调整公司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 励计划授予期权行权价格的议案》、《关于公司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年股票期权激励计划剩余首次及预留股票期权不符合 行权条件的议案》、《关于公司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年股票期权激励计划拟注销部分期权的议案》，同意公司董事会对公 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年股票期权激励计划首次授予期权的行权价格由</w:t>
      </w:r>
      <w:r>
        <w:rPr>
          <w:rFonts w:ascii="Times New Roman" w:eastAsia="Times New Roman" w:hAnsi="Times New Roman" w:cs="Times New Roman"/>
          <w:color w:val="000000"/>
          <w:spacing w:val="0"/>
          <w:w w:val="100"/>
          <w:position w:val="0"/>
        </w:rPr>
        <w:t>25.14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25.10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股、以及公司剩余首次及 预留股票期权不符合行权条件并注销相关期权。</w:t>
      </w:r>
    </w:p>
    <w:p>
      <w:pPr>
        <w:pStyle w:val="Style35"/>
        <w:keepNext w:val="0"/>
        <w:keepLines w:val="0"/>
        <w:widowControl w:val="0"/>
        <w:shd w:val="clear" w:color="auto" w:fill="auto"/>
        <w:bidi w:val="0"/>
        <w:spacing w:before="0" w:after="0" w:line="316" w:lineRule="exact"/>
        <w:ind w:left="0" w:right="0" w:firstLine="0"/>
        <w:jc w:val="both"/>
      </w:pPr>
      <w:bookmarkStart w:id="829" w:name="bookmark829"/>
      <w:r>
        <w:rPr>
          <w:color w:val="000000"/>
          <w:spacing w:val="0"/>
          <w:w w:val="100"/>
          <w:position w:val="0"/>
        </w:rPr>
        <w:t>（</w:t>
      </w:r>
      <w:bookmarkEnd w:id="829"/>
      <w:r>
        <w:rPr>
          <w:color w:val="000000"/>
          <w:spacing w:val="0"/>
          <w:w w:val="100"/>
          <w:position w:val="0"/>
        </w:rPr>
        <w:t>三）董事会提名委员会履职情况汇总报告</w:t>
      </w:r>
    </w:p>
    <w:p>
      <w:pPr>
        <w:pStyle w:val="Style35"/>
        <w:keepNext w:val="0"/>
        <w:keepLines w:val="0"/>
        <w:widowControl w:val="0"/>
        <w:shd w:val="clear" w:color="auto" w:fill="auto"/>
        <w:bidi w:val="0"/>
        <w:spacing w:before="0" w:after="0" w:line="326" w:lineRule="exact"/>
        <w:ind w:left="0" w:right="0" w:firstLine="680"/>
        <w:jc w:val="both"/>
      </w:pPr>
      <w:r>
        <w:rPr>
          <w:color w:val="000000"/>
          <w:spacing w:val="0"/>
          <w:w w:val="100"/>
          <w:position w:val="0"/>
        </w:rPr>
        <w:t>董事会提名委员会成员由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名董事组成，其中两名为公司独立董事，主任委员由独立董事担任。报 告期内，提名委员会根据《公司法》、《公司章程》和《董事会提名委员会工作细则》，积极履行职责。</w:t>
      </w:r>
    </w:p>
    <w:p>
      <w:pPr>
        <w:pStyle w:val="Style35"/>
        <w:keepNext w:val="0"/>
        <w:keepLines w:val="0"/>
        <w:widowControl w:val="0"/>
        <w:shd w:val="clear" w:color="auto" w:fill="auto"/>
        <w:bidi w:val="0"/>
        <w:spacing w:before="0" w:after="360" w:line="322" w:lineRule="exact"/>
        <w:ind w:left="0" w:right="0" w:firstLine="6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日，董事会提名委员会召开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年第一次会议，审议通过了《关于修订</w:t>
      </w:r>
      <w:r>
        <w:rPr>
          <w:color w:val="000000"/>
          <w:spacing w:val="0"/>
          <w:w w:val="100"/>
          <w:position w:val="0"/>
        </w:rPr>
        <w:t>〈</w:t>
      </w:r>
      <w:r>
        <w:rPr>
          <w:color w:val="000000"/>
          <w:spacing w:val="0"/>
          <w:w w:val="100"/>
          <w:position w:val="0"/>
        </w:rPr>
        <w:t>董事会提名委 员会工作细则</w:t>
      </w:r>
      <w:r>
        <w:rPr>
          <w:color w:val="000000"/>
          <w:spacing w:val="0"/>
          <w:w w:val="100"/>
          <w:position w:val="0"/>
        </w:rPr>
        <w:t>〉</w:t>
      </w:r>
      <w:r>
        <w:rPr>
          <w:color w:val="000000"/>
          <w:spacing w:val="0"/>
          <w:w w:val="100"/>
          <w:position w:val="0"/>
        </w:rPr>
        <w:t>的议案》，并出具了审核意见。</w:t>
      </w:r>
    </w:p>
    <w:p>
      <w:pPr>
        <w:pStyle w:val="Style24"/>
        <w:keepNext/>
        <w:keepLines/>
        <w:widowControl w:val="0"/>
        <w:shd w:val="clear" w:color="auto" w:fill="auto"/>
        <w:tabs>
          <w:tab w:pos="522" w:val="left"/>
        </w:tabs>
        <w:bidi w:val="0"/>
        <w:spacing w:before="0" w:after="360" w:line="240" w:lineRule="auto"/>
        <w:ind w:left="0" w:right="0" w:firstLine="0"/>
        <w:jc w:val="both"/>
      </w:pPr>
      <w:bookmarkStart w:id="830" w:name="bookmark830"/>
      <w:bookmarkStart w:id="831" w:name="bookmark831"/>
      <w:bookmarkStart w:id="832" w:name="bookmark832"/>
      <w:bookmarkStart w:id="833" w:name="bookmark833"/>
      <w:r>
        <w:rPr>
          <w:color w:val="000000"/>
          <w:spacing w:val="0"/>
          <w:w w:val="100"/>
          <w:position w:val="0"/>
        </w:rPr>
        <w:t>七</w:t>
      </w:r>
      <w:bookmarkEnd w:id="832"/>
      <w:r>
        <w:rPr>
          <w:color w:val="000000"/>
          <w:spacing w:val="0"/>
          <w:w w:val="100"/>
          <w:position w:val="0"/>
        </w:rPr>
        <w:t>、</w:t>
        <w:tab/>
        <w:t>监事会工作情况</w:t>
      </w:r>
      <w:bookmarkEnd w:id="830"/>
      <w:bookmarkEnd w:id="831"/>
      <w:bookmarkEnd w:id="833"/>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监事会对报告期内的监督事项无异议。</w:t>
      </w:r>
    </w:p>
    <w:p>
      <w:pPr>
        <w:pStyle w:val="Style24"/>
        <w:keepNext/>
        <w:keepLines/>
        <w:widowControl w:val="0"/>
        <w:shd w:val="clear" w:color="auto" w:fill="auto"/>
        <w:tabs>
          <w:tab w:pos="522" w:val="left"/>
        </w:tabs>
        <w:bidi w:val="0"/>
        <w:spacing w:before="0" w:after="280" w:line="240" w:lineRule="auto"/>
        <w:ind w:left="0" w:right="0" w:firstLine="0"/>
        <w:jc w:val="both"/>
      </w:pPr>
      <w:bookmarkStart w:id="834" w:name="bookmark834"/>
      <w:bookmarkStart w:id="835" w:name="bookmark835"/>
      <w:bookmarkStart w:id="836" w:name="bookmark836"/>
      <w:bookmarkStart w:id="837" w:name="bookmark837"/>
      <w:r>
        <w:rPr>
          <w:color w:val="000000"/>
          <w:spacing w:val="0"/>
          <w:w w:val="100"/>
          <w:position w:val="0"/>
        </w:rPr>
        <w:t>八</w:t>
      </w:r>
      <w:bookmarkEnd w:id="836"/>
      <w:r>
        <w:rPr>
          <w:color w:val="000000"/>
          <w:spacing w:val="0"/>
          <w:w w:val="100"/>
          <w:position w:val="0"/>
        </w:rPr>
        <w:t>、</w:t>
        <w:tab/>
        <w:t>高级管理人员的考评及激励情况</w:t>
      </w:r>
      <w:bookmarkEnd w:id="834"/>
      <w:bookmarkEnd w:id="835"/>
      <w:bookmarkEnd w:id="837"/>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公司重视对高级管理人员的绩效考评工作，不断完善高级管理人员的考评和激励机制。根据公司《高 级管理人员绩效考核管理制度》的规定，公司对高级管理人员实行年薪制，高级管理人员的年薪与公司经 营业绩以及个人工作绩效挂钩，由公司董事会薪酬委员会对高级管理人员进行考评。考评结果作为高管人 员年薪核定的主要依据，由董事会最终审议通过。</w:t>
      </w:r>
    </w:p>
    <w:p>
      <w:pPr>
        <w:pStyle w:val="Style35"/>
        <w:keepNext w:val="0"/>
        <w:keepLines w:val="0"/>
        <w:widowControl w:val="0"/>
        <w:shd w:val="clear" w:color="auto" w:fill="auto"/>
        <w:bidi w:val="0"/>
        <w:spacing w:before="0" w:after="360" w:line="316" w:lineRule="exact"/>
        <w:ind w:left="0" w:right="0" w:firstLine="440"/>
        <w:jc w:val="both"/>
      </w:pPr>
      <w:r>
        <w:rPr>
          <w:color w:val="000000"/>
          <w:spacing w:val="0"/>
          <w:w w:val="100"/>
          <w:position w:val="0"/>
        </w:rPr>
        <w:t>报告期内，公司高级管理人员均为公司《</w:t>
      </w:r>
      <w:r>
        <w:rPr>
          <w:rFonts w:ascii="Times New Roman" w:eastAsia="Times New Roman" w:hAnsi="Times New Roman" w:cs="Times New Roman"/>
          <w:color w:val="000000"/>
          <w:spacing w:val="0"/>
          <w:w w:val="100"/>
          <w:position w:val="0"/>
        </w:rPr>
        <w:t>2016</w:t>
      </w:r>
      <w:r>
        <w:rPr>
          <w:color w:val="000000"/>
          <w:spacing w:val="0"/>
          <w:w w:val="100"/>
          <w:position w:val="0"/>
        </w:rPr>
        <w:t>年度股票期权激励计划》的激励对象，详见本报告第五 节重要事项</w:t>
      </w:r>
      <w:r>
        <w:rPr>
          <w:rFonts w:ascii="Times New Roman" w:eastAsia="Times New Roman" w:hAnsi="Times New Roman" w:cs="Times New Roman"/>
          <w:color w:val="000000"/>
          <w:spacing w:val="0"/>
          <w:w w:val="100"/>
          <w:position w:val="0"/>
        </w:rPr>
        <w:t>/</w:t>
      </w:r>
      <w:r>
        <w:rPr>
          <w:color w:val="000000"/>
          <w:spacing w:val="0"/>
          <w:w w:val="100"/>
          <w:position w:val="0"/>
        </w:rPr>
        <w:t>十五、公司股权激励计划、员工持股计划、或其他员工激励措施的实施情况。</w:t>
      </w:r>
    </w:p>
    <w:p>
      <w:pPr>
        <w:pStyle w:val="Style24"/>
        <w:keepNext/>
        <w:keepLines/>
        <w:widowControl w:val="0"/>
        <w:shd w:val="clear" w:color="auto" w:fill="auto"/>
        <w:tabs>
          <w:tab w:pos="522" w:val="left"/>
        </w:tabs>
        <w:bidi w:val="0"/>
        <w:spacing w:before="0" w:after="360" w:line="240" w:lineRule="auto"/>
        <w:ind w:left="0" w:right="0" w:firstLine="0"/>
        <w:jc w:val="both"/>
      </w:pPr>
      <w:bookmarkStart w:id="838" w:name="bookmark838"/>
      <w:bookmarkStart w:id="839" w:name="bookmark839"/>
      <w:bookmarkStart w:id="840" w:name="bookmark840"/>
      <w:bookmarkStart w:id="841" w:name="bookmark841"/>
      <w:r>
        <w:rPr>
          <w:color w:val="000000"/>
          <w:spacing w:val="0"/>
          <w:w w:val="100"/>
          <w:position w:val="0"/>
        </w:rPr>
        <w:t>九</w:t>
      </w:r>
      <w:bookmarkEnd w:id="840"/>
      <w:r>
        <w:rPr>
          <w:color w:val="000000"/>
          <w:spacing w:val="0"/>
          <w:w w:val="100"/>
          <w:position w:val="0"/>
        </w:rPr>
        <w:t>、</w:t>
        <w:tab/>
        <w:t>内部控制评价报告</w:t>
      </w:r>
      <w:bookmarkEnd w:id="838"/>
      <w:bookmarkEnd w:id="839"/>
      <w:bookmarkEnd w:id="841"/>
    </w:p>
    <w:p>
      <w:pPr>
        <w:pStyle w:val="Style32"/>
        <w:keepNext/>
        <w:keepLines/>
        <w:widowControl w:val="0"/>
        <w:shd w:val="clear" w:color="auto" w:fill="auto"/>
        <w:bidi w:val="0"/>
        <w:spacing w:before="0" w:after="280" w:line="329" w:lineRule="auto"/>
        <w:ind w:left="0" w:right="0" w:firstLine="0"/>
        <w:jc w:val="both"/>
      </w:pPr>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842"/>
      <w:bookmarkEnd w:id="843"/>
      <w:bookmarkEnd w:id="844"/>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p>
    <w:tbl>
      <w:tblPr>
        <w:tblOverlap w:val="never"/>
        <w:jc w:val="center"/>
        <w:tblLayout w:type="fixed"/>
      </w:tblPr>
      <w:tblGrid>
        <w:gridCol w:w="3202"/>
        <w:gridCol w:w="2050"/>
        <w:gridCol w:w="1272"/>
        <w:gridCol w:w="3062"/>
      </w:tblGrid>
      <w:tr>
        <w:trPr>
          <w:trHeight w:val="408" w:hRule="exact"/>
        </w:trPr>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1027" w:hRule="exact"/>
        </w:trPr>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 xml:space="preserve">日刊登于巨潮资讯网 </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年度公司内部控制自我评价 报告》</w:t>
            </w:r>
          </w:p>
        </w:tc>
      </w:tr>
      <w:tr>
        <w:trPr>
          <w:trHeight w:val="403" w:hRule="exact"/>
        </w:trPr>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纳入评价范围单位资产总额占公司合并财务报表资产总额的比例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纳入评价范围单位营业收入占公司合并财务报表营业收入的比例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4"/>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16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）重大缺陷：董事、监事或高级管理人 员舞弊；公司以前年度存在重大会计差错, 更正已披露的财务报告；公司当期财务报 告存在重大错报而内部控制未能发现该错 报；公司审计委员会和内部审计机构对内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）重大缺陷：董事会及其专业委员 会、监事会和经理层未按照权限和职责 履行；公司重要业务缺乏控制或内部控 制系统整体失效；其他可能导致企业严 重偏离控制目标的缺陷；（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23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部控制的监督无效；其他可能影响报表使 用者正确判断的缺陷；（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）重要缺陷：违 规泄露财务报告、并购、投资等重大信息， 导致公司股价严重波动或给公司形象造成 严重负面影响；（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一般缺陷：不构成重 大缺陷和重要缺陷的财务报告内部控制缺 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内部控制设计未覆盖重要业务和关键 风险领域，不能实现控制目标；信息披 露内容不真实，受到外部监管机构处 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一般缺陷：不构成重大缺陷和 重要缺陷的非财务报告内部控制缺陷。</w:t>
            </w:r>
          </w:p>
        </w:tc>
      </w:tr>
      <w:tr>
        <w:trPr>
          <w:trHeight w:val="196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）重大缺陷：错报金额</w:t>
            </w:r>
            <w:r>
              <w:rPr>
                <w:color w:val="000000"/>
                <w:spacing w:val="0"/>
                <w:w w:val="100"/>
                <w:position w:val="0"/>
                <w:sz w:val="18"/>
                <w:szCs w:val="18"/>
              </w:rPr>
              <w:t>〉</w:t>
            </w:r>
            <w:r>
              <w:rPr>
                <w:color w:val="000000"/>
                <w:spacing w:val="0"/>
                <w:w w:val="100"/>
                <w:position w:val="0"/>
                <w:sz w:val="17"/>
                <w:szCs w:val="17"/>
              </w:rPr>
              <w:t>合并财务报表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）重要缺陷：合并财务 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呛错报金额</w:t>
            </w:r>
            <w:r>
              <w:rPr>
                <w:color w:val="000000"/>
                <w:spacing w:val="0"/>
                <w:w w:val="100"/>
                <w:position w:val="0"/>
                <w:sz w:val="18"/>
                <w:szCs w:val="18"/>
              </w:rPr>
              <w:t>〉</w:t>
            </w:r>
            <w:r>
              <w:rPr>
                <w:color w:val="000000"/>
                <w:spacing w:val="0"/>
                <w:w w:val="100"/>
                <w:position w:val="0"/>
                <w:sz w:val="17"/>
                <w:szCs w:val="17"/>
              </w:rPr>
              <w:t>合并财务 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）一般缺陷：错 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7"/>
                <w:szCs w:val="17"/>
              </w:rPr>
              <w:t>合并财务报表资产总额的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）重大缺陷：错报金额</w:t>
            </w:r>
            <w:r>
              <w:rPr>
                <w:color w:val="000000"/>
                <w:spacing w:val="0"/>
                <w:w w:val="100"/>
                <w:position w:val="0"/>
                <w:sz w:val="18"/>
                <w:szCs w:val="18"/>
              </w:rPr>
              <w:t>〉</w:t>
            </w:r>
            <w:r>
              <w:rPr>
                <w:color w:val="000000"/>
                <w:spacing w:val="0"/>
                <w:w w:val="100"/>
                <w:position w:val="0"/>
                <w:sz w:val="17"/>
                <w:szCs w:val="17"/>
              </w:rPr>
              <w:t>合并财务报 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）重要缺陷：合 并财务报表资产总额的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呛错报金额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合并财务报表资产总额的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一般缺陷：错报金额</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7"/>
                <w:szCs w:val="17"/>
              </w:rPr>
              <w:t>合并财务报表资 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845" w:name="bookmark845"/>
      <w:bookmarkStart w:id="846" w:name="bookmark846"/>
      <w:bookmarkStart w:id="847" w:name="bookmark847"/>
      <w:r>
        <w:rPr>
          <w:color w:val="000000"/>
          <w:spacing w:val="0"/>
          <w:w w:val="100"/>
          <w:position w:val="0"/>
        </w:rPr>
        <w:t>十、内部控制审计报告或鉴证报告</w:t>
      </w:r>
      <w:bookmarkEnd w:id="845"/>
      <w:bookmarkEnd w:id="846"/>
      <w:bookmarkEnd w:id="847"/>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3130"/>
        <w:gridCol w:w="6456"/>
      </w:tblGrid>
      <w:tr>
        <w:trPr>
          <w:trHeight w:val="403" w:hRule="exact"/>
        </w:trPr>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我们认为，石基信息公司按照《企业内部控制基本规范》及相关规定于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日在所有重大方面保持了与财务 报表相关的有效的内部控制。</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日刊登于巨潮资讯网</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 鉴证报告》</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8"/>
        <w:keepNext/>
        <w:keepLines/>
        <w:widowControl w:val="0"/>
        <w:shd w:val="clear" w:color="auto" w:fill="auto"/>
        <w:bidi w:val="0"/>
        <w:spacing w:before="0" w:after="600" w:line="240" w:lineRule="auto"/>
        <w:ind w:left="0" w:right="0" w:firstLine="0"/>
        <w:jc w:val="center"/>
      </w:pPr>
      <w:bookmarkStart w:id="848" w:name="bookmark848"/>
      <w:bookmarkStart w:id="849" w:name="bookmark849"/>
      <w:bookmarkStart w:id="850" w:name="bookmark850"/>
      <w:r>
        <w:rPr>
          <w:color w:val="000000"/>
          <w:spacing w:val="0"/>
          <w:w w:val="100"/>
          <w:position w:val="0"/>
        </w:rPr>
        <w:t>第十一节公司债券相关情况</w:t>
      </w:r>
      <w:bookmarkEnd w:id="848"/>
      <w:bookmarkEnd w:id="849"/>
      <w:bookmarkEnd w:id="850"/>
    </w:p>
    <w:p>
      <w:pPr>
        <w:pStyle w:val="Style28"/>
        <w:keepNext w:val="0"/>
        <w:keepLines w:val="0"/>
        <w:widowControl w:val="0"/>
        <w:shd w:val="clear" w:color="auto" w:fill="auto"/>
        <w:bidi w:val="0"/>
        <w:spacing w:before="0" w:after="140" w:line="240" w:lineRule="auto"/>
        <w:ind w:left="0" w:right="0" w:firstLine="0"/>
        <w:jc w:val="left"/>
      </w:pPr>
      <w:bookmarkStart w:id="851" w:name="bookmark851"/>
      <w:r>
        <w:rPr>
          <w:color w:val="000000"/>
          <w:spacing w:val="0"/>
          <w:w w:val="100"/>
          <w:position w:val="0"/>
        </w:rPr>
        <w:t>公司是否存在公开发行并在证券交易所上市，且在年度报告批准报出日未到期或到期未能全额兑付的公司债券</w:t>
      </w:r>
      <w:bookmarkEnd w:id="851"/>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47" w:bottom="1488" w:left="1061"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480" w:after="560" w:line="240" w:lineRule="auto"/>
        <w:ind w:left="0" w:right="0" w:firstLine="0"/>
        <w:jc w:val="center"/>
      </w:pPr>
      <w:bookmarkStart w:id="852" w:name="bookmark852"/>
      <w:bookmarkStart w:id="853" w:name="bookmark853"/>
      <w:bookmarkStart w:id="854" w:name="bookmark854"/>
      <w:r>
        <w:rPr>
          <w:color w:val="000000"/>
          <w:spacing w:val="0"/>
          <w:w w:val="100"/>
          <w:position w:val="0"/>
        </w:rPr>
        <w:t>第十二节财务报告</w:t>
      </w:r>
      <w:bookmarkEnd w:id="852"/>
      <w:bookmarkEnd w:id="853"/>
      <w:bookmarkEnd w:id="854"/>
    </w:p>
    <w:p>
      <w:pPr>
        <w:pStyle w:val="Style26"/>
        <w:keepNext w:val="0"/>
        <w:keepLines w:val="0"/>
        <w:widowControl w:val="0"/>
        <w:shd w:val="clear" w:color="auto" w:fill="auto"/>
        <w:bidi w:val="0"/>
        <w:spacing w:before="0" w:after="0" w:line="240" w:lineRule="auto"/>
        <w:ind w:left="0" w:right="0" w:firstLine="0"/>
        <w:jc w:val="left"/>
        <w:rPr>
          <w:sz w:val="22"/>
          <w:szCs w:val="22"/>
        </w:rPr>
      </w:pPr>
      <w:bookmarkStart w:id="855" w:name="bookmark855"/>
      <w:r>
        <w:rPr>
          <w:b/>
          <w:bCs/>
          <w:color w:val="000000"/>
          <w:spacing w:val="0"/>
          <w:w w:val="100"/>
          <w:position w:val="0"/>
          <w:sz w:val="22"/>
          <w:szCs w:val="22"/>
        </w:rPr>
        <w:t>一、审计报告</w:t>
      </w:r>
      <w:bookmarkEnd w:id="85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张昆、张海啸</w:t>
            </w:r>
          </w:p>
        </w:tc>
      </w:tr>
    </w:tbl>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审计报告正文</w:t>
      </w:r>
    </w:p>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XYZH/2021BJAA40346</w:t>
      </w:r>
    </w:p>
    <w:p>
      <w:pPr>
        <w:widowControl w:val="0"/>
        <w:spacing w:after="359" w:line="1" w:lineRule="exact"/>
      </w:pPr>
    </w:p>
    <w:p>
      <w:pPr>
        <w:pStyle w:val="Style32"/>
        <w:keepNext/>
        <w:keepLines/>
        <w:widowControl w:val="0"/>
        <w:shd w:val="clear" w:color="auto" w:fill="auto"/>
        <w:bidi w:val="0"/>
        <w:spacing w:before="0" w:after="240" w:line="310" w:lineRule="exact"/>
        <w:ind w:left="0" w:right="0" w:firstLine="0"/>
        <w:jc w:val="left"/>
        <w:rPr>
          <w:sz w:val="22"/>
          <w:szCs w:val="22"/>
        </w:rPr>
      </w:pPr>
      <w:bookmarkStart w:id="856" w:name="bookmark856"/>
      <w:bookmarkStart w:id="857" w:name="bookmark857"/>
      <w:bookmarkStart w:id="858" w:name="bookmark858"/>
      <w:r>
        <w:rPr>
          <w:color w:val="000000"/>
          <w:spacing w:val="0"/>
          <w:w w:val="100"/>
          <w:position w:val="0"/>
          <w:sz w:val="22"/>
          <w:szCs w:val="22"/>
        </w:rPr>
        <w:t>北京中长石基信息技术股份有限公司全体股东：</w:t>
      </w:r>
      <w:bookmarkEnd w:id="856"/>
      <w:bookmarkEnd w:id="857"/>
      <w:bookmarkEnd w:id="858"/>
    </w:p>
    <w:p>
      <w:pPr>
        <w:pStyle w:val="Style32"/>
        <w:keepNext/>
        <w:keepLines/>
        <w:widowControl w:val="0"/>
        <w:shd w:val="clear" w:color="auto" w:fill="auto"/>
        <w:tabs>
          <w:tab w:pos="693" w:val="left"/>
        </w:tabs>
        <w:bidi w:val="0"/>
        <w:spacing w:before="0" w:after="240" w:line="310" w:lineRule="exact"/>
        <w:ind w:left="0" w:right="0" w:firstLine="200"/>
        <w:jc w:val="both"/>
        <w:rPr>
          <w:sz w:val="22"/>
          <w:szCs w:val="22"/>
        </w:rPr>
      </w:pPr>
      <w:bookmarkStart w:id="856" w:name="bookmark856"/>
      <w:bookmarkStart w:id="857" w:name="bookmark857"/>
      <w:bookmarkStart w:id="859" w:name="bookmark859"/>
      <w:bookmarkStart w:id="860" w:name="bookmark860"/>
      <w:r>
        <w:rPr>
          <w:color w:val="000000"/>
          <w:spacing w:val="0"/>
          <w:w w:val="100"/>
          <w:position w:val="0"/>
          <w:sz w:val="22"/>
          <w:szCs w:val="22"/>
        </w:rPr>
        <w:t>一</w:t>
      </w:r>
      <w:bookmarkEnd w:id="859"/>
      <w:r>
        <w:rPr>
          <w:color w:val="000000"/>
          <w:spacing w:val="0"/>
          <w:w w:val="100"/>
          <w:position w:val="0"/>
          <w:sz w:val="22"/>
          <w:szCs w:val="22"/>
        </w:rPr>
        <w:t>、</w:t>
        <w:tab/>
        <w:t>审计意见</w:t>
      </w:r>
      <w:bookmarkEnd w:id="856"/>
      <w:bookmarkEnd w:id="857"/>
      <w:bookmarkEnd w:id="860"/>
    </w:p>
    <w:p>
      <w:pPr>
        <w:pStyle w:val="Style35"/>
        <w:keepNext w:val="0"/>
        <w:keepLines w:val="0"/>
        <w:widowControl w:val="0"/>
        <w:shd w:val="clear" w:color="auto" w:fill="auto"/>
        <w:bidi w:val="0"/>
        <w:spacing w:before="0" w:after="240" w:line="310" w:lineRule="exact"/>
        <w:ind w:left="0" w:right="0" w:firstLine="460"/>
        <w:jc w:val="both"/>
        <w:rPr>
          <w:sz w:val="22"/>
          <w:szCs w:val="22"/>
        </w:rPr>
      </w:pPr>
      <w:r>
        <w:rPr>
          <w:color w:val="000000"/>
          <w:spacing w:val="0"/>
          <w:w w:val="100"/>
          <w:position w:val="0"/>
          <w:sz w:val="22"/>
          <w:szCs w:val="22"/>
        </w:rPr>
        <w:t>我们审计了北京中长石基信息技术股份有限公司（以下简称石基信息公司）财务报表，包括</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年度的合并及母公司利润表、合并及母公司现金流量表、 合并及母公司股东权益变动表，以及相关财务报表附注。</w:t>
      </w:r>
    </w:p>
    <w:p>
      <w:pPr>
        <w:pStyle w:val="Style35"/>
        <w:keepNext w:val="0"/>
        <w:keepLines w:val="0"/>
        <w:widowControl w:val="0"/>
        <w:shd w:val="clear" w:color="auto" w:fill="auto"/>
        <w:bidi w:val="0"/>
        <w:spacing w:before="0" w:after="240" w:line="298" w:lineRule="exact"/>
        <w:ind w:left="0" w:right="0" w:firstLine="460"/>
        <w:jc w:val="both"/>
        <w:rPr>
          <w:sz w:val="22"/>
          <w:szCs w:val="22"/>
        </w:rPr>
      </w:pPr>
      <w:r>
        <w:rPr>
          <w:color w:val="000000"/>
          <w:spacing w:val="0"/>
          <w:w w:val="100"/>
          <w:position w:val="0"/>
          <w:sz w:val="22"/>
          <w:szCs w:val="22"/>
        </w:rPr>
        <w:t>我们认为，后附的财务报表在所有重大方面按照企业会计准则的规定编制，公允反映了石基信息 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日的合并及母公司财务状况以及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年度的合并及母公司经营成果和现金流量。</w:t>
      </w:r>
    </w:p>
    <w:p>
      <w:pPr>
        <w:pStyle w:val="Style32"/>
        <w:keepNext/>
        <w:keepLines/>
        <w:widowControl w:val="0"/>
        <w:shd w:val="clear" w:color="auto" w:fill="auto"/>
        <w:tabs>
          <w:tab w:pos="693" w:val="left"/>
        </w:tabs>
        <w:bidi w:val="0"/>
        <w:spacing w:before="0" w:after="240" w:line="310" w:lineRule="exact"/>
        <w:ind w:left="0" w:right="0" w:firstLine="200"/>
        <w:jc w:val="both"/>
        <w:rPr>
          <w:sz w:val="22"/>
          <w:szCs w:val="22"/>
        </w:rPr>
      </w:pPr>
      <w:bookmarkStart w:id="861" w:name="bookmark861"/>
      <w:bookmarkStart w:id="862" w:name="bookmark862"/>
      <w:bookmarkStart w:id="863" w:name="bookmark863"/>
      <w:bookmarkStart w:id="864" w:name="bookmark864"/>
      <w:r>
        <w:rPr>
          <w:color w:val="000000"/>
          <w:spacing w:val="0"/>
          <w:w w:val="100"/>
          <w:position w:val="0"/>
          <w:sz w:val="22"/>
          <w:szCs w:val="22"/>
        </w:rPr>
        <w:t>二</w:t>
      </w:r>
      <w:bookmarkEnd w:id="863"/>
      <w:r>
        <w:rPr>
          <w:color w:val="000000"/>
          <w:spacing w:val="0"/>
          <w:w w:val="100"/>
          <w:position w:val="0"/>
          <w:sz w:val="22"/>
          <w:szCs w:val="22"/>
        </w:rPr>
        <w:t>、</w:t>
        <w:tab/>
        <w:t>形成审计意见的基础</w:t>
      </w:r>
      <w:bookmarkEnd w:id="861"/>
      <w:bookmarkEnd w:id="862"/>
      <w:bookmarkEnd w:id="864"/>
    </w:p>
    <w:p>
      <w:pPr>
        <w:pStyle w:val="Style35"/>
        <w:keepNext w:val="0"/>
        <w:keepLines w:val="0"/>
        <w:widowControl w:val="0"/>
        <w:shd w:val="clear" w:color="auto" w:fill="auto"/>
        <w:bidi w:val="0"/>
        <w:spacing w:before="0" w:after="240" w:line="310" w:lineRule="exact"/>
        <w:ind w:left="0" w:right="0" w:firstLine="460"/>
        <w:jc w:val="both"/>
        <w:rPr>
          <w:sz w:val="22"/>
          <w:szCs w:val="22"/>
        </w:rPr>
      </w:pPr>
      <w:r>
        <w:rPr>
          <w:color w:val="000000"/>
          <w:spacing w:val="0"/>
          <w:w w:val="100"/>
          <w:position w:val="0"/>
          <w:sz w:val="22"/>
          <w:szCs w:val="22"/>
        </w:rPr>
        <w:t>我们按照中国注册会计师审计准则的规定执行了审计工作。审计报告的</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注册会计师对财务报表 审计的责任</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部分进一步阐述了我们在这些准则下的责任。按照中国注册会计师职业道德守则，我们 独立于石基信息公司，并履行了职业道德方面的其他责任。我们相信，我们获取的审计证据是充分、 适当的，为发表审计意见提供了基础。</w:t>
      </w:r>
    </w:p>
    <w:p>
      <w:pPr>
        <w:pStyle w:val="Style32"/>
        <w:keepNext/>
        <w:keepLines/>
        <w:widowControl w:val="0"/>
        <w:shd w:val="clear" w:color="auto" w:fill="auto"/>
        <w:tabs>
          <w:tab w:pos="698" w:val="left"/>
        </w:tabs>
        <w:bidi w:val="0"/>
        <w:spacing w:before="0" w:after="240" w:line="310" w:lineRule="exact"/>
        <w:ind w:left="0" w:right="0" w:firstLine="200"/>
        <w:jc w:val="both"/>
        <w:rPr>
          <w:sz w:val="22"/>
          <w:szCs w:val="22"/>
        </w:rPr>
      </w:pPr>
      <w:bookmarkStart w:id="865" w:name="bookmark865"/>
      <w:bookmarkStart w:id="866" w:name="bookmark866"/>
      <w:bookmarkStart w:id="867" w:name="bookmark867"/>
      <w:bookmarkStart w:id="868" w:name="bookmark868"/>
      <w:r>
        <w:rPr>
          <w:color w:val="000000"/>
          <w:spacing w:val="0"/>
          <w:w w:val="100"/>
          <w:position w:val="0"/>
          <w:sz w:val="22"/>
          <w:szCs w:val="22"/>
        </w:rPr>
        <w:t>三</w:t>
      </w:r>
      <w:bookmarkEnd w:id="867"/>
      <w:r>
        <w:rPr>
          <w:color w:val="000000"/>
          <w:spacing w:val="0"/>
          <w:w w:val="100"/>
          <w:position w:val="0"/>
          <w:sz w:val="22"/>
          <w:szCs w:val="22"/>
        </w:rPr>
        <w:t>、</w:t>
        <w:tab/>
        <w:t>关键审计事项</w:t>
      </w:r>
      <w:bookmarkEnd w:id="865"/>
      <w:bookmarkEnd w:id="866"/>
      <w:bookmarkEnd w:id="868"/>
    </w:p>
    <w:p>
      <w:pPr>
        <w:pStyle w:val="Style35"/>
        <w:keepNext w:val="0"/>
        <w:keepLines w:val="0"/>
        <w:widowControl w:val="0"/>
        <w:shd w:val="clear" w:color="auto" w:fill="auto"/>
        <w:bidi w:val="0"/>
        <w:spacing w:before="0" w:after="140" w:line="322" w:lineRule="exact"/>
        <w:ind w:left="0" w:right="0" w:firstLine="460"/>
        <w:jc w:val="both"/>
        <w:rPr>
          <w:sz w:val="22"/>
          <w:szCs w:val="22"/>
        </w:rPr>
      </w:pPr>
      <w:r>
        <w:rPr>
          <w:color w:val="000000"/>
          <w:spacing w:val="0"/>
          <w:w w:val="100"/>
          <w:position w:val="0"/>
          <w:sz w:val="22"/>
          <w:szCs w:val="22"/>
        </w:rPr>
        <w:t>关键审计事项是我们根据职业判断，认为对本期财务报表审计最为重要的事项。这些事项的应对 以对财务报表整体进行审计并形成审计意见为背景，我们不对这些事项单独发表意见。</w:t>
      </w:r>
    </w:p>
    <w:tbl>
      <w:tblPr>
        <w:tblOverlap w:val="never"/>
        <w:jc w:val="center"/>
        <w:tblLayout w:type="fixed"/>
      </w:tblPr>
      <w:tblGrid>
        <w:gridCol w:w="4690"/>
        <w:gridCol w:w="4834"/>
      </w:tblGrid>
      <w:tr>
        <w:trPr>
          <w:trHeight w:val="360"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商誉减值事项</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253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22"/>
                <w:szCs w:val="22"/>
              </w:rPr>
            </w:pPr>
            <w:r>
              <w:rPr>
                <w:color w:val="000000"/>
                <w:spacing w:val="0"/>
                <w:w w:val="100"/>
                <w:position w:val="0"/>
                <w:sz w:val="22"/>
                <w:szCs w:val="22"/>
              </w:rPr>
              <w:t>如财务报表附注四、</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及附注六、</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 xml:space="preserve">所示，截至 </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日止，石基信息公司合并资产负债 表中商誉原值</w:t>
            </w:r>
            <w:r>
              <w:rPr>
                <w:rFonts w:ascii="Times New Roman" w:eastAsia="Times New Roman" w:hAnsi="Times New Roman" w:cs="Times New Roman"/>
                <w:color w:val="000000"/>
                <w:spacing w:val="0"/>
                <w:w w:val="100"/>
                <w:position w:val="0"/>
                <w:sz w:val="22"/>
                <w:szCs w:val="22"/>
              </w:rPr>
              <w:t>197,704.31</w:t>
            </w:r>
            <w:r>
              <w:rPr>
                <w:color w:val="000000"/>
                <w:spacing w:val="0"/>
                <w:w w:val="100"/>
                <w:position w:val="0"/>
                <w:sz w:val="22"/>
                <w:szCs w:val="22"/>
              </w:rPr>
              <w:t>万元，减值准备</w:t>
            </w:r>
            <w:r>
              <w:rPr>
                <w:rFonts w:ascii="Times New Roman" w:eastAsia="Times New Roman" w:hAnsi="Times New Roman" w:cs="Times New Roman"/>
                <w:color w:val="000000"/>
                <w:spacing w:val="0"/>
                <w:w w:val="100"/>
                <w:position w:val="0"/>
                <w:sz w:val="22"/>
                <w:szCs w:val="22"/>
              </w:rPr>
              <w:t xml:space="preserve">5,991.89 </w:t>
            </w:r>
            <w:r>
              <w:rPr>
                <w:color w:val="000000"/>
                <w:spacing w:val="0"/>
                <w:w w:val="100"/>
                <w:position w:val="0"/>
                <w:sz w:val="22"/>
                <w:szCs w:val="22"/>
              </w:rPr>
              <w:t>万元，净值</w:t>
            </w:r>
            <w:r>
              <w:rPr>
                <w:rFonts w:ascii="Times New Roman" w:eastAsia="Times New Roman" w:hAnsi="Times New Roman" w:cs="Times New Roman"/>
                <w:color w:val="000000"/>
                <w:spacing w:val="0"/>
                <w:w w:val="100"/>
                <w:position w:val="0"/>
                <w:sz w:val="22"/>
                <w:szCs w:val="22"/>
              </w:rPr>
              <w:t xml:space="preserve">191,712.4 </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 xml:space="preserve">万元，占年末资产总额的 </w:t>
            </w:r>
            <w:r>
              <w:rPr>
                <w:rFonts w:ascii="Times New Roman" w:eastAsia="Times New Roman" w:hAnsi="Times New Roman" w:cs="Times New Roman"/>
                <w:color w:val="000000"/>
                <w:spacing w:val="0"/>
                <w:w w:val="100"/>
                <w:position w:val="0"/>
                <w:sz w:val="22"/>
                <w:szCs w:val="22"/>
              </w:rPr>
              <w:t>18.09%</w:t>
            </w:r>
            <w:r>
              <w:rPr>
                <w:color w:val="000000"/>
                <w:spacing w:val="0"/>
                <w:w w:val="100"/>
                <w:position w:val="0"/>
                <w:sz w:val="22"/>
                <w:szCs w:val="22"/>
              </w:rPr>
              <w:t>。</w:t>
            </w:r>
          </w:p>
          <w:p>
            <w:pPr>
              <w:pStyle w:val="Style20"/>
              <w:keepNext w:val="0"/>
              <w:keepLines w:val="0"/>
              <w:widowControl w:val="0"/>
              <w:shd w:val="clear" w:color="auto" w:fill="auto"/>
              <w:bidi w:val="0"/>
              <w:spacing w:before="0" w:after="0" w:line="313" w:lineRule="exact"/>
              <w:ind w:left="0" w:right="0" w:firstLine="0"/>
              <w:jc w:val="both"/>
              <w:rPr>
                <w:sz w:val="22"/>
                <w:szCs w:val="22"/>
              </w:rPr>
            </w:pPr>
            <w:r>
              <w:rPr>
                <w:color w:val="000000"/>
                <w:spacing w:val="0"/>
                <w:w w:val="100"/>
                <w:position w:val="0"/>
                <w:sz w:val="22"/>
                <w:szCs w:val="22"/>
              </w:rPr>
              <w:t>石基信息公司管理层（以下简称管理层）每年年 度终了对商誉进行减值测试。减值测试要求估计 包含商誉在内的相关资产组的可收回金额，即相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rPr>
                <w:sz w:val="22"/>
                <w:szCs w:val="22"/>
              </w:rPr>
            </w:pPr>
            <w:r>
              <w:rPr>
                <w:color w:val="000000"/>
                <w:spacing w:val="0"/>
                <w:w w:val="100"/>
                <w:position w:val="0"/>
                <w:sz w:val="22"/>
                <w:szCs w:val="22"/>
              </w:rPr>
              <w:t>针对商誉减值测试，我们执行了以下主要审计程 序：</w:t>
            </w:r>
          </w:p>
          <w:p>
            <w:pPr>
              <w:pStyle w:val="Style20"/>
              <w:keepNext w:val="0"/>
              <w:keepLines w:val="0"/>
              <w:widowControl w:val="0"/>
              <w:numPr>
                <w:ilvl w:val="0"/>
                <w:numId w:val="25"/>
              </w:numPr>
              <w:shd w:val="clear" w:color="auto" w:fill="auto"/>
              <w:tabs>
                <w:tab w:pos="365" w:val="left"/>
              </w:tabs>
              <w:bidi w:val="0"/>
              <w:spacing w:before="0" w:after="0" w:line="316" w:lineRule="exact"/>
              <w:ind w:left="0" w:right="0" w:firstLine="0"/>
              <w:jc w:val="left"/>
              <w:rPr>
                <w:sz w:val="22"/>
                <w:szCs w:val="22"/>
              </w:rPr>
            </w:pPr>
            <w:r>
              <w:rPr>
                <w:color w:val="000000"/>
                <w:spacing w:val="0"/>
                <w:w w:val="100"/>
                <w:position w:val="0"/>
                <w:sz w:val="22"/>
                <w:szCs w:val="22"/>
              </w:rPr>
              <w:t>了解、测试和评价与商誉减值相关的内部控制;</w:t>
            </w:r>
          </w:p>
          <w:p>
            <w:pPr>
              <w:pStyle w:val="Style20"/>
              <w:keepNext w:val="0"/>
              <w:keepLines w:val="0"/>
              <w:widowControl w:val="0"/>
              <w:numPr>
                <w:ilvl w:val="0"/>
                <w:numId w:val="25"/>
              </w:numPr>
              <w:shd w:val="clear" w:color="auto" w:fill="auto"/>
              <w:tabs>
                <w:tab w:pos="360" w:val="left"/>
              </w:tabs>
              <w:bidi w:val="0"/>
              <w:spacing w:before="0" w:after="0" w:line="316" w:lineRule="exact"/>
              <w:ind w:left="360" w:right="0" w:hanging="360"/>
              <w:jc w:val="left"/>
              <w:rPr>
                <w:sz w:val="22"/>
                <w:szCs w:val="22"/>
              </w:rPr>
            </w:pPr>
            <w:r>
              <w:rPr>
                <w:color w:val="000000"/>
                <w:spacing w:val="0"/>
                <w:w w:val="100"/>
                <w:position w:val="0"/>
                <w:sz w:val="22"/>
                <w:szCs w:val="22"/>
              </w:rPr>
              <w:t>对估值模型进行分析，比较分析市场中与被投 资单位同类型公司采用的估值技术的一致性， 以及石基信息公司对不同被投资单位估值所采 用估值技术的一致性；</w:t>
            </w:r>
          </w:p>
          <w:p>
            <w:pPr>
              <w:pStyle w:val="Style20"/>
              <w:keepNext w:val="0"/>
              <w:keepLines w:val="0"/>
              <w:widowControl w:val="0"/>
              <w:numPr>
                <w:ilvl w:val="0"/>
                <w:numId w:val="25"/>
              </w:numPr>
              <w:shd w:val="clear" w:color="auto" w:fill="auto"/>
              <w:tabs>
                <w:tab w:pos="355" w:val="left"/>
              </w:tabs>
              <w:bidi w:val="0"/>
              <w:spacing w:before="0" w:after="0" w:line="316" w:lineRule="exact"/>
              <w:ind w:left="0" w:right="0" w:firstLine="0"/>
              <w:jc w:val="center"/>
              <w:rPr>
                <w:sz w:val="22"/>
                <w:szCs w:val="22"/>
              </w:rPr>
            </w:pPr>
            <w:r>
              <w:rPr>
                <w:color w:val="000000"/>
                <w:spacing w:val="0"/>
                <w:w w:val="100"/>
                <w:position w:val="0"/>
                <w:sz w:val="22"/>
                <w:szCs w:val="22"/>
              </w:rPr>
              <w:t>检查管理层测试所依据的基础数据，比较管理</w:t>
            </w:r>
          </w:p>
        </w:tc>
      </w:tr>
    </w:tbl>
    <w:p>
      <w:pPr>
        <w:widowControl w:val="0"/>
        <w:spacing w:line="1" w:lineRule="exact"/>
      </w:pPr>
      <w:r>
        <w:br w:type="page"/>
      </w:r>
    </w:p>
    <w:tbl>
      <w:tblPr>
        <w:tblOverlap w:val="never"/>
        <w:jc w:val="center"/>
        <w:tblLayout w:type="fixed"/>
      </w:tblPr>
      <w:tblGrid>
        <w:gridCol w:w="4594"/>
        <w:gridCol w:w="4930"/>
      </w:tblGrid>
      <w:tr>
        <w:trPr>
          <w:trHeight w:val="472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rPr>
                <w:sz w:val="22"/>
                <w:szCs w:val="22"/>
              </w:rPr>
            </w:pPr>
            <w:r>
              <w:rPr>
                <w:color w:val="000000"/>
                <w:spacing w:val="0"/>
                <w:w w:val="100"/>
                <w:position w:val="0"/>
                <w:sz w:val="22"/>
                <w:szCs w:val="22"/>
              </w:rPr>
              <w:t>关资产组的公允价值减去处置费用后的净额与相 关资产组预计未来现金流量的现值两者之中的较 高者。为评估相关资产组的可收回金额，管理层 编制现金流量预测并采用未来预计现金流量折现 的模型计算各相关资产组的未来现金流量现值。 由于评估相关资产组可收回金额时使用了包含收 入增长率、预期毛利率、成本费用率及折现率等 关键参数，涉及大量假设和判断，以及管理层利 用专家工作的可靠性等因素，同时考虑商誉对合 并财务报表整体的重要性，因此，我们将商誉减 值识别为关键审计事项。</w:t>
            </w:r>
          </w:p>
        </w:tc>
        <w:tc>
          <w:tcPr>
            <w:tcBorders>
              <w:top w:val="single" w:sz="4"/>
              <w:right w:val="single" w:sz="4"/>
            </w:tcBorders>
            <w:shd w:val="clear" w:color="auto" w:fill="FFFFFF"/>
            <w:vAlign w:val="center"/>
          </w:tcPr>
          <w:p>
            <w:pPr>
              <w:pStyle w:val="Style20"/>
              <w:keepNext w:val="0"/>
              <w:keepLines w:val="0"/>
              <w:widowControl w:val="0"/>
              <w:shd w:val="clear" w:color="auto" w:fill="auto"/>
              <w:tabs>
                <w:tab w:pos="413" w:val="left"/>
              </w:tabs>
              <w:bidi w:val="0"/>
              <w:spacing w:before="0" w:after="0" w:line="314"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w:t>
              <w:tab/>
            </w:r>
            <w:r>
              <w:rPr>
                <w:color w:val="000000"/>
                <w:spacing w:val="0"/>
                <w:w w:val="100"/>
                <w:position w:val="0"/>
                <w:sz w:val="22"/>
                <w:szCs w:val="22"/>
              </w:rPr>
              <w:t>层本年度及过往年度做出的估计和计划，并考</w:t>
            </w:r>
          </w:p>
          <w:p>
            <w:pPr>
              <w:pStyle w:val="Style20"/>
              <w:keepNext w:val="0"/>
              <w:keepLines w:val="0"/>
              <w:widowControl w:val="0"/>
              <w:shd w:val="clear" w:color="auto" w:fill="auto"/>
              <w:tabs>
                <w:tab w:pos="413" w:val="left"/>
              </w:tabs>
              <w:bidi w:val="0"/>
              <w:spacing w:before="0" w:after="0" w:line="314" w:lineRule="exact"/>
              <w:ind w:left="0" w:right="0" w:firstLine="0"/>
              <w:jc w:val="both"/>
              <w:rPr>
                <w:sz w:val="22"/>
                <w:szCs w:val="22"/>
              </w:rPr>
            </w:pPr>
            <w:r>
              <w:rPr>
                <w:color w:val="000000"/>
                <w:spacing w:val="0"/>
                <w:w w:val="100"/>
                <w:position w:val="0"/>
                <w:sz w:val="22"/>
                <w:szCs w:val="22"/>
              </w:rPr>
              <w:t>&lt;</w:t>
              <w:tab/>
              <w:t>虑石基信息公司所属行业的近期发展及被投资</w:t>
            </w:r>
          </w:p>
          <w:p>
            <w:pPr>
              <w:pStyle w:val="Style20"/>
              <w:keepNext w:val="0"/>
              <w:keepLines w:val="0"/>
              <w:widowControl w:val="0"/>
              <w:shd w:val="clear" w:color="auto" w:fill="auto"/>
              <w:tabs>
                <w:tab w:pos="413" w:val="left"/>
              </w:tabs>
              <w:bidi w:val="0"/>
              <w:spacing w:before="0" w:after="0" w:line="314" w:lineRule="exact"/>
              <w:ind w:left="0" w:right="0" w:firstLine="0"/>
              <w:jc w:val="both"/>
              <w:rPr>
                <w:sz w:val="22"/>
                <w:szCs w:val="22"/>
              </w:rPr>
            </w:pPr>
            <w:r>
              <w:rPr>
                <w:rFonts w:ascii="Arial" w:eastAsia="Arial" w:hAnsi="Arial" w:cs="Arial"/>
                <w:color w:val="000000"/>
                <w:spacing w:val="0"/>
                <w:w w:val="100"/>
                <w:position w:val="0"/>
                <w:sz w:val="26"/>
                <w:szCs w:val="26"/>
              </w:rPr>
              <w:t>1</w:t>
              <w:tab/>
            </w:r>
            <w:r>
              <w:rPr>
                <w:color w:val="000000"/>
                <w:spacing w:val="0"/>
                <w:w w:val="100"/>
                <w:position w:val="0"/>
                <w:sz w:val="22"/>
                <w:szCs w:val="22"/>
              </w:rPr>
              <w:t>单位的未来经营计划，审慎评价管理层所作的</w:t>
            </w:r>
          </w:p>
          <w:p>
            <w:pPr>
              <w:pStyle w:val="Style20"/>
              <w:keepNext w:val="0"/>
              <w:keepLines w:val="0"/>
              <w:widowControl w:val="0"/>
              <w:shd w:val="clear" w:color="auto" w:fill="auto"/>
              <w:tabs>
                <w:tab w:pos="413" w:val="left"/>
              </w:tabs>
              <w:bidi w:val="0"/>
              <w:spacing w:before="0" w:after="0" w:line="314"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w:t>
              <w:tab/>
            </w:r>
            <w:r>
              <w:rPr>
                <w:color w:val="000000"/>
                <w:spacing w:val="0"/>
                <w:w w:val="100"/>
                <w:position w:val="0"/>
                <w:sz w:val="22"/>
                <w:szCs w:val="22"/>
              </w:rPr>
              <w:t>假设和关键判断的合理性；</w:t>
            </w:r>
          </w:p>
          <w:p>
            <w:pPr>
              <w:pStyle w:val="Style20"/>
              <w:keepNext w:val="0"/>
              <w:keepLines w:val="0"/>
              <w:widowControl w:val="0"/>
              <w:shd w:val="clear" w:color="auto" w:fill="auto"/>
              <w:tabs>
                <w:tab w:pos="413" w:val="left"/>
              </w:tabs>
              <w:bidi w:val="0"/>
              <w:spacing w:before="0" w:after="0" w:line="314"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 xml:space="preserve">对比本年的实际数据与历史预测数据，评估实 </w:t>
            </w:r>
            <w:r>
              <w:rPr>
                <w:rFonts w:ascii="Times New Roman" w:eastAsia="Times New Roman" w:hAnsi="Times New Roman" w:cs="Times New Roman"/>
                <w:color w:val="000000"/>
                <w:spacing w:val="0"/>
                <w:w w:val="100"/>
                <w:position w:val="0"/>
                <w:sz w:val="22"/>
                <w:szCs w:val="22"/>
              </w:rPr>
              <w:t>1</w:t>
              <w:tab/>
            </w:r>
            <w:r>
              <w:rPr>
                <w:color w:val="000000"/>
                <w:spacing w:val="0"/>
                <w:w w:val="100"/>
                <w:position w:val="0"/>
                <w:sz w:val="22"/>
                <w:szCs w:val="22"/>
              </w:rPr>
              <w:t>际数据与历史预测数据的偏离度，分析产生偏</w:t>
            </w:r>
          </w:p>
          <w:p>
            <w:pPr>
              <w:pStyle w:val="Style20"/>
              <w:keepNext w:val="0"/>
              <w:keepLines w:val="0"/>
              <w:widowControl w:val="0"/>
              <w:shd w:val="clear" w:color="auto" w:fill="auto"/>
              <w:tabs>
                <w:tab w:pos="413" w:val="left"/>
              </w:tabs>
              <w:bidi w:val="0"/>
              <w:spacing w:before="0" w:after="0" w:line="314"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P</w:t>
              <w:tab/>
            </w:r>
            <w:r>
              <w:rPr>
                <w:color w:val="000000"/>
                <w:spacing w:val="0"/>
                <w:w w:val="100"/>
                <w:position w:val="0"/>
                <w:sz w:val="22"/>
                <w:szCs w:val="22"/>
              </w:rPr>
              <w:t>离的原因，同时评估未来年度预测数据的合理</w:t>
            </w:r>
          </w:p>
          <w:p>
            <w:pPr>
              <w:pStyle w:val="Style20"/>
              <w:keepNext w:val="0"/>
              <w:keepLines w:val="0"/>
              <w:widowControl w:val="0"/>
              <w:shd w:val="clear" w:color="auto" w:fill="auto"/>
              <w:bidi w:val="0"/>
              <w:spacing w:before="0" w:after="0" w:line="314" w:lineRule="exact"/>
              <w:ind w:left="0" w:right="0" w:firstLine="460"/>
              <w:jc w:val="left"/>
              <w:rPr>
                <w:sz w:val="22"/>
                <w:szCs w:val="22"/>
              </w:rPr>
            </w:pPr>
            <w:r>
              <w:rPr>
                <w:color w:val="000000"/>
                <w:spacing w:val="0"/>
                <w:w w:val="100"/>
                <w:position w:val="0"/>
                <w:sz w:val="22"/>
                <w:szCs w:val="22"/>
              </w:rPr>
              <w:t>性和可实现性；</w:t>
            </w:r>
          </w:p>
          <w:p>
            <w:pPr>
              <w:pStyle w:val="Style20"/>
              <w:keepNext w:val="0"/>
              <w:keepLines w:val="0"/>
              <w:widowControl w:val="0"/>
              <w:shd w:val="clear" w:color="auto" w:fill="auto"/>
              <w:tabs>
                <w:tab w:pos="475" w:val="left"/>
              </w:tabs>
              <w:bidi w:val="0"/>
              <w:spacing w:before="0" w:after="0" w:line="314" w:lineRule="exact"/>
              <w:ind w:left="0" w:right="0" w:firstLine="0"/>
              <w:jc w:val="both"/>
              <w:rPr>
                <w:sz w:val="22"/>
                <w:szCs w:val="22"/>
              </w:rPr>
            </w:pPr>
            <w:r>
              <w:rPr>
                <w:color w:val="000000"/>
                <w:spacing w:val="0"/>
                <w:w w:val="100"/>
                <w:position w:val="0"/>
                <w:sz w:val="22"/>
                <w:szCs w:val="22"/>
              </w:rPr>
              <w:t>育.评估管理层于年末判断商誉减值采用的关键假 戈</w:t>
              <w:tab/>
              <w:t>设，包括：未来现金流量的预测、未来增长率</w:t>
            </w:r>
          </w:p>
          <w:p>
            <w:pPr>
              <w:pStyle w:val="Style20"/>
              <w:keepNext w:val="0"/>
              <w:keepLines w:val="0"/>
              <w:widowControl w:val="0"/>
              <w:shd w:val="clear" w:color="auto" w:fill="auto"/>
              <w:bidi w:val="0"/>
              <w:spacing w:before="0" w:after="0" w:line="314" w:lineRule="exact"/>
              <w:ind w:left="460" w:right="0" w:firstLine="0"/>
              <w:jc w:val="both"/>
              <w:rPr>
                <w:sz w:val="22"/>
                <w:szCs w:val="22"/>
              </w:rPr>
            </w:pPr>
            <w:r>
              <w:rPr>
                <w:color w:val="000000"/>
                <w:spacing w:val="0"/>
                <w:w w:val="100"/>
                <w:position w:val="0"/>
                <w:sz w:val="22"/>
                <w:szCs w:val="22"/>
              </w:rPr>
              <w:t>和适用的折现率等相关假设，评价管理层关键 假设的合理性；</w:t>
            </w:r>
          </w:p>
          <w:p>
            <w:pPr>
              <w:pStyle w:val="Style20"/>
              <w:keepNext w:val="0"/>
              <w:keepLines w:val="0"/>
              <w:widowControl w:val="0"/>
              <w:shd w:val="clear" w:color="auto" w:fill="auto"/>
              <w:bidi w:val="0"/>
              <w:spacing w:before="0" w:after="0" w:line="314" w:lineRule="exact"/>
              <w:ind w:left="460" w:right="0" w:hanging="460"/>
              <w:jc w:val="both"/>
              <w:rPr>
                <w:sz w:val="22"/>
                <w:szCs w:val="22"/>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对经第三方减值测试并出具专项减值测试报告 的商誉部分，与评估专家进行沟通，了解相关 假设、数据、参数确定合理性。</w:t>
            </w:r>
          </w:p>
        </w:tc>
      </w:tr>
      <w:tr>
        <w:trPr>
          <w:trHeight w:val="346"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开发支出资本化事项</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56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如财务报表附注四、</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及附注六、</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所示，石基 信息公司将满足资本化条件的研发项目开发阶 段支出予以资本化，截至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0，</w:t>
            </w:r>
            <w:r>
              <w:rPr>
                <w:color w:val="000000"/>
                <w:spacing w:val="0"/>
                <w:w w:val="100"/>
                <w:position w:val="0"/>
                <w:sz w:val="22"/>
                <w:szCs w:val="22"/>
              </w:rPr>
              <w:t xml:space="preserve">石基 信息公司合并资产负债表中期末开发支出余额 </w:t>
            </w:r>
            <w:r>
              <w:rPr>
                <w:rFonts w:ascii="Times New Roman" w:eastAsia="Times New Roman" w:hAnsi="Times New Roman" w:cs="Times New Roman"/>
                <w:color w:val="000000"/>
                <w:spacing w:val="0"/>
                <w:w w:val="100"/>
                <w:position w:val="0"/>
                <w:sz w:val="22"/>
                <w:szCs w:val="22"/>
              </w:rPr>
              <w:t>27,013.53</w:t>
            </w:r>
            <w:r>
              <w:rPr>
                <w:color w:val="000000"/>
                <w:spacing w:val="0"/>
                <w:w w:val="100"/>
                <w:position w:val="0"/>
                <w:sz w:val="22"/>
                <w:szCs w:val="22"/>
              </w:rPr>
              <w:t xml:space="preserve">万元，本年研发支出资本化金额 </w:t>
            </w:r>
            <w:r>
              <w:rPr>
                <w:rFonts w:ascii="Times New Roman" w:eastAsia="Times New Roman" w:hAnsi="Times New Roman" w:cs="Times New Roman"/>
                <w:color w:val="000000"/>
                <w:spacing w:val="0"/>
                <w:w w:val="100"/>
                <w:position w:val="0"/>
                <w:sz w:val="22"/>
                <w:szCs w:val="22"/>
              </w:rPr>
              <w:t>33,557.57</w:t>
            </w:r>
            <w:r>
              <w:rPr>
                <w:color w:val="000000"/>
                <w:spacing w:val="0"/>
                <w:w w:val="100"/>
                <w:position w:val="0"/>
                <w:sz w:val="22"/>
                <w:szCs w:val="22"/>
              </w:rPr>
              <w:t>万元。</w:t>
            </w:r>
          </w:p>
          <w:p>
            <w:pPr>
              <w:pStyle w:val="Style20"/>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石基信息公司作为计算机应用服务行业中的软 件开发企业，公司的主导核心技术主要由自主研 发形成，其研发活动相关内部控制是否满足核算 要求，开发支出是否符合资本化条件，对合并财 务报表经营成果具有重大影响，因此，我们将开 发支出资本化事项识别为关键审计事项。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2"/>
                <w:szCs w:val="22"/>
              </w:rPr>
              <w:t>针对开发支出资本化事项，我们执行了以下主要审 ；十程序：</w:t>
            </w:r>
          </w:p>
          <w:p>
            <w:pPr>
              <w:pStyle w:val="Style20"/>
              <w:keepNext w:val="0"/>
              <w:keepLines w:val="0"/>
              <w:widowControl w:val="0"/>
              <w:shd w:val="clear" w:color="auto" w:fill="auto"/>
              <w:bidi w:val="0"/>
              <w:spacing w:before="0" w:after="80" w:line="314" w:lineRule="exact"/>
              <w:ind w:left="0" w:right="0" w:firstLine="0"/>
              <w:jc w:val="both"/>
              <w:rPr>
                <w:sz w:val="22"/>
                <w:szCs w:val="22"/>
              </w:rPr>
            </w:pPr>
            <w:r>
              <w:rPr>
                <w:color w:val="000000"/>
                <w:spacing w:val="0"/>
                <w:w w:val="100"/>
                <w:position w:val="0"/>
                <w:sz w:val="22"/>
                <w:szCs w:val="22"/>
              </w:rPr>
              <w:t>、了解、测试和评价与开发支出相关的关键内部控</w:t>
            </w:r>
          </w:p>
          <w:p>
            <w:pPr>
              <w:pStyle w:val="Style20"/>
              <w:keepNext w:val="0"/>
              <w:keepLines w:val="0"/>
              <w:widowControl w:val="0"/>
              <w:shd w:val="clear" w:color="auto" w:fill="auto"/>
              <w:bidi w:val="0"/>
              <w:spacing w:before="0" w:after="0" w:line="314" w:lineRule="exact"/>
              <w:ind w:left="0" w:right="0" w:firstLine="180"/>
              <w:jc w:val="both"/>
              <w:rPr>
                <w:sz w:val="22"/>
                <w:szCs w:val="22"/>
              </w:rPr>
            </w:pPr>
            <w:r>
              <w:rPr>
                <w:color w:val="000000"/>
                <w:spacing w:val="0"/>
                <w:w w:val="100"/>
                <w:position w:val="0"/>
                <w:sz w:val="22"/>
                <w:szCs w:val="22"/>
              </w:rPr>
              <w:t>；</w:t>
            </w:r>
          </w:p>
          <w:p>
            <w:pPr>
              <w:pStyle w:val="Style20"/>
              <w:keepNext w:val="0"/>
              <w:keepLines w:val="0"/>
              <w:widowControl w:val="0"/>
              <w:shd w:val="clear" w:color="auto" w:fill="auto"/>
              <w:tabs>
                <w:tab w:pos="302" w:val="left"/>
              </w:tabs>
              <w:bidi w:val="0"/>
              <w:spacing w:before="0" w:after="0" w:line="314"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检查研发项目支出的发生及归集，检查各项目的 立项、可研、预算、阶段性进度报告、开发工作跟 踪记录表等文件；</w:t>
            </w:r>
          </w:p>
          <w:p>
            <w:pPr>
              <w:pStyle w:val="Style20"/>
              <w:keepNext w:val="0"/>
              <w:keepLines w:val="0"/>
              <w:widowControl w:val="0"/>
              <w:shd w:val="clear" w:color="auto" w:fill="auto"/>
              <w:tabs>
                <w:tab w:pos="302" w:val="left"/>
              </w:tabs>
              <w:bidi w:val="0"/>
              <w:spacing w:before="0" w:after="0" w:line="314"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tab/>
              <w:t>对主要研发项目执行访谈程序，并结合研发项目 的各阶段进度及审批报告了解及检查研发项目的开 发内容、技术要求、产品市场、开发进度、收益实 现方式等情况；</w:t>
            </w:r>
          </w:p>
          <w:p>
            <w:pPr>
              <w:pStyle w:val="Style20"/>
              <w:keepNext w:val="0"/>
              <w:keepLines w:val="0"/>
              <w:widowControl w:val="0"/>
              <w:shd w:val="clear" w:color="auto" w:fill="auto"/>
              <w:tabs>
                <w:tab w:pos="302" w:val="left"/>
              </w:tabs>
              <w:bidi w:val="0"/>
              <w:spacing w:before="0" w:after="0" w:line="314"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w:t>
              <w:tab/>
              <w:t>根据对研发项目的上述相关资料检查，评价石基 信息公司各项目研究阶段与开发阶段划分的合理性</w:t>
            </w:r>
          </w:p>
          <w:p>
            <w:pPr>
              <w:pStyle w:val="Style20"/>
              <w:keepNext w:val="0"/>
              <w:keepLines w:val="0"/>
              <w:widowControl w:val="0"/>
              <w:shd w:val="clear" w:color="auto" w:fill="auto"/>
              <w:bidi w:val="0"/>
              <w:spacing w:before="0" w:after="0" w:line="314" w:lineRule="exact"/>
              <w:ind w:left="0" w:right="0" w:firstLine="180"/>
              <w:jc w:val="both"/>
              <w:rPr>
                <w:sz w:val="22"/>
                <w:szCs w:val="22"/>
              </w:rPr>
            </w:pPr>
            <w:r>
              <w:rPr>
                <w:color w:val="000000"/>
                <w:spacing w:val="0"/>
                <w:w w:val="100"/>
                <w:position w:val="0"/>
                <w:sz w:val="22"/>
                <w:szCs w:val="22"/>
              </w:rPr>
              <w:t>开发支出资本化核算的准确性；</w:t>
            </w:r>
          </w:p>
          <w:p>
            <w:pPr>
              <w:pStyle w:val="Style20"/>
              <w:keepNext w:val="0"/>
              <w:keepLines w:val="0"/>
              <w:widowControl w:val="0"/>
              <w:shd w:val="clear" w:color="auto" w:fill="auto"/>
              <w:tabs>
                <w:tab w:pos="302" w:val="left"/>
              </w:tabs>
              <w:bidi w:val="0"/>
              <w:spacing w:before="0" w:after="0" w:line="314"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tab/>
              <w:t>对开发完成结转无形资产的项目检查相关的结项 报告并了解相关软件产品著作权证的申请进度情 况，据此判断石基信息公司研发项目开发支出停止 资本化时点的合理性。</w:t>
            </w:r>
          </w:p>
        </w:tc>
      </w:tr>
      <w:tr>
        <w:trPr>
          <w:trHeight w:val="346"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无形资产减值事项</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r>
        <w:trPr>
          <w:trHeight w:val="19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2"/>
                <w:szCs w:val="22"/>
              </w:rPr>
              <w:t>如财务报表附注四、</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、附注四、</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 xml:space="preserve">及附注六、 </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所示，截至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 xml:space="preserve">日，石基信息公司合 并资产负债表中期末无形资产账面价值 </w:t>
            </w:r>
            <w:r>
              <w:rPr>
                <w:rFonts w:ascii="Times New Roman" w:eastAsia="Times New Roman" w:hAnsi="Times New Roman" w:cs="Times New Roman"/>
                <w:color w:val="000000"/>
                <w:spacing w:val="0"/>
                <w:w w:val="100"/>
                <w:position w:val="0"/>
                <w:sz w:val="22"/>
                <w:szCs w:val="22"/>
              </w:rPr>
              <w:t>97,552.03</w:t>
            </w:r>
            <w:r>
              <w:rPr>
                <w:color w:val="000000"/>
                <w:spacing w:val="0"/>
                <w:w w:val="100"/>
                <w:position w:val="0"/>
                <w:sz w:val="22"/>
                <w:szCs w:val="22"/>
              </w:rPr>
              <w:t>万元，无形资产减值准备余额</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 xml:space="preserve">,739.62 </w:t>
            </w:r>
            <w:r>
              <w:rPr>
                <w:color w:val="000000"/>
                <w:spacing w:val="0"/>
                <w:w w:val="100"/>
                <w:position w:val="0"/>
                <w:sz w:val="22"/>
                <w:szCs w:val="22"/>
              </w:rPr>
              <w:t xml:space="preserve">万元。其中自主研发形成的无形资产金额为 </w:t>
            </w:r>
            <w:r>
              <w:rPr>
                <w:rFonts w:ascii="Times New Roman" w:eastAsia="Times New Roman" w:hAnsi="Times New Roman" w:cs="Times New Roman"/>
                <w:color w:val="000000"/>
                <w:spacing w:val="0"/>
                <w:w w:val="100"/>
                <w:position w:val="0"/>
                <w:sz w:val="22"/>
                <w:szCs w:val="22"/>
              </w:rPr>
              <w:t>82,974.14</w:t>
            </w:r>
            <w:r>
              <w:rPr>
                <w:color w:val="000000"/>
                <w:spacing w:val="0"/>
                <w:w w:val="100"/>
                <w:position w:val="0"/>
                <w:sz w:val="22"/>
                <w:szCs w:val="22"/>
              </w:rPr>
              <w:t>万元，占年末无形资产余额的比例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180" w:right="0" w:hanging="180"/>
              <w:jc w:val="both"/>
              <w:rPr>
                <w:sz w:val="22"/>
                <w:szCs w:val="22"/>
              </w:rPr>
            </w:pPr>
            <w:r>
              <w:rPr>
                <w:color w:val="000000"/>
                <w:spacing w:val="0"/>
                <w:w w:val="100"/>
                <w:position w:val="0"/>
                <w:sz w:val="22"/>
                <w:szCs w:val="22"/>
              </w:rPr>
              <w:t>针对无形资产减值事项，我们执行了以下主要审计 序：</w:t>
            </w:r>
          </w:p>
          <w:p>
            <w:pPr>
              <w:pStyle w:val="Style20"/>
              <w:keepNext w:val="0"/>
              <w:keepLines w:val="0"/>
              <w:widowControl w:val="0"/>
              <w:shd w:val="clear" w:color="auto" w:fill="auto"/>
              <w:bidi w:val="0"/>
              <w:spacing w:before="0" w:after="0" w:line="305" w:lineRule="exact"/>
              <w:ind w:left="320" w:right="0" w:hanging="320"/>
              <w:jc w:val="both"/>
              <w:rPr>
                <w:sz w:val="22"/>
                <w:szCs w:val="22"/>
              </w:rPr>
            </w:pPr>
            <w:r>
              <w:rPr>
                <w:color w:val="000000"/>
                <w:spacing w:val="0"/>
                <w:w w:val="100"/>
                <w:position w:val="0"/>
                <w:sz w:val="22"/>
                <w:szCs w:val="22"/>
              </w:rPr>
              <w:t>. 了解、测试和评价与无形资产减值测试相关的关 键内部控制；</w:t>
            </w:r>
          </w:p>
          <w:p>
            <w:pPr>
              <w:pStyle w:val="Style20"/>
              <w:keepNext w:val="0"/>
              <w:keepLines w:val="0"/>
              <w:widowControl w:val="0"/>
              <w:shd w:val="clear" w:color="auto" w:fill="auto"/>
              <w:bidi w:val="0"/>
              <w:spacing w:before="0" w:after="0" w:line="326" w:lineRule="exact"/>
              <w:ind w:left="320" w:right="0" w:hanging="320"/>
              <w:jc w:val="both"/>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获取无形资产摊销明细表，检查被审计单位制定 的摊销政策和方法是否符合相关会计准则的规</w:t>
            </w:r>
          </w:p>
        </w:tc>
      </w:tr>
    </w:tbl>
    <w:p>
      <w:pPr>
        <w:spacing w:lineRule="exact" w:line="1"/>
        <w:rPr>
          <w:sz w:val="2"/>
          <w:szCs w:val="2"/>
        </w:rPr>
      </w:pPr>
      <w:r>
        <w:br w:type="page"/>
      </w:r>
    </w:p>
    <w:p>
      <w:pPr>
        <w:widowControl w:val="0"/>
        <w:spacing w:line="1" w:lineRule="exact"/>
      </w:pPr>
      <w:r>
        <mc:AlternateContent>
          <mc:Choice Requires="wps">
            <w:drawing>
              <wp:anchor distT="3175" distB="127000" distL="0" distR="0" simplePos="0" relativeHeight="125829384" behindDoc="0" locked="0" layoutInCell="1" allowOverlap="1">
                <wp:simplePos x="0" y="0"/>
                <wp:positionH relativeFrom="page">
                  <wp:posOffset>690880</wp:posOffset>
                </wp:positionH>
                <wp:positionV relativeFrom="paragraph">
                  <wp:posOffset>3175</wp:posOffset>
                </wp:positionV>
                <wp:extent cx="2895600" cy="1990090"/>
                <wp:wrapTopAndBottom/>
                <wp:docPr id="38" name="Shape 38"/>
                <a:graphic xmlns:a="http://schemas.openxmlformats.org/drawingml/2006/main">
                  <a:graphicData uri="http://schemas.microsoft.com/office/word/2010/wordprocessingShape">
                    <wps:wsp>
                      <wps:cNvSpPr txBox="1"/>
                      <wps:spPr>
                        <a:xfrm>
                          <a:ext cx="2895600" cy="1990090"/>
                        </a:xfrm>
                        <a:prstGeom prst="rect"/>
                        <a:noFill/>
                      </wps:spPr>
                      <wps:txbx>
                        <w:txbxContent>
                          <w:p>
                            <w:pPr>
                              <w:pStyle w:val="Style38"/>
                              <w:keepNext w:val="0"/>
                              <w:keepLines w:val="0"/>
                              <w:widowControl w:val="0"/>
                              <w:shd w:val="clear" w:color="auto" w:fill="auto"/>
                              <w:bidi w:val="0"/>
                              <w:spacing w:before="0" w:after="0"/>
                              <w:ind w:left="0" w:right="0" w:firstLine="0"/>
                              <w:jc w:val="both"/>
                              <w:rPr>
                                <w:sz w:val="22"/>
                                <w:szCs w:val="22"/>
                              </w:rPr>
                            </w:pPr>
                            <w:r>
                              <w:rPr>
                                <w:color w:val="000000"/>
                                <w:spacing w:val="0"/>
                                <w:w w:val="100"/>
                                <w:position w:val="0"/>
                                <w:sz w:val="22"/>
                                <w:szCs w:val="22"/>
                              </w:rPr>
                              <w:t>85.06%</w:t>
                            </w:r>
                            <w:r>
                              <w:rPr>
                                <w:rFonts w:ascii="SimSun" w:eastAsia="SimSun" w:hAnsi="SimSun" w:cs="SimSun"/>
                                <w:color w:val="000000"/>
                                <w:spacing w:val="0"/>
                                <w:w w:val="100"/>
                                <w:position w:val="0"/>
                                <w:sz w:val="22"/>
                                <w:szCs w:val="22"/>
                              </w:rPr>
                              <w:t>。</w:t>
                            </w:r>
                          </w:p>
                          <w:p>
                            <w:pPr>
                              <w:pStyle w:val="Style35"/>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石基信息公司作为计算机应用服务行业中的软 件开发企业，公司的主导核心技术主要由自主研 发形成。自主研发形成的无形资产能否为公司带 来利益流入具有不确定性,是否存在减值对合并 财务报表经营成果具有重大影响。由于公司管理 层在对无形资产进行减值测试时运用大量假设 和估计，同时考虑无形资产对合并财务报表整体 的重要性。因此，我们将无形资产减值事项识别 为关键审计事项。</w:t>
                            </w:r>
                          </w:p>
                        </w:txbxContent>
                      </wps:txbx>
                      <wps:bodyPr lIns="0" tIns="0" rIns="0" bIns="0">
                        <a:noAutoFit/>
                      </wps:bodyPr>
                    </wps:wsp>
                  </a:graphicData>
                </a:graphic>
              </wp:anchor>
            </w:drawing>
          </mc:Choice>
          <mc:Fallback>
            <w:pict>
              <v:shape id="_x0000_s1064" type="#_x0000_t202" style="position:absolute;margin-left:54.399999999999999pt;margin-top:0.25pt;width:228.pt;height:156.70000000000002pt;z-index:-125829369;mso-wrap-distance-left:0;mso-wrap-distance-top:0.25pt;mso-wrap-distance-right:0;mso-wrap-distance-bottom:10.pt;mso-position-horizontal-relative:page" filled="f" stroked="f">
                <v:textbox inset="0,0,0,0">
                  <w:txbxContent>
                    <w:p>
                      <w:pPr>
                        <w:pStyle w:val="Style38"/>
                        <w:keepNext w:val="0"/>
                        <w:keepLines w:val="0"/>
                        <w:widowControl w:val="0"/>
                        <w:shd w:val="clear" w:color="auto" w:fill="auto"/>
                        <w:bidi w:val="0"/>
                        <w:spacing w:before="0" w:after="0"/>
                        <w:ind w:left="0" w:right="0" w:firstLine="0"/>
                        <w:jc w:val="both"/>
                        <w:rPr>
                          <w:sz w:val="22"/>
                          <w:szCs w:val="22"/>
                        </w:rPr>
                      </w:pPr>
                      <w:r>
                        <w:rPr>
                          <w:color w:val="000000"/>
                          <w:spacing w:val="0"/>
                          <w:w w:val="100"/>
                          <w:position w:val="0"/>
                          <w:sz w:val="22"/>
                          <w:szCs w:val="22"/>
                        </w:rPr>
                        <w:t>85.06%</w:t>
                      </w:r>
                      <w:r>
                        <w:rPr>
                          <w:rFonts w:ascii="SimSun" w:eastAsia="SimSun" w:hAnsi="SimSun" w:cs="SimSun"/>
                          <w:color w:val="000000"/>
                          <w:spacing w:val="0"/>
                          <w:w w:val="100"/>
                          <w:position w:val="0"/>
                          <w:sz w:val="22"/>
                          <w:szCs w:val="22"/>
                        </w:rPr>
                        <w:t>。</w:t>
                      </w:r>
                    </w:p>
                    <w:p>
                      <w:pPr>
                        <w:pStyle w:val="Style35"/>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石基信息公司作为计算机应用服务行业中的软 件开发企业，公司的主导核心技术主要由自主研 发形成。自主研发形成的无形资产能否为公司带 来利益流入具有不确定性,是否存在减值对合并 财务报表经营成果具有重大影响。由于公司管理 层在对无形资产进行减值测试时运用大量假设 和估计，同时考虑无形资产对合并财务报表整体 的重要性。因此，我们将无形资产减值事项识别 为关键审计事项。</w:t>
                      </w:r>
                    </w:p>
                  </w:txbxContent>
                </v:textbox>
                <w10:wrap type="topAndBottom" anchorx="page"/>
              </v:shape>
            </w:pict>
          </mc:Fallback>
        </mc:AlternateContent>
      </w:r>
      <w:r>
        <mc:AlternateContent>
          <mc:Choice Requires="wps">
            <w:drawing>
              <wp:anchor distT="423545" distB="1520190" distL="0" distR="0" simplePos="0" relativeHeight="125829386" behindDoc="0" locked="0" layoutInCell="1" allowOverlap="1">
                <wp:simplePos x="0" y="0"/>
                <wp:positionH relativeFrom="page">
                  <wp:posOffset>3577590</wp:posOffset>
                </wp:positionH>
                <wp:positionV relativeFrom="paragraph">
                  <wp:posOffset>423545</wp:posOffset>
                </wp:positionV>
                <wp:extent cx="161290" cy="176530"/>
                <wp:wrapTopAndBottom/>
                <wp:docPr id="40" name="Shape 40"/>
                <a:graphic xmlns:a="http://schemas.openxmlformats.org/drawingml/2006/main">
                  <a:graphicData uri="http://schemas.microsoft.com/office/word/2010/wordprocessingShape">
                    <wps:wsp>
                      <wps:cNvSpPr txBox="1"/>
                      <wps:spPr>
                        <a:xfrm>
                          <a:ext cx="161290" cy="1765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w:t>
                            </w:r>
                          </w:p>
                        </w:txbxContent>
                      </wps:txbx>
                      <wps:bodyPr wrap="none" lIns="0" tIns="0" rIns="0" bIns="0">
                        <a:noAutoFit/>
                      </wps:bodyPr>
                    </wps:wsp>
                  </a:graphicData>
                </a:graphic>
              </wp:anchor>
            </w:drawing>
          </mc:Choice>
          <mc:Fallback>
            <w:pict>
              <v:shape id="_x0000_s1066" type="#_x0000_t202" style="position:absolute;margin-left:281.69999999999999pt;margin-top:33.350000000000001pt;width:12.700000000000001pt;height:13.9pt;z-index:-125829367;mso-wrap-distance-left:0;mso-wrap-distance-top:33.350000000000001pt;mso-wrap-distance-right:0;mso-wrap-distance-bottom:119.7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w:t>
                      </w:r>
                    </w:p>
                  </w:txbxContent>
                </v:textbox>
                <w10:wrap type="topAndBottom" anchorx="page"/>
              </v:shape>
            </w:pict>
          </mc:Fallback>
        </mc:AlternateContent>
      </w:r>
      <w:r>
        <mc:AlternateContent>
          <mc:Choice Requires="wps">
            <w:drawing>
              <wp:anchor distT="819785" distB="1123950" distL="0" distR="0" simplePos="0" relativeHeight="125829388" behindDoc="0" locked="0" layoutInCell="1" allowOverlap="1">
                <wp:simplePos x="0" y="0"/>
                <wp:positionH relativeFrom="page">
                  <wp:posOffset>3574415</wp:posOffset>
                </wp:positionH>
                <wp:positionV relativeFrom="paragraph">
                  <wp:posOffset>819785</wp:posOffset>
                </wp:positionV>
                <wp:extent cx="164465" cy="176530"/>
                <wp:wrapTopAndBottom/>
                <wp:docPr id="42" name="Shape 42"/>
                <a:graphic xmlns:a="http://schemas.openxmlformats.org/drawingml/2006/main">
                  <a:graphicData uri="http://schemas.microsoft.com/office/word/2010/wordprocessingShape">
                    <wps:wsp>
                      <wps:cNvSpPr txBox="1"/>
                      <wps:spPr>
                        <a:xfrm>
                          <a:ext cx="164465" cy="1765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w:t>
                            </w:r>
                          </w:p>
                        </w:txbxContent>
                      </wps:txbx>
                      <wps:bodyPr wrap="none" lIns="0" tIns="0" rIns="0" bIns="0">
                        <a:noAutoFit/>
                      </wps:bodyPr>
                    </wps:wsp>
                  </a:graphicData>
                </a:graphic>
              </wp:anchor>
            </w:drawing>
          </mc:Choice>
          <mc:Fallback>
            <w:pict>
              <v:shape id="_x0000_s1068" type="#_x0000_t202" style="position:absolute;margin-left:281.44999999999999pt;margin-top:64.549999999999997pt;width:12.950000000000001pt;height:13.9pt;z-index:-125829365;mso-wrap-distance-left:0;mso-wrap-distance-top:64.549999999999997pt;mso-wrap-distance-right:0;mso-wrap-distance-bottom:88.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w:t>
                      </w:r>
                    </w:p>
                  </w:txbxContent>
                </v:textbox>
                <w10:wrap type="topAndBottom" anchorx="page"/>
              </v:shape>
            </w:pict>
          </mc:Fallback>
        </mc:AlternateContent>
      </w:r>
      <w:r>
        <mc:AlternateContent>
          <mc:Choice Requires="wps">
            <w:drawing>
              <wp:anchor distT="0" distB="526415" distL="0" distR="0" simplePos="0" relativeHeight="125829390" behindDoc="0" locked="0" layoutInCell="1" allowOverlap="1">
                <wp:simplePos x="0" y="0"/>
                <wp:positionH relativeFrom="page">
                  <wp:posOffset>3803015</wp:posOffset>
                </wp:positionH>
                <wp:positionV relativeFrom="paragraph">
                  <wp:posOffset>0</wp:posOffset>
                </wp:positionV>
                <wp:extent cx="2959735" cy="1593850"/>
                <wp:wrapTopAndBottom/>
                <wp:docPr id="44" name="Shape 44"/>
                <a:graphic xmlns:a="http://schemas.openxmlformats.org/drawingml/2006/main">
                  <a:graphicData uri="http://schemas.microsoft.com/office/word/2010/wordprocessingShape">
                    <wps:wsp>
                      <wps:cNvSpPr txBox="1"/>
                      <wps:spPr>
                        <a:xfrm>
                          <a:ext cx="2959735" cy="1593850"/>
                        </a:xfrm>
                        <a:prstGeom prst="rect"/>
                        <a:noFill/>
                      </wps:spPr>
                      <wps:txbx>
                        <w:txbxContent>
                          <w:p>
                            <w:pPr>
                              <w:pStyle w:val="Style35"/>
                              <w:keepNext w:val="0"/>
                              <w:keepLines w:val="0"/>
                              <w:widowControl w:val="0"/>
                              <w:shd w:val="clear" w:color="auto" w:fill="auto"/>
                              <w:bidi w:val="0"/>
                              <w:spacing w:before="0" w:after="0" w:line="313" w:lineRule="exact"/>
                              <w:ind w:left="0" w:right="0" w:firstLine="0"/>
                              <w:jc w:val="left"/>
                              <w:rPr>
                                <w:sz w:val="22"/>
                                <w:szCs w:val="22"/>
                              </w:rPr>
                            </w:pPr>
                            <w:r>
                              <w:rPr>
                                <w:color w:val="000000"/>
                                <w:spacing w:val="0"/>
                                <w:w w:val="100"/>
                                <w:position w:val="0"/>
                                <w:sz w:val="22"/>
                                <w:szCs w:val="22"/>
                              </w:rPr>
                              <w:t>定，前后期是否一致，复核摊销计提数据与账面 是否一致；</w:t>
                            </w:r>
                          </w:p>
                          <w:p>
                            <w:pPr>
                              <w:pStyle w:val="Style35"/>
                              <w:keepNext w:val="0"/>
                              <w:keepLines w:val="0"/>
                              <w:widowControl w:val="0"/>
                              <w:shd w:val="clear" w:color="auto" w:fill="auto"/>
                              <w:bidi w:val="0"/>
                              <w:spacing w:before="0" w:after="0" w:line="313" w:lineRule="exact"/>
                              <w:ind w:left="0" w:right="0" w:firstLine="0"/>
                              <w:jc w:val="left"/>
                              <w:rPr>
                                <w:sz w:val="22"/>
                                <w:szCs w:val="22"/>
                              </w:rPr>
                            </w:pPr>
                            <w:r>
                              <w:rPr>
                                <w:color w:val="000000"/>
                                <w:spacing w:val="0"/>
                                <w:w w:val="100"/>
                                <w:position w:val="0"/>
                                <w:sz w:val="22"/>
                                <w:szCs w:val="22"/>
                              </w:rPr>
                              <w:t>查看管理层就相关资产组所做盈利预测结果，检 查无形资产是否存在减值迹象；</w:t>
                            </w:r>
                          </w:p>
                          <w:p>
                            <w:pPr>
                              <w:pStyle w:val="Style35"/>
                              <w:keepNext w:val="0"/>
                              <w:keepLines w:val="0"/>
                              <w:widowControl w:val="0"/>
                              <w:shd w:val="clear" w:color="auto" w:fill="auto"/>
                              <w:bidi w:val="0"/>
                              <w:spacing w:before="0" w:after="0" w:line="313" w:lineRule="exact"/>
                              <w:ind w:left="0" w:right="0" w:firstLine="0"/>
                              <w:jc w:val="left"/>
                              <w:rPr>
                                <w:sz w:val="22"/>
                                <w:szCs w:val="22"/>
                              </w:rPr>
                            </w:pPr>
                            <w:r>
                              <w:rPr>
                                <w:color w:val="000000"/>
                                <w:spacing w:val="0"/>
                                <w:w w:val="100"/>
                                <w:position w:val="0"/>
                                <w:sz w:val="22"/>
                                <w:szCs w:val="22"/>
                              </w:rPr>
                              <w:t>获取管理层对无形资产进行减值测试的文件，复 核管理层估计的适当性，评估管理层进行减值测 试时所使用的假设及估计的合理性，判断无形资 产是否已经发生减值及减值金额计算是否恰当。</w:t>
                            </w:r>
                          </w:p>
                        </w:txbxContent>
                      </wps:txbx>
                      <wps:bodyPr lIns="0" tIns="0" rIns="0" bIns="0">
                        <a:noAutoFit/>
                      </wps:bodyPr>
                    </wps:wsp>
                  </a:graphicData>
                </a:graphic>
              </wp:anchor>
            </w:drawing>
          </mc:Choice>
          <mc:Fallback>
            <w:pict>
              <v:shape id="_x0000_s1070" type="#_x0000_t202" style="position:absolute;margin-left:299.44999999999999pt;margin-top:0;width:233.05000000000001pt;height:125.5pt;z-index:-125829363;mso-wrap-distance-left:0;mso-wrap-distance-right:0;mso-wrap-distance-bottom:41.450000000000003pt;mso-position-horizontal-relative:page" filled="f" stroked="f">
                <v:textbox inset="0,0,0,0">
                  <w:txbxContent>
                    <w:p>
                      <w:pPr>
                        <w:pStyle w:val="Style35"/>
                        <w:keepNext w:val="0"/>
                        <w:keepLines w:val="0"/>
                        <w:widowControl w:val="0"/>
                        <w:shd w:val="clear" w:color="auto" w:fill="auto"/>
                        <w:bidi w:val="0"/>
                        <w:spacing w:before="0" w:after="0" w:line="313" w:lineRule="exact"/>
                        <w:ind w:left="0" w:right="0" w:firstLine="0"/>
                        <w:jc w:val="left"/>
                        <w:rPr>
                          <w:sz w:val="22"/>
                          <w:szCs w:val="22"/>
                        </w:rPr>
                      </w:pPr>
                      <w:r>
                        <w:rPr>
                          <w:color w:val="000000"/>
                          <w:spacing w:val="0"/>
                          <w:w w:val="100"/>
                          <w:position w:val="0"/>
                          <w:sz w:val="22"/>
                          <w:szCs w:val="22"/>
                        </w:rPr>
                        <w:t>定，前后期是否一致，复核摊销计提数据与账面 是否一致；</w:t>
                      </w:r>
                    </w:p>
                    <w:p>
                      <w:pPr>
                        <w:pStyle w:val="Style35"/>
                        <w:keepNext w:val="0"/>
                        <w:keepLines w:val="0"/>
                        <w:widowControl w:val="0"/>
                        <w:shd w:val="clear" w:color="auto" w:fill="auto"/>
                        <w:bidi w:val="0"/>
                        <w:spacing w:before="0" w:after="0" w:line="313" w:lineRule="exact"/>
                        <w:ind w:left="0" w:right="0" w:firstLine="0"/>
                        <w:jc w:val="left"/>
                        <w:rPr>
                          <w:sz w:val="22"/>
                          <w:szCs w:val="22"/>
                        </w:rPr>
                      </w:pPr>
                      <w:r>
                        <w:rPr>
                          <w:color w:val="000000"/>
                          <w:spacing w:val="0"/>
                          <w:w w:val="100"/>
                          <w:position w:val="0"/>
                          <w:sz w:val="22"/>
                          <w:szCs w:val="22"/>
                        </w:rPr>
                        <w:t>查看管理层就相关资产组所做盈利预测结果，检 查无形资产是否存在减值迹象；</w:t>
                      </w:r>
                    </w:p>
                    <w:p>
                      <w:pPr>
                        <w:pStyle w:val="Style35"/>
                        <w:keepNext w:val="0"/>
                        <w:keepLines w:val="0"/>
                        <w:widowControl w:val="0"/>
                        <w:shd w:val="clear" w:color="auto" w:fill="auto"/>
                        <w:bidi w:val="0"/>
                        <w:spacing w:before="0" w:after="0" w:line="313" w:lineRule="exact"/>
                        <w:ind w:left="0" w:right="0" w:firstLine="0"/>
                        <w:jc w:val="left"/>
                        <w:rPr>
                          <w:sz w:val="22"/>
                          <w:szCs w:val="22"/>
                        </w:rPr>
                      </w:pPr>
                      <w:r>
                        <w:rPr>
                          <w:color w:val="000000"/>
                          <w:spacing w:val="0"/>
                          <w:w w:val="100"/>
                          <w:position w:val="0"/>
                          <w:sz w:val="22"/>
                          <w:szCs w:val="22"/>
                        </w:rPr>
                        <w:t>获取管理层对无形资产进行减值测试的文件，复 核管理层估计的适当性，评估管理层进行减值测 试时所使用的假设及估计的合理性，判断无形资 产是否已经发生减值及减值金额计算是否恰当。</w:t>
                      </w:r>
                    </w:p>
                  </w:txbxContent>
                </v:textbox>
                <w10:wrap type="topAndBottom" anchorx="page"/>
              </v:shape>
            </w:pict>
          </mc:Fallback>
        </mc:AlternateContent>
      </w:r>
    </w:p>
    <w:p>
      <w:pPr>
        <w:pStyle w:val="Style32"/>
        <w:keepNext/>
        <w:keepLines/>
        <w:widowControl w:val="0"/>
        <w:shd w:val="clear" w:color="auto" w:fill="auto"/>
        <w:bidi w:val="0"/>
        <w:spacing w:before="0" w:after="220" w:line="240" w:lineRule="auto"/>
        <w:ind w:left="0" w:right="0" w:firstLine="200"/>
        <w:jc w:val="both"/>
        <w:rPr>
          <w:sz w:val="22"/>
          <w:szCs w:val="22"/>
        </w:rPr>
      </w:pPr>
      <w:bookmarkStart w:id="869" w:name="bookmark869"/>
      <w:bookmarkStart w:id="870" w:name="bookmark870"/>
      <w:bookmarkStart w:id="871" w:name="bookmark871"/>
      <w:bookmarkStart w:id="872" w:name="bookmark872"/>
      <w:r>
        <w:rPr>
          <w:color w:val="000000"/>
          <w:spacing w:val="0"/>
          <w:w w:val="100"/>
          <w:position w:val="0"/>
          <w:sz w:val="22"/>
          <w:szCs w:val="22"/>
        </w:rPr>
        <w:t>四</w:t>
      </w:r>
      <w:bookmarkEnd w:id="871"/>
      <w:r>
        <w:rPr>
          <w:color w:val="000000"/>
          <w:spacing w:val="0"/>
          <w:w w:val="100"/>
          <w:position w:val="0"/>
          <w:sz w:val="22"/>
          <w:szCs w:val="22"/>
        </w:rPr>
        <w:t>、其他信息</w:t>
      </w:r>
      <w:bookmarkEnd w:id="869"/>
      <w:bookmarkEnd w:id="870"/>
      <w:bookmarkEnd w:id="872"/>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石基信息公司管理层对其他信息负责。其他信息包括石基信息公司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年年度报告中涵盖的信 息，但不包括财务报表和我们的审计报告。</w:t>
      </w:r>
    </w:p>
    <w:p>
      <w:pPr>
        <w:pStyle w:val="Style35"/>
        <w:keepNext w:val="0"/>
        <w:keepLines w:val="0"/>
        <w:widowControl w:val="0"/>
        <w:shd w:val="clear" w:color="auto" w:fill="auto"/>
        <w:bidi w:val="0"/>
        <w:spacing w:before="0" w:after="220" w:line="307" w:lineRule="exact"/>
        <w:ind w:left="0" w:right="0" w:firstLine="460"/>
        <w:jc w:val="both"/>
        <w:rPr>
          <w:sz w:val="22"/>
          <w:szCs w:val="22"/>
        </w:rPr>
      </w:pPr>
      <w:r>
        <w:rPr>
          <w:color w:val="000000"/>
          <w:spacing w:val="0"/>
          <w:w w:val="100"/>
          <w:position w:val="0"/>
          <w:sz w:val="22"/>
          <w:szCs w:val="22"/>
        </w:rPr>
        <w:t>我们对财务报表发表的审计意见不涵盖其他信息，我们也不对其他信息发表任何形式的鉴证结 论。</w:t>
      </w:r>
    </w:p>
    <w:p>
      <w:pPr>
        <w:pStyle w:val="Style35"/>
        <w:keepNext w:val="0"/>
        <w:keepLines w:val="0"/>
        <w:widowControl w:val="0"/>
        <w:shd w:val="clear" w:color="auto" w:fill="auto"/>
        <w:bidi w:val="0"/>
        <w:spacing w:before="0" w:after="220" w:line="307" w:lineRule="exact"/>
        <w:ind w:left="0" w:right="0" w:firstLine="460"/>
        <w:jc w:val="both"/>
        <w:rPr>
          <w:sz w:val="22"/>
          <w:szCs w:val="22"/>
        </w:rPr>
      </w:pPr>
      <w:r>
        <w:rPr>
          <w:color w:val="000000"/>
          <w:spacing w:val="0"/>
          <w:w w:val="100"/>
          <w:position w:val="0"/>
          <w:sz w:val="22"/>
          <w:szCs w:val="22"/>
        </w:rPr>
        <w:t>结合我们对财务报表的审计，我们的责任是阅读其他信息，在此过程中，考虑其他信息是否与财 务报表或我们在审计过程中了解到的情况存在重大不一致或者似乎存在重大错报。</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基于我们已执行的工作，如果我们确定其他信息存在重大错报，我们应当报告该事实。在这方面, 我们无任何事项需要报告。</w:t>
      </w:r>
    </w:p>
    <w:p>
      <w:pPr>
        <w:pStyle w:val="Style32"/>
        <w:keepNext/>
        <w:keepLines/>
        <w:widowControl w:val="0"/>
        <w:shd w:val="clear" w:color="auto" w:fill="auto"/>
        <w:tabs>
          <w:tab w:pos="693" w:val="left"/>
        </w:tabs>
        <w:bidi w:val="0"/>
        <w:spacing w:before="0" w:after="220" w:line="312" w:lineRule="exact"/>
        <w:ind w:left="0" w:right="0" w:firstLine="200"/>
        <w:jc w:val="both"/>
        <w:rPr>
          <w:sz w:val="22"/>
          <w:szCs w:val="22"/>
        </w:rPr>
      </w:pPr>
      <w:bookmarkStart w:id="873" w:name="bookmark873"/>
      <w:bookmarkStart w:id="874" w:name="bookmark874"/>
      <w:bookmarkStart w:id="875" w:name="bookmark875"/>
      <w:bookmarkStart w:id="876" w:name="bookmark876"/>
      <w:r>
        <w:rPr>
          <w:color w:val="000000"/>
          <w:spacing w:val="0"/>
          <w:w w:val="100"/>
          <w:position w:val="0"/>
          <w:sz w:val="22"/>
          <w:szCs w:val="22"/>
        </w:rPr>
        <w:t>五</w:t>
      </w:r>
      <w:bookmarkEnd w:id="875"/>
      <w:r>
        <w:rPr>
          <w:color w:val="000000"/>
          <w:spacing w:val="0"/>
          <w:w w:val="100"/>
          <w:position w:val="0"/>
          <w:sz w:val="22"/>
          <w:szCs w:val="22"/>
        </w:rPr>
        <w:t>、</w:t>
        <w:tab/>
        <w:t>管理层和治理层对财务报表的责任</w:t>
      </w:r>
      <w:bookmarkEnd w:id="873"/>
      <w:bookmarkEnd w:id="874"/>
      <w:bookmarkEnd w:id="876"/>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管理层负责按照企业会计准则的规定编制财务报表，使其实现公允反映，并设计、执行和维护必 要的内部控制，以使财务报表不存在由于舞弊或错误导致的重大错报。</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在编制财务报表时，管理层负责评估石基信息公司的持续经营能力，披露与持续经营相关的事项 （如适用），并运用持续经营假设，除非管理层计划清算石基信息公司、终止运营或别无其他现实的 选择。</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治理层负责监督石基信息公司的财务报告过程。</w:t>
      </w:r>
    </w:p>
    <w:p>
      <w:pPr>
        <w:pStyle w:val="Style32"/>
        <w:keepNext/>
        <w:keepLines/>
        <w:widowControl w:val="0"/>
        <w:shd w:val="clear" w:color="auto" w:fill="auto"/>
        <w:tabs>
          <w:tab w:pos="693" w:val="left"/>
        </w:tabs>
        <w:bidi w:val="0"/>
        <w:spacing w:before="0" w:after="220" w:line="312" w:lineRule="exact"/>
        <w:ind w:left="0" w:right="0" w:firstLine="200"/>
        <w:jc w:val="both"/>
        <w:rPr>
          <w:sz w:val="22"/>
          <w:szCs w:val="22"/>
        </w:rPr>
      </w:pPr>
      <w:bookmarkStart w:id="877" w:name="bookmark877"/>
      <w:bookmarkStart w:id="878" w:name="bookmark878"/>
      <w:bookmarkStart w:id="879" w:name="bookmark879"/>
      <w:bookmarkStart w:id="880" w:name="bookmark880"/>
      <w:r>
        <w:rPr>
          <w:color w:val="000000"/>
          <w:spacing w:val="0"/>
          <w:w w:val="100"/>
          <w:position w:val="0"/>
          <w:sz w:val="22"/>
          <w:szCs w:val="22"/>
        </w:rPr>
        <w:t>六</w:t>
      </w:r>
      <w:bookmarkEnd w:id="879"/>
      <w:r>
        <w:rPr>
          <w:color w:val="000000"/>
          <w:spacing w:val="0"/>
          <w:w w:val="100"/>
          <w:position w:val="0"/>
          <w:sz w:val="22"/>
          <w:szCs w:val="22"/>
        </w:rPr>
        <w:t>、</w:t>
        <w:tab/>
        <w:t>注册会计师对财务报表审计的责任</w:t>
      </w:r>
      <w:bookmarkEnd w:id="877"/>
      <w:bookmarkEnd w:id="878"/>
      <w:bookmarkEnd w:id="880"/>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35"/>
        <w:keepNext w:val="0"/>
        <w:keepLines w:val="0"/>
        <w:widowControl w:val="0"/>
        <w:shd w:val="clear" w:color="auto" w:fill="auto"/>
        <w:bidi w:val="0"/>
        <w:spacing w:before="0" w:after="300" w:line="322" w:lineRule="exact"/>
        <w:ind w:left="0" w:right="0" w:firstLine="460"/>
        <w:jc w:val="both"/>
        <w:rPr>
          <w:sz w:val="22"/>
          <w:szCs w:val="22"/>
        </w:rPr>
      </w:pPr>
      <w:r>
        <w:rPr>
          <w:color w:val="000000"/>
          <w:spacing w:val="0"/>
          <w:w w:val="100"/>
          <w:position w:val="0"/>
          <w:sz w:val="22"/>
          <w:szCs w:val="22"/>
        </w:rPr>
        <w:t>在按照审计准则执行审计工作的过程中，我们运用职业判断，并保持职业怀疑。同时，我们也执 行以下工作：</w:t>
      </w:r>
    </w:p>
    <w:p>
      <w:pPr>
        <w:pStyle w:val="Style35"/>
        <w:keepNext w:val="0"/>
        <w:keepLines w:val="0"/>
        <w:widowControl w:val="0"/>
        <w:numPr>
          <w:ilvl w:val="0"/>
          <w:numId w:val="27"/>
        </w:numPr>
        <w:shd w:val="clear" w:color="auto" w:fill="auto"/>
        <w:bidi w:val="0"/>
        <w:spacing w:before="0" w:after="300" w:line="298" w:lineRule="auto"/>
        <w:ind w:left="0" w:right="0" w:firstLine="0"/>
        <w:jc w:val="left"/>
        <w:rPr>
          <w:sz w:val="22"/>
          <w:szCs w:val="22"/>
        </w:rPr>
      </w:pPr>
      <w:bookmarkStart w:id="881" w:name="bookmark881"/>
      <w:bookmarkEnd w:id="881"/>
      <w:r>
        <w:rPr>
          <w:color w:val="000000"/>
          <w:spacing w:val="0"/>
          <w:w w:val="100"/>
          <w:position w:val="0"/>
          <w:sz w:val="22"/>
          <w:szCs w:val="22"/>
        </w:rPr>
        <w:t>识别和评估由于舞弊或错误导致的财务报表重大错报风险，设计和实施审计程序以应对这些风险，</w:t>
        <w:br w:type="page"/>
      </w:r>
      <w:r>
        <w:rPr>
          <w:color w:val="000000"/>
          <w:spacing w:val="0"/>
          <w:w w:val="100"/>
          <w:position w:val="0"/>
          <w:sz w:val="22"/>
          <w:szCs w:val="22"/>
        </w:rPr>
        <w:t>并获取充分、适当的审计证据，作为发表审计意见的基础。由于舞弊可能涉及串通、伪造、故意 遗漏、虚假陈述或凌驾于内部控制之上，未能发现由于舞弊导致的重大错报的风险高于未能发现 由于错误导致的重大错报的风险。</w:t>
      </w:r>
    </w:p>
    <w:p>
      <w:pPr>
        <w:pStyle w:val="Style35"/>
        <w:keepNext w:val="0"/>
        <w:keepLines w:val="0"/>
        <w:widowControl w:val="0"/>
        <w:numPr>
          <w:ilvl w:val="0"/>
          <w:numId w:val="27"/>
        </w:numPr>
        <w:shd w:val="clear" w:color="auto" w:fill="auto"/>
        <w:tabs>
          <w:tab w:pos="366" w:val="left"/>
        </w:tabs>
        <w:bidi w:val="0"/>
        <w:spacing w:before="0" w:after="220" w:line="298" w:lineRule="auto"/>
        <w:ind w:left="0" w:right="0" w:firstLine="0"/>
        <w:jc w:val="both"/>
        <w:rPr>
          <w:sz w:val="22"/>
          <w:szCs w:val="22"/>
        </w:rPr>
      </w:pPr>
      <w:bookmarkStart w:id="882" w:name="bookmark882"/>
      <w:bookmarkEnd w:id="882"/>
      <w:r>
        <w:rPr>
          <w:color w:val="000000"/>
          <w:spacing w:val="0"/>
          <w:w w:val="100"/>
          <w:position w:val="0"/>
          <w:sz w:val="22"/>
          <w:szCs w:val="22"/>
        </w:rPr>
        <w:t>了解与审计相关的内部控制，以设计恰当的审计程序。</w:t>
      </w:r>
    </w:p>
    <w:p>
      <w:pPr>
        <w:pStyle w:val="Style35"/>
        <w:keepNext w:val="0"/>
        <w:keepLines w:val="0"/>
        <w:widowControl w:val="0"/>
        <w:numPr>
          <w:ilvl w:val="0"/>
          <w:numId w:val="27"/>
        </w:numPr>
        <w:shd w:val="clear" w:color="auto" w:fill="auto"/>
        <w:tabs>
          <w:tab w:pos="366" w:val="left"/>
        </w:tabs>
        <w:bidi w:val="0"/>
        <w:spacing w:before="0" w:after="160" w:line="298" w:lineRule="auto"/>
        <w:ind w:left="0" w:right="0" w:firstLine="0"/>
        <w:jc w:val="both"/>
        <w:rPr>
          <w:sz w:val="22"/>
          <w:szCs w:val="22"/>
        </w:rPr>
      </w:pPr>
      <w:bookmarkStart w:id="883" w:name="bookmark883"/>
      <w:bookmarkEnd w:id="883"/>
      <w:r>
        <w:rPr>
          <w:color w:val="000000"/>
          <w:spacing w:val="0"/>
          <w:w w:val="100"/>
          <w:position w:val="0"/>
          <w:sz w:val="22"/>
          <w:szCs w:val="22"/>
        </w:rPr>
        <w:t>评价管理层选用会计政策的恰当性和作出会计估计及相关披露的合理性。</w:t>
      </w:r>
    </w:p>
    <w:p>
      <w:pPr>
        <w:pStyle w:val="Style35"/>
        <w:keepNext w:val="0"/>
        <w:keepLines w:val="0"/>
        <w:widowControl w:val="0"/>
        <w:numPr>
          <w:ilvl w:val="0"/>
          <w:numId w:val="27"/>
        </w:numPr>
        <w:shd w:val="clear" w:color="auto" w:fill="auto"/>
        <w:tabs>
          <w:tab w:pos="366" w:val="left"/>
        </w:tabs>
        <w:bidi w:val="0"/>
        <w:spacing w:before="0" w:after="300" w:line="313" w:lineRule="exact"/>
        <w:ind w:left="380" w:right="0" w:hanging="380"/>
        <w:jc w:val="both"/>
        <w:rPr>
          <w:sz w:val="22"/>
          <w:szCs w:val="22"/>
        </w:rPr>
      </w:pPr>
      <w:bookmarkStart w:id="884" w:name="bookmark884"/>
      <w:bookmarkEnd w:id="884"/>
      <w:r>
        <w:rPr>
          <w:color w:val="000000"/>
          <w:spacing w:val="0"/>
          <w:w w:val="100"/>
          <w:position w:val="0"/>
          <w:sz w:val="22"/>
          <w:szCs w:val="22"/>
        </w:rPr>
        <w:t>对管理层使用持续经营假设的恰当性得出结论。同时，根据获取的审计证据，就可能导致对石基 信息公司持续经营能力产生重大疑虑的事项或情况是否存在重大不确定性得出结论。如果我们得 出结论认为存在重大不确定性，审计准则要求我们在审计报告中提请报表使用者注意财务报表中 的相关披露；如果披露不充分，我们应当发表非无保留意见。我们的结论基于截至审计报告日可 获得的信息。然而，未来的事项或情况可能导致石基信息公司不能持续经营。</w:t>
      </w:r>
    </w:p>
    <w:p>
      <w:pPr>
        <w:pStyle w:val="Style35"/>
        <w:keepNext w:val="0"/>
        <w:keepLines w:val="0"/>
        <w:widowControl w:val="0"/>
        <w:numPr>
          <w:ilvl w:val="0"/>
          <w:numId w:val="27"/>
        </w:numPr>
        <w:shd w:val="clear" w:color="auto" w:fill="auto"/>
        <w:tabs>
          <w:tab w:pos="366" w:val="left"/>
        </w:tabs>
        <w:bidi w:val="0"/>
        <w:spacing w:before="0" w:after="160" w:line="298" w:lineRule="auto"/>
        <w:ind w:left="0" w:right="0" w:firstLine="0"/>
        <w:jc w:val="both"/>
        <w:rPr>
          <w:sz w:val="22"/>
          <w:szCs w:val="22"/>
        </w:rPr>
      </w:pPr>
      <w:bookmarkStart w:id="885" w:name="bookmark885"/>
      <w:bookmarkEnd w:id="885"/>
      <w:r>
        <w:rPr>
          <w:color w:val="000000"/>
          <w:spacing w:val="0"/>
          <w:w w:val="100"/>
          <w:position w:val="0"/>
          <w:sz w:val="22"/>
          <w:szCs w:val="22"/>
        </w:rPr>
        <w:t>评价财务报表的总体列报、结构和内容，并评价财务报表是否公允反映相关交易和事项。</w:t>
      </w:r>
    </w:p>
    <w:p>
      <w:pPr>
        <w:pStyle w:val="Style35"/>
        <w:keepNext w:val="0"/>
        <w:keepLines w:val="0"/>
        <w:widowControl w:val="0"/>
        <w:numPr>
          <w:ilvl w:val="0"/>
          <w:numId w:val="27"/>
        </w:numPr>
        <w:shd w:val="clear" w:color="auto" w:fill="auto"/>
        <w:tabs>
          <w:tab w:pos="366" w:val="left"/>
        </w:tabs>
        <w:bidi w:val="0"/>
        <w:spacing w:before="0" w:after="220" w:line="322" w:lineRule="exact"/>
        <w:ind w:left="380" w:right="0" w:hanging="380"/>
        <w:jc w:val="both"/>
        <w:rPr>
          <w:sz w:val="22"/>
          <w:szCs w:val="22"/>
        </w:rPr>
      </w:pPr>
      <w:bookmarkStart w:id="886" w:name="bookmark886"/>
      <w:bookmarkEnd w:id="886"/>
      <w:r>
        <w:rPr>
          <w:color w:val="000000"/>
          <w:spacing w:val="0"/>
          <w:w w:val="100"/>
          <w:position w:val="0"/>
          <w:sz w:val="22"/>
          <w:szCs w:val="22"/>
        </w:rPr>
        <w:t>就石基信息公司中实体或业务活动的财务信息获取充分、适当的审计证据，以对财务报表发表审 计意见。我们负责指导、监督和执行集团审计，并对审计意见承担全部责任。</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我们与治理层就计划的审计范围、时间安排和重大审计发现等事项进行沟通，包括沟通我们在审 计中识别出的值得关注的内部控制缺陷。</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我们还就已遵守与独立性相关的职业道德要求向治理层提供声明，并与治理层沟通可能被合理认 为影响我们独立性的所有关系和其他事项，以及相关的防范措施（如适用）。</w:t>
      </w:r>
    </w:p>
    <w:p>
      <w:pPr>
        <w:pStyle w:val="Style35"/>
        <w:keepNext w:val="0"/>
        <w:keepLines w:val="0"/>
        <w:widowControl w:val="0"/>
        <w:shd w:val="clear" w:color="auto" w:fill="auto"/>
        <w:bidi w:val="0"/>
        <w:spacing w:before="0" w:after="0" w:line="314" w:lineRule="exact"/>
        <w:ind w:left="0" w:right="0" w:firstLine="460"/>
        <w:jc w:val="both"/>
        <w:rPr>
          <w:sz w:val="22"/>
          <w:szCs w:val="22"/>
        </w:rPr>
      </w:pPr>
      <w:r>
        <w:rPr>
          <w:color w:val="000000"/>
          <w:spacing w:val="0"/>
          <w:w w:val="100"/>
          <w:position w:val="0"/>
          <w:sz w:val="22"/>
          <w:szCs w:val="22"/>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widowControl w:val="0"/>
        <w:spacing w:line="1" w:lineRule="exact"/>
        <w:sectPr>
          <w:footnotePr>
            <w:pos w:val="pageBottom"/>
            <w:numFmt w:val="decimal"/>
            <w:numRestart w:val="continuous"/>
          </w:footnotePr>
          <w:pgSz w:w="11900" w:h="16840"/>
          <w:pgMar w:top="1417" w:right="1033" w:bottom="1451" w:left="1076" w:header="0" w:footer="3" w:gutter="0"/>
          <w:cols w:space="720"/>
          <w:noEndnote/>
          <w:rtlGutter w:val="0"/>
          <w:docGrid w:linePitch="360"/>
        </w:sectPr>
      </w:pPr>
      <w:r>
        <mc:AlternateContent>
          <mc:Choice Requires="wps">
            <w:drawing>
              <wp:anchor distT="660400" distB="186055" distL="0" distR="0" simplePos="0" relativeHeight="125829392" behindDoc="0" locked="0" layoutInCell="1" allowOverlap="1">
                <wp:simplePos x="0" y="0"/>
                <wp:positionH relativeFrom="page">
                  <wp:posOffset>692150</wp:posOffset>
                </wp:positionH>
                <wp:positionV relativeFrom="paragraph">
                  <wp:posOffset>660400</wp:posOffset>
                </wp:positionV>
                <wp:extent cx="2355850" cy="186055"/>
                <wp:wrapTopAndBottom/>
                <wp:docPr id="46" name="Shape 46"/>
                <a:graphic xmlns:a="http://schemas.openxmlformats.org/drawingml/2006/main">
                  <a:graphicData uri="http://schemas.microsoft.com/office/word/2010/wordprocessingShape">
                    <wps:wsp>
                      <wps:cNvSpPr txBox="1"/>
                      <wps:spPr>
                        <a:xfrm>
                          <a:ext cx="2355850" cy="1860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信永中和会计师事务所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特殊普通合伙</w:t>
                            </w:r>
                            <w:r>
                              <w:rPr>
                                <w:rFonts w:ascii="Times New Roman" w:eastAsia="Times New Roman" w:hAnsi="Times New Roman" w:cs="Times New Roman"/>
                                <w:color w:val="000000"/>
                                <w:spacing w:val="0"/>
                                <w:w w:val="100"/>
                                <w:position w:val="0"/>
                                <w:sz w:val="22"/>
                                <w:szCs w:val="22"/>
                              </w:rPr>
                              <w:t>）</w:t>
                            </w:r>
                          </w:p>
                        </w:txbxContent>
                      </wps:txbx>
                      <wps:bodyPr wrap="none" lIns="0" tIns="0" rIns="0" bIns="0">
                        <a:noAutoFit/>
                      </wps:bodyPr>
                    </wps:wsp>
                  </a:graphicData>
                </a:graphic>
              </wp:anchor>
            </w:drawing>
          </mc:Choice>
          <mc:Fallback>
            <w:pict>
              <v:shape id="_x0000_s1072" type="#_x0000_t202" style="position:absolute;margin-left:54.5pt;margin-top:52.pt;width:185.5pt;height:14.65pt;z-index:-125829361;mso-wrap-distance-left:0;mso-wrap-distance-top:52.pt;mso-wrap-distance-right:0;mso-wrap-distance-bottom:14.6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信永中和会计师事务所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特殊普通合伙</w:t>
                      </w:r>
                      <w:r>
                        <w:rPr>
                          <w:rFonts w:ascii="Times New Roman" w:eastAsia="Times New Roman" w:hAnsi="Times New Roman" w:cs="Times New Roman"/>
                          <w:color w:val="000000"/>
                          <w:spacing w:val="0"/>
                          <w:w w:val="100"/>
                          <w:position w:val="0"/>
                          <w:sz w:val="22"/>
                          <w:szCs w:val="22"/>
                        </w:rPr>
                        <w:t>）</w:t>
                      </w:r>
                    </w:p>
                  </w:txbxContent>
                </v:textbox>
                <w10:wrap type="topAndBottom" anchorx="page"/>
              </v:shape>
            </w:pict>
          </mc:Fallback>
        </mc:AlternateContent>
      </w:r>
      <w:r>
        <mc:AlternateContent>
          <mc:Choice Requires="wps">
            <w:drawing>
              <wp:anchor distT="660400" distB="0" distL="0" distR="0" simplePos="0" relativeHeight="125829394" behindDoc="0" locked="0" layoutInCell="1" allowOverlap="1">
                <wp:simplePos x="0" y="0"/>
                <wp:positionH relativeFrom="page">
                  <wp:posOffset>3767455</wp:posOffset>
                </wp:positionH>
                <wp:positionV relativeFrom="paragraph">
                  <wp:posOffset>660400</wp:posOffset>
                </wp:positionV>
                <wp:extent cx="1466215" cy="372110"/>
                <wp:wrapTopAndBottom/>
                <wp:docPr id="48" name="Shape 48"/>
                <a:graphic xmlns:a="http://schemas.openxmlformats.org/drawingml/2006/main">
                  <a:graphicData uri="http://schemas.microsoft.com/office/word/2010/wordprocessingShape">
                    <wps:wsp>
                      <wps:cNvSpPr txBox="1"/>
                      <wps:spPr>
                        <a:xfrm>
                          <a:ext cx="1466215" cy="372110"/>
                        </a:xfrm>
                        <a:prstGeom prst="rect"/>
                        <a:noFill/>
                      </wps:spPr>
                      <wps:txbx>
                        <w:txbxContent>
                          <w:p>
                            <w:pPr>
                              <w:pStyle w:val="Style35"/>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中国注册会计师：张昆</w:t>
                            </w:r>
                          </w:p>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（项目合伙人）</w:t>
                            </w:r>
                          </w:p>
                        </w:txbxContent>
                      </wps:txbx>
                      <wps:bodyPr lIns="0" tIns="0" rIns="0" bIns="0">
                        <a:noAutoFit/>
                      </wps:bodyPr>
                    </wps:wsp>
                  </a:graphicData>
                </a:graphic>
              </wp:anchor>
            </w:drawing>
          </mc:Choice>
          <mc:Fallback>
            <w:pict>
              <v:shape id="_x0000_s1074" type="#_x0000_t202" style="position:absolute;margin-left:296.65000000000003pt;margin-top:52.pt;width:115.45pt;height:29.300000000000001pt;z-index:-125829359;mso-wrap-distance-left:0;mso-wrap-distance-top:52.pt;mso-wrap-distance-right:0;mso-position-horizontal-relative:page" filled="f" stroked="f">
                <v:textbox inset="0,0,0,0">
                  <w:txbxContent>
                    <w:p>
                      <w:pPr>
                        <w:pStyle w:val="Style35"/>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中国注册会计师：张昆</w:t>
                      </w:r>
                    </w:p>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（项目合伙人）</w:t>
                      </w:r>
                    </w:p>
                  </w:txbxContent>
                </v:textbox>
                <w10:wrap type="topAndBottom" anchorx="page"/>
              </v:shape>
            </w:pict>
          </mc:Fallback>
        </mc:AlternateConten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17" w:right="0" w:bottom="2660" w:left="0" w:header="0" w:footer="3" w:gutter="0"/>
          <w:cols w:space="720"/>
          <w:noEndnote/>
          <w:rtlGutter w:val="0"/>
          <w:docGrid w:linePitch="360"/>
        </w:sectPr>
      </w:pPr>
    </w:p>
    <w:p>
      <w:pPr>
        <w:pStyle w:val="Style35"/>
        <w:keepNext w:val="0"/>
        <w:keepLines w:val="0"/>
        <w:widowControl w:val="0"/>
        <w:shd w:val="clear" w:color="auto" w:fill="auto"/>
        <w:bidi w:val="0"/>
        <w:spacing w:before="0" w:after="0" w:line="240" w:lineRule="auto"/>
        <w:ind w:left="4840" w:right="0" w:firstLine="0"/>
        <w:jc w:val="left"/>
        <w:rPr>
          <w:sz w:val="22"/>
          <w:szCs w:val="22"/>
        </w:rPr>
      </w:pPr>
      <w:r>
        <w:rPr>
          <w:color w:val="000000"/>
          <w:spacing w:val="0"/>
          <w:w w:val="100"/>
          <w:position w:val="0"/>
          <w:sz w:val="22"/>
          <w:szCs w:val="22"/>
        </w:rPr>
        <w:t>中国注册会计师：张海啸</w:t>
      </w:r>
    </w:p>
    <w:p>
      <w:pPr>
        <w:widowControl w:val="0"/>
        <w:spacing w:line="1" w:lineRule="exact"/>
        <w:sectPr>
          <w:footnotePr>
            <w:pos w:val="pageBottom"/>
            <w:numFmt w:val="decimal"/>
            <w:numRestart w:val="continuous"/>
          </w:footnotePr>
          <w:type w:val="continuous"/>
          <w:pgSz w:w="11900" w:h="16840"/>
          <w:pgMar w:top="1417" w:right="1004" w:bottom="2660" w:left="1104" w:header="0" w:footer="3" w:gutter="0"/>
          <w:cols w:space="720"/>
          <w:noEndnote/>
          <w:rtlGutter w:val="0"/>
          <w:docGrid w:linePitch="360"/>
        </w:sectPr>
      </w:pPr>
      <w:r>
        <mc:AlternateContent>
          <mc:Choice Requires="wps">
            <w:drawing>
              <wp:anchor distT="180975" distB="0" distL="0" distR="0" simplePos="0" relativeHeight="125829396" behindDoc="0" locked="0" layoutInCell="1" allowOverlap="1">
                <wp:simplePos x="0" y="0"/>
                <wp:positionH relativeFrom="page">
                  <wp:posOffset>1554480</wp:posOffset>
                </wp:positionH>
                <wp:positionV relativeFrom="paragraph">
                  <wp:posOffset>180975</wp:posOffset>
                </wp:positionV>
                <wp:extent cx="826135" cy="176530"/>
                <wp:wrapTopAndBottom/>
                <wp:docPr id="50" name="Shape 50"/>
                <a:graphic xmlns:a="http://schemas.openxmlformats.org/drawingml/2006/main">
                  <a:graphicData uri="http://schemas.microsoft.com/office/word/2010/wordprocessingShape">
                    <wps:wsp>
                      <wps:cNvSpPr txBox="1"/>
                      <wps:spPr>
                        <a:xfrm>
                          <a:ext cx="826135" cy="1765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中国 北京</w:t>
                            </w:r>
                          </w:p>
                        </w:txbxContent>
                      </wps:txbx>
                      <wps:bodyPr wrap="none" lIns="0" tIns="0" rIns="0" bIns="0">
                        <a:noAutoFit/>
                      </wps:bodyPr>
                    </wps:wsp>
                  </a:graphicData>
                </a:graphic>
              </wp:anchor>
            </w:drawing>
          </mc:Choice>
          <mc:Fallback>
            <w:pict>
              <v:shape id="_x0000_s1076" type="#_x0000_t202" style="position:absolute;margin-left:122.40000000000001pt;margin-top:14.25pt;width:65.049999999999997pt;height:13.9pt;z-index:-125829357;mso-wrap-distance-left:0;mso-wrap-distance-top:14.25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中国 北京</w:t>
                      </w:r>
                    </w:p>
                  </w:txbxContent>
                </v:textbox>
                <w10:wrap type="topAndBottom" anchorx="page"/>
              </v:shape>
            </w:pict>
          </mc:Fallback>
        </mc:AlternateContent>
      </w:r>
      <w:r>
        <mc:AlternateContent>
          <mc:Choice Requires="wps">
            <w:drawing>
              <wp:anchor distT="177800" distB="8890" distL="0" distR="0" simplePos="0" relativeHeight="125829398" behindDoc="0" locked="0" layoutInCell="1" allowOverlap="1">
                <wp:simplePos x="0" y="0"/>
                <wp:positionH relativeFrom="page">
                  <wp:posOffset>3757930</wp:posOffset>
                </wp:positionH>
                <wp:positionV relativeFrom="paragraph">
                  <wp:posOffset>177800</wp:posOffset>
                </wp:positionV>
                <wp:extent cx="1557655" cy="170815"/>
                <wp:wrapTopAndBottom/>
                <wp:docPr id="52" name="Shape 52"/>
                <a:graphic xmlns:a="http://schemas.openxmlformats.org/drawingml/2006/main">
                  <a:graphicData uri="http://schemas.microsoft.com/office/word/2010/wordprocessingShape">
                    <wps:wsp>
                      <wps:cNvSpPr txBox="1"/>
                      <wps:spPr>
                        <a:xfrm>
                          <a:ext cx="1557655"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二一年四月二十七日</w:t>
                            </w:r>
                          </w:p>
                        </w:txbxContent>
                      </wps:txbx>
                      <wps:bodyPr wrap="none" lIns="0" tIns="0" rIns="0" bIns="0">
                        <a:noAutoFit/>
                      </wps:bodyPr>
                    </wps:wsp>
                  </a:graphicData>
                </a:graphic>
              </wp:anchor>
            </w:drawing>
          </mc:Choice>
          <mc:Fallback>
            <w:pict>
              <v:shape id="_x0000_s1078" type="#_x0000_t202" style="position:absolute;margin-left:295.90000000000003pt;margin-top:14.pt;width:122.65000000000001pt;height:13.450000000000001pt;z-index:-125829355;mso-wrap-distance-left:0;mso-wrap-distance-top:14.pt;mso-wrap-distance-right:0;mso-wrap-distance-bottom:0.70000000000000007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二一年四月二十七日</w:t>
                      </w:r>
                    </w:p>
                  </w:txbxContent>
                </v:textbox>
                <w10:wrap type="topAndBottom" anchorx="page"/>
              </v:shape>
            </w:pict>
          </mc:Fallback>
        </mc:AlternateContent>
      </w:r>
    </w:p>
    <w:p>
      <w:pPr>
        <w:widowControl w:val="0"/>
        <w:spacing w:before="10" w:after="1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17" w:right="0" w:bottom="1436" w:left="0"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887" w:name="bookmark887"/>
      <w:bookmarkStart w:id="888" w:name="bookmark888"/>
      <w:bookmarkStart w:id="889" w:name="bookmark889"/>
      <w:r>
        <w:rPr>
          <w:color w:val="000000"/>
          <w:spacing w:val="0"/>
          <w:w w:val="100"/>
          <w:position w:val="0"/>
        </w:rPr>
        <w:t>二、财务报表</w:t>
      </w:r>
      <w:bookmarkEnd w:id="887"/>
      <w:bookmarkEnd w:id="888"/>
      <w:bookmarkEnd w:id="889"/>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财务附注中报表的单位为：元</w:t>
      </w:r>
      <w:r>
        <w:br w:type="page"/>
      </w:r>
    </w:p>
    <w:p>
      <w:pPr>
        <w:pStyle w:val="Style32"/>
        <w:keepNext/>
        <w:keepLines/>
        <w:widowControl w:val="0"/>
        <w:shd w:val="clear" w:color="auto" w:fill="auto"/>
        <w:bidi w:val="0"/>
        <w:spacing w:before="0" w:after="360" w:line="240" w:lineRule="auto"/>
        <w:ind w:left="0" w:right="0" w:firstLine="0"/>
        <w:jc w:val="left"/>
      </w:pPr>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890"/>
      <w:bookmarkEnd w:id="891"/>
      <w:bookmarkEnd w:id="89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编制单位：北京中长石基信息技术股份有限公司</w:t>
      </w:r>
    </w:p>
    <w:p>
      <w:pPr>
        <w:pStyle w:val="Style87"/>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5,117,735,900.08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5,210,811,357.28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57,201,377.72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670,464,267.88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633,550,699.14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2,490,744.61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3,352,860.49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53,152,554.63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61,756,071.44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105,140,502.29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193,888,486.21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37,734,431.95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118,501,059.86</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318,912,484.59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382,458,302.48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45,488,256.61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104,125,590.22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6,425,681,184.18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6,647,344,744.98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29,626,394.65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377,494,874.96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329,117,638.50</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3,978,923.31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3,259,166.95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47,633,836.58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52,083,686.00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301,956,677.50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314,750,501.46</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125,554,516.83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975,520,299.87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925,304,312.84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270,135,262.33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162,612,106.07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1,917,124,177.14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2,192,582,934.01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2,182,232.13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1,375,498.56</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93,878,010.90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87,335,744.51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65,500,000.00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4,167,132,333.54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4,259,476,105.73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10,592,813,517.72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10,906,820,850.71</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10,417,833.07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15,486,807.62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244,258,326.64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280,887,261.82</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527,525,507.65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394,871,187.18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176,205,806.02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176,305,349.01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258,727,290.03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170,428,305.68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260,776,098.04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375,406,923.59</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36,443,392.91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1,393,103,932.48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1,546,040,155.37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1,476,664.33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30,517,255.69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37,872,465.10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37,137,257.66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39,432,465.20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1,430,241,190.14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1,585,472,620.57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1,069,604,219.00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4,156,333,903.83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4,119,234,927.70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160,877,163.44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299,226,363.81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94,929,746.00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77,227,700.23</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2,920,554,602.30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3,048,666,428.87</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8,403,807,598.57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8,613,959,639.61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758,764,729.01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707,388,590.53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9,162,572,327.58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9,321,348,230.14</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10,592,813,517.72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10,906,820,850.71</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5565" simplePos="0" relativeHeight="125829400" behindDoc="0" locked="0" layoutInCell="1" allowOverlap="1">
                <wp:simplePos x="0" y="0"/>
                <wp:positionH relativeFrom="page">
                  <wp:posOffset>695960</wp:posOffset>
                </wp:positionH>
                <wp:positionV relativeFrom="margin">
                  <wp:posOffset>1258570</wp:posOffset>
                </wp:positionV>
                <wp:extent cx="1051560" cy="149225"/>
                <wp:wrapTopAndBottom/>
                <wp:docPr id="54" name="Shape 5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80" type="#_x0000_t202" style="position:absolute;margin-left:54.800000000000004pt;margin-top:99.100000000000009pt;width:82.799999999999997pt;height:11.75pt;z-index:-125829353;mso-wrap-distance-left:9.pt;mso-wrap-distance-top:11.pt;mso-wrap-distance-right:405.9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39700" distB="3175" distL="2293620" distR="2522220" simplePos="0" relativeHeight="125829402" behindDoc="0" locked="0" layoutInCell="1" allowOverlap="1">
                <wp:simplePos x="0" y="0"/>
                <wp:positionH relativeFrom="page">
                  <wp:posOffset>2875280</wp:posOffset>
                </wp:positionH>
                <wp:positionV relativeFrom="margin">
                  <wp:posOffset>1258570</wp:posOffset>
                </wp:positionV>
                <wp:extent cx="1505585" cy="146050"/>
                <wp:wrapTopAndBottom/>
                <wp:docPr id="56" name="Shape 5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82" type="#_x0000_t202" style="position:absolute;margin-left:226.40000000000001pt;margin-top:99.100000000000009pt;width:118.55pt;height:11.5pt;z-index:-125829351;mso-wrap-distance-left:180.59999999999999pt;mso-wrap-distance-top:11.pt;mso-wrap-distance-right:198.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39700" distB="0" distL="4918075" distR="114300" simplePos="0" relativeHeight="125829404" behindDoc="0" locked="0" layoutInCell="1" allowOverlap="1">
                <wp:simplePos x="0" y="0"/>
                <wp:positionH relativeFrom="page">
                  <wp:posOffset>5499735</wp:posOffset>
                </wp:positionH>
                <wp:positionV relativeFrom="margin">
                  <wp:posOffset>1258570</wp:posOffset>
                </wp:positionV>
                <wp:extent cx="1289050" cy="149225"/>
                <wp:wrapTopAndBottom/>
                <wp:docPr id="58" name="Shape 58"/>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84" type="#_x0000_t202" style="position:absolute;margin-left:433.05000000000001pt;margin-top:99.100000000000009pt;width:101.5pt;height:11.75pt;z-index:-125829349;mso-wrap-distance-left:387.25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color w:val="000000"/>
          <w:spacing w:val="0"/>
          <w:w w:val="100"/>
          <w:position w:val="0"/>
        </w:rPr>
        <w:t>、母公司资产负债表</w:t>
      </w:r>
      <w:bookmarkEnd w:id="893"/>
      <w:bookmarkEnd w:id="894"/>
      <w:bookmarkEnd w:id="89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93"/>
        <w:gridCol w:w="263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375,721,900.22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511,443,782.17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1,004,178.08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46,165,493.04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37,835,129.33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963,741.92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2,354,323.76</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2,507,524,277.81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2,491,530,436.40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54,848,879.31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51,998,479.31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129,498,279.79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117,434,297.46</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9,953,722.60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12,559,747.51</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3,070,831,593.46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3,173,157,716.63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2,337,829,382.51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2,342,363,489.58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82,158,491.89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85,628,995.54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123,132,074.18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57,905,656.15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14,429,900.67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2,997,846.30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2,557,549,849.25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2,506,395,987.57</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5,628,381,442.71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5,679,553,704.20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3,683,907.13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334,014,397.71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308,561,573.51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121,542,317.88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102,301,671.87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29,111,422.73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35,826,806.54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787,545.08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1,370,808.46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1,244,028,408.67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1,483,953,059.39</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14,347,896.97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1,728,275,250.16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1,951,254,565.78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1,728,275,876.87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1,951,254,565.78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1,071,112,183.00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1,069,604,219.00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1,811,674,624.94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1,775,566,852.22</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182,567,598.73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164,865,552.96</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834,751,159.17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718,262,514.24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3,900,105,565.84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3,728,299,138.42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5,628,381,442.71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5,679,553,704.20</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5565" simplePos="0" relativeHeight="125829406" behindDoc="0" locked="0" layoutInCell="1" allowOverlap="1">
                <wp:simplePos x="0" y="0"/>
                <wp:positionH relativeFrom="page">
                  <wp:posOffset>695960</wp:posOffset>
                </wp:positionH>
                <wp:positionV relativeFrom="margin">
                  <wp:posOffset>6111240</wp:posOffset>
                </wp:positionV>
                <wp:extent cx="1051560" cy="149225"/>
                <wp:wrapTopAndBottom/>
                <wp:docPr id="60" name="Shape 6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86" type="#_x0000_t202" style="position:absolute;margin-left:54.800000000000004pt;margin-top:481.19999999999999pt;width:82.799999999999997pt;height:11.75pt;z-index:-125829347;mso-wrap-distance-left:9.pt;mso-wrap-distance-top:12.pt;mso-wrap-distance-right:405.9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52400" distB="3175" distL="2293620" distR="2522220" simplePos="0" relativeHeight="125829408" behindDoc="0" locked="0" layoutInCell="1" allowOverlap="1">
                <wp:simplePos x="0" y="0"/>
                <wp:positionH relativeFrom="page">
                  <wp:posOffset>2875280</wp:posOffset>
                </wp:positionH>
                <wp:positionV relativeFrom="margin">
                  <wp:posOffset>6111240</wp:posOffset>
                </wp:positionV>
                <wp:extent cx="1505585" cy="146050"/>
                <wp:wrapTopAndBottom/>
                <wp:docPr id="62" name="Shape 6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88" type="#_x0000_t202" style="position:absolute;margin-left:226.40000000000001pt;margin-top:481.19999999999999pt;width:118.55pt;height:11.5pt;z-index:-125829345;mso-wrap-distance-left:180.59999999999999pt;mso-wrap-distance-top:12.pt;mso-wrap-distance-right:198.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52400" distB="0" distL="4918075" distR="114300" simplePos="0" relativeHeight="125829410" behindDoc="0" locked="0" layoutInCell="1" allowOverlap="1">
                <wp:simplePos x="0" y="0"/>
                <wp:positionH relativeFrom="page">
                  <wp:posOffset>5499735</wp:posOffset>
                </wp:positionH>
                <wp:positionV relativeFrom="margin">
                  <wp:posOffset>6111240</wp:posOffset>
                </wp:positionV>
                <wp:extent cx="1289050" cy="149225"/>
                <wp:wrapTopAndBottom/>
                <wp:docPr id="64" name="Shape 64"/>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90" type="#_x0000_t202" style="position:absolute;margin-left:433.05000000000001pt;margin-top:481.19999999999999pt;width:101.5pt;height:11.75pt;z-index:-125829343;mso-wrap-distance-left:387.2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3</w:t>
      </w:r>
      <w:bookmarkEnd w:id="899"/>
      <w:r>
        <w:rPr>
          <w:color w:val="000000"/>
          <w:spacing w:val="0"/>
          <w:w w:val="100"/>
          <w:position w:val="0"/>
        </w:rPr>
        <w:t>、合并利润表</w:t>
      </w:r>
      <w:bookmarkEnd w:id="897"/>
      <w:bookmarkEnd w:id="898"/>
      <w:bookmarkEnd w:id="90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93"/>
        <w:gridCol w:w="263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3,662,540,116.40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3,662,540,116.40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3,111,497,807.30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3,229,547,920.65</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1,964,508,661.50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2,067,920,205.27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18,441,817.22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28,913,604.37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255,880,890.45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316,596,455.82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705,317,935.07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789,392,040.49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304,916,042.55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275,870,079.70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-137,567,539.49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-249,144,465.00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9,179,372.62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3,112,010.04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199,583,490.54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202,600,602.90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57,924,853.20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91,741,066.18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-159,857,836.69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443,394.62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6,065,522.31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-41,142,018.57</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1100" w:right="0" w:firstLine="0"/>
              <w:jc w:val="left"/>
              <w:rPr>
                <w:sz w:val="17"/>
                <w:szCs w:val="17"/>
              </w:rPr>
            </w:pPr>
            <w:r>
              <w:rPr>
                <w:color w:val="000000"/>
                <w:spacing w:val="0"/>
                <w:w w:val="100"/>
                <w:position w:val="0"/>
                <w:sz w:val="17"/>
                <w:szCs w:val="17"/>
              </w:rPr>
              <w:t>以摊余成本计量的金融资产终止确认收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-10,845,929.90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42,906.43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-35,550,378.08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-26,545,945.36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-26,193,384.67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-11,301,895.73</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-183,198.57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31,063,694.83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487,188,523.32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28,493,869.81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9,842,595.47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3,294,730.06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3,409,378.01</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56,262,834.58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493,621,740.78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45,193,518.52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28,445,440.13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11,069,316.06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465,176,300.65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11,069,316.06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465,176,300.65</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-67,580,013.80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368,017,553.68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78,649,329.86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97,158,746.97</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-138,349,200.37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-4,446,771.04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-138,349,200.37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-4,446,771.04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-138,349,200.37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-4,446,771.04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-844,894.43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-268,720.65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-137,504,305.94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-4,178,050.39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-127,279,884.31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460,729,529.61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-205,929,214.17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363,570,782.64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78,649,329.86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97,158,746.97</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8"/>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法定代表人：李仲初</w:t>
        <w:tab/>
        <w:t>主管会计工作负责人：赖德源</w:t>
        <w:tab/>
        <w:t>会计机构负责人：李天达</w:t>
      </w:r>
    </w:p>
    <w:p>
      <w:pPr>
        <w:pStyle w:val="Style32"/>
        <w:keepNext/>
        <w:keepLines/>
        <w:widowControl w:val="0"/>
        <w:shd w:val="clear" w:color="auto" w:fill="auto"/>
        <w:bidi w:val="0"/>
        <w:spacing w:before="0" w:after="38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4</w:t>
      </w:r>
      <w:bookmarkEnd w:id="903"/>
      <w:r>
        <w:rPr>
          <w:color w:val="000000"/>
          <w:spacing w:val="0"/>
          <w:w w:val="100"/>
          <w:position w:val="0"/>
        </w:rPr>
        <w:t>、母公司利润表</w:t>
      </w:r>
      <w:bookmarkEnd w:id="901"/>
      <w:bookmarkEnd w:id="902"/>
      <w:bookmarkEnd w:id="90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93"/>
        <w:gridCol w:w="2630"/>
      </w:tblGrid>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293,956,057.80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506,059,085.28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258,980,176.97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353,054,150.28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1,214,220.72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3,494,115.90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19,778,312.28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25,611,816.85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64,793,051.28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106,621,772.20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22,435,593.96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40,778,474.86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-27,824,306.92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-22,965,422.15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27,900,177.87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23,015,097.81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3,229,272.21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9,423,584.57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217,166,292.93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284,662,000.99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-4,534,107.07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6,335,225.99</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1100"/>
              <w:jc w:val="left"/>
              <w:rPr>
                <w:sz w:val="17"/>
                <w:szCs w:val="17"/>
              </w:rPr>
            </w:pPr>
            <w:r>
              <w:rPr>
                <w:color w:val="000000"/>
                <w:spacing w:val="0"/>
                <w:w w:val="100"/>
                <w:position w:val="0"/>
                <w:sz w:val="17"/>
                <w:szCs w:val="17"/>
              </w:rPr>
              <w:t>以摊余成本计量的金融资产终止确认收 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-3,679,729.05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-4,594,153.15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113,294,588.64</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-1,210,330.89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-1,323,525.47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165,490,361.56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405,520,826.07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218,105.63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162,538.54</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27,060.86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165,592,295.24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405,656,303.75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-11,428,162.46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16,167,559.29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177,020,457.70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389,488,744.46</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177,020,457.70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389,488,744.46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177,020,457.70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389,488,744.46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5565" simplePos="0" relativeHeight="125829412" behindDoc="0" locked="0" layoutInCell="1" allowOverlap="1">
                <wp:simplePos x="0" y="0"/>
                <wp:positionH relativeFrom="page">
                  <wp:posOffset>695960</wp:posOffset>
                </wp:positionH>
                <wp:positionV relativeFrom="margin">
                  <wp:posOffset>3498850</wp:posOffset>
                </wp:positionV>
                <wp:extent cx="1051560" cy="149225"/>
                <wp:wrapTopAndBottom/>
                <wp:docPr id="66" name="Shape 6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92" type="#_x0000_t202" style="position:absolute;margin-left:54.800000000000004pt;margin-top:275.5pt;width:82.799999999999997pt;height:11.75pt;z-index:-125829341;mso-wrap-distance-left:9.pt;mso-wrap-distance-top:11.pt;mso-wrap-distance-right:405.9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39700" distB="3175" distL="2293620" distR="2522220" simplePos="0" relativeHeight="125829414" behindDoc="0" locked="0" layoutInCell="1" allowOverlap="1">
                <wp:simplePos x="0" y="0"/>
                <wp:positionH relativeFrom="page">
                  <wp:posOffset>2875280</wp:posOffset>
                </wp:positionH>
                <wp:positionV relativeFrom="margin">
                  <wp:posOffset>3498850</wp:posOffset>
                </wp:positionV>
                <wp:extent cx="1505585" cy="146050"/>
                <wp:wrapTopAndBottom/>
                <wp:docPr id="68" name="Shape 6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94" type="#_x0000_t202" style="position:absolute;margin-left:226.40000000000001pt;margin-top:275.5pt;width:118.55pt;height:11.5pt;z-index:-125829339;mso-wrap-distance-left:180.59999999999999pt;mso-wrap-distance-top:11.pt;mso-wrap-distance-right:198.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39700" distB="0" distL="4918075" distR="114300" simplePos="0" relativeHeight="125829416" behindDoc="0" locked="0" layoutInCell="1" allowOverlap="1">
                <wp:simplePos x="0" y="0"/>
                <wp:positionH relativeFrom="page">
                  <wp:posOffset>5499735</wp:posOffset>
                </wp:positionH>
                <wp:positionV relativeFrom="margin">
                  <wp:posOffset>3498850</wp:posOffset>
                </wp:positionV>
                <wp:extent cx="1289050" cy="149225"/>
                <wp:wrapTopAndBottom/>
                <wp:docPr id="70" name="Shape 70"/>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96" type="#_x0000_t202" style="position:absolute;margin-left:433.05000000000001pt;margin-top:275.5pt;width:101.5pt;height:11.75pt;z-index:-125829337;mso-wrap-distance-left:387.25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5</w:t>
      </w:r>
      <w:bookmarkEnd w:id="907"/>
      <w:r>
        <w:rPr>
          <w:color w:val="000000"/>
          <w:spacing w:val="0"/>
          <w:w w:val="100"/>
          <w:position w:val="0"/>
        </w:rPr>
        <w:t>、合并现金流量表</w:t>
      </w:r>
      <w:bookmarkEnd w:id="905"/>
      <w:bookmarkEnd w:id="906"/>
      <w:bookmarkEnd w:id="90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93"/>
        <w:gridCol w:w="263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3,485,123,899.21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3,853,968,515.71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64,671,489.14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94,431,154.87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136,067,131.99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194,541,094.05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3,685,862,520.34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4,142,940,764.63</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2,037,187,926.36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1,945,521,979.78</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930,894,637.01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1,040,326,343.50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189,226,623.88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256,445,887.65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324,606,275.95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372,579,576.55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3,481,915,463.20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3,614,873,787.48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203,947,057.14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528,066,977.15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4,849,574,662.72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1,581,010,000.00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192,079,739.17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9,365,613.46</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处置固定资产、无形资产和其他长期资产收回的 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198,020.82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1,559,121.42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77,903,484.50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80,195,203.53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5,199,951,110.74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1,591,934,734.88</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购建固定资产、无形资产和其他长期资产支付的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425,306,749.94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381,290,546.13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6,093,115,881.49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3,002,060,296.08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88,696,628.04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746,535,231.97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6,607,119,259.47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4,129,886,074.18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-1,407,168,148.73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-2,537,951,339.30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45,930,417.42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82,342,830.51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45,930,417.42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87,342,830.51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69,996,543.00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135,727,767.74</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27,166,776.00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23,816,000.00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1,581,637.48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79,622,610.65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71,578,180.48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215,350,378.39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-25,647,763.06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-128,007,547.88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-60,991,613.80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40,194,283.16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-1,289,860,468.45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-2,097,697,626.87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3,661,242,479.18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5,758,940,106.05</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2,371,382,010.73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3,661,242,479.18</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5565" simplePos="0" relativeHeight="125829418" behindDoc="0" locked="0" layoutInCell="1" allowOverlap="1">
                <wp:simplePos x="0" y="0"/>
                <wp:positionH relativeFrom="page">
                  <wp:posOffset>695960</wp:posOffset>
                </wp:positionH>
                <wp:positionV relativeFrom="margin">
                  <wp:posOffset>2279650</wp:posOffset>
                </wp:positionV>
                <wp:extent cx="1051560" cy="149225"/>
                <wp:wrapTopAndBottom/>
                <wp:docPr id="72" name="Shape 7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98" type="#_x0000_t202" style="position:absolute;margin-left:54.800000000000004pt;margin-top:179.5pt;width:82.799999999999997pt;height:11.75pt;z-index:-125829335;mso-wrap-distance-left:9.pt;mso-wrap-distance-top:11.pt;mso-wrap-distance-right:405.9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39700" distB="3175" distL="2293620" distR="2522220" simplePos="0" relativeHeight="125829420" behindDoc="0" locked="0" layoutInCell="1" allowOverlap="1">
                <wp:simplePos x="0" y="0"/>
                <wp:positionH relativeFrom="page">
                  <wp:posOffset>2875280</wp:posOffset>
                </wp:positionH>
                <wp:positionV relativeFrom="margin">
                  <wp:posOffset>2279650</wp:posOffset>
                </wp:positionV>
                <wp:extent cx="1505585" cy="146050"/>
                <wp:wrapTopAndBottom/>
                <wp:docPr id="74" name="Shape 7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100" type="#_x0000_t202" style="position:absolute;margin-left:226.40000000000001pt;margin-top:179.5pt;width:118.55pt;height:11.5pt;z-index:-125829333;mso-wrap-distance-left:180.59999999999999pt;mso-wrap-distance-top:11.pt;mso-wrap-distance-right:198.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39700" distB="0" distL="4918075" distR="114300" simplePos="0" relativeHeight="125829422" behindDoc="0" locked="0" layoutInCell="1" allowOverlap="1">
                <wp:simplePos x="0" y="0"/>
                <wp:positionH relativeFrom="page">
                  <wp:posOffset>5499735</wp:posOffset>
                </wp:positionH>
                <wp:positionV relativeFrom="margin">
                  <wp:posOffset>2279650</wp:posOffset>
                </wp:positionV>
                <wp:extent cx="1289050" cy="149225"/>
                <wp:wrapTopAndBottom/>
                <wp:docPr id="76" name="Shape 76"/>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102" type="#_x0000_t202" style="position:absolute;margin-left:433.05000000000001pt;margin-top:179.5pt;width:101.5pt;height:11.75pt;z-index:-125829331;mso-wrap-distance-left:387.25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6</w:t>
      </w:r>
      <w:bookmarkEnd w:id="911"/>
      <w:r>
        <w:rPr>
          <w:color w:val="000000"/>
          <w:spacing w:val="0"/>
          <w:w w:val="100"/>
          <w:position w:val="0"/>
        </w:rPr>
        <w:t>、母公司现金流量表</w:t>
      </w:r>
      <w:bookmarkEnd w:id="909"/>
      <w:bookmarkEnd w:id="910"/>
      <w:bookmarkEnd w:id="91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93"/>
        <w:gridCol w:w="263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279,843,906.43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474,591,018.67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3,765,411.35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9,085,077.60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1,682,986,097.05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2,396,353,009.80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1,966,595,414.83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2,880,029,106.07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255,472,327.82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333,838,752.01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68,244,934.86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88,816,257.40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5,580,612.08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17,345,235.67</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2,159,764,423.74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1,905,844,752.02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2,489,062,298.50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2,345,844,997.10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-522,466,883.67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534,184,108.97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445,181,205.39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58,902,000.00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6,904.75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1,402,181,205.39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63,908,904.75</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购建固定资产、无形资产和其他长期资产支付的 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60,536,854.09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51,997,188.90</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958,000,000.00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4,401,562.50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1,018,536,854.09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56,398,751.40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383,644,351.30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7,510,153.35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45,930,417.42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67,842,830.51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45,930,417.42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67,842,830.51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42,829,767.00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106,690,179.98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42,829,767.00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106,690,179.98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3,100,650.42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-38,847,349.47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-135,721,881.95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502,846,912.85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511,443,782.17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8,596,869.32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375,721,900.22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511,443,782.17</w:t>
            </w:r>
          </w:p>
        </w:tc>
      </w:tr>
    </w:tbl>
    <w:p>
      <w:pPr>
        <w:sectPr>
          <w:footnotePr>
            <w:pos w:val="pageBottom"/>
            <w:numFmt w:val="decimal"/>
            <w:numRestart w:val="continuous"/>
          </w:footnotePr>
          <w:type w:val="continuous"/>
          <w:pgSz w:w="11900" w:h="16840"/>
          <w:pgMar w:top="1417" w:right="1069" w:bottom="1436" w:left="1039"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7</w:t>
      </w:r>
      <w:bookmarkEnd w:id="915"/>
      <w:r>
        <w:rPr>
          <w:color w:val="000000"/>
          <w:spacing w:val="0"/>
          <w:w w:val="100"/>
          <w:position w:val="0"/>
        </w:rPr>
        <w:t>、合并所有者权益变动表</w:t>
      </w:r>
      <w:bookmarkEnd w:id="913"/>
      <w:bookmarkEnd w:id="914"/>
      <w:bookmarkEnd w:id="91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003"/>
        <w:gridCol w:w="1133"/>
        <w:gridCol w:w="422"/>
        <w:gridCol w:w="427"/>
        <w:gridCol w:w="283"/>
        <w:gridCol w:w="1133"/>
        <w:gridCol w:w="571"/>
        <w:gridCol w:w="1282"/>
        <w:gridCol w:w="418"/>
        <w:gridCol w:w="1147"/>
        <w:gridCol w:w="586"/>
        <w:gridCol w:w="1104"/>
        <w:gridCol w:w="989"/>
        <w:gridCol w:w="1190"/>
        <w:gridCol w:w="1229"/>
        <w:gridCol w:w="1090"/>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所有者权益合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减：库 存股</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专项</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储备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一般风</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险准备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优先</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6"/>
                <w:szCs w:val="16"/>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一、上年期末</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1,069,604,219.0</w:t>
            </w:r>
          </w:p>
          <w:p>
            <w:pPr>
              <w:pStyle w:val="Style20"/>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4,119,234,927.7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299,226,363.81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77,227,700.23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3,048,666,428.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8,613,959,639.61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707,388,590.53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9,321,348,230.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340"/>
              <w:jc w:val="both"/>
              <w:rPr>
                <w:sz w:val="16"/>
                <w:szCs w:val="16"/>
              </w:rPr>
            </w:pPr>
            <w:r>
              <w:rPr>
                <w:color w:val="000000"/>
                <w:spacing w:val="0"/>
                <w:w w:val="100"/>
                <w:position w:val="0"/>
                <w:sz w:val="16"/>
                <w:szCs w:val="16"/>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140" w:firstLine="0"/>
              <w:jc w:val="right"/>
              <w:rPr>
                <w:sz w:val="16"/>
                <w:szCs w:val="16"/>
              </w:rPr>
            </w:pPr>
            <w:r>
              <w:rPr>
                <w:color w:val="000000"/>
                <w:spacing w:val="0"/>
                <w:w w:val="100"/>
                <w:position w:val="0"/>
                <w:sz w:val="16"/>
                <w:szCs w:val="16"/>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680"/>
              <w:jc w:val="left"/>
              <w:rPr>
                <w:sz w:val="16"/>
                <w:szCs w:val="16"/>
              </w:rPr>
            </w:pPr>
            <w:r>
              <w:rPr>
                <w:color w:val="000000"/>
                <w:spacing w:val="0"/>
                <w:w w:val="100"/>
                <w:position w:val="0"/>
                <w:sz w:val="16"/>
                <w:szCs w:val="16"/>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680"/>
              <w:jc w:val="left"/>
              <w:rPr>
                <w:sz w:val="16"/>
                <w:szCs w:val="16"/>
              </w:rPr>
            </w:pPr>
            <w:r>
              <w:rPr>
                <w:color w:val="000000"/>
                <w:spacing w:val="0"/>
                <w:w w:val="100"/>
                <w:position w:val="0"/>
                <w:sz w:val="16"/>
                <w:szCs w:val="16"/>
              </w:rPr>
              <w:t>其</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二、本年期初</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1,069,604,219.0</w:t>
            </w:r>
          </w:p>
          <w:p>
            <w:pPr>
              <w:pStyle w:val="Style20"/>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4,119,234,927.7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299,226,363.81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77,227,700.23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3,048,666,428.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8,613,959,639.61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707,388,590.53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9,321,348,230.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w:t>
            </w:r>
          </w:p>
        </w:tc>
      </w:tr>
      <w:tr>
        <w:trPr>
          <w:trHeight w:val="1349"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三、本期增减 变动金额（减 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号 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1,507,964.00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37,098,976.13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-138,349,200.37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-128,111,826.5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-210,152,041.04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51,376,138.48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-158,775,902.5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r>
    </w:tbl>
    <w:p>
      <w:pPr>
        <w:spacing w:lineRule="exact" w:line="1"/>
        <w:rPr>
          <w:sz w:val="2"/>
          <w:szCs w:val="2"/>
        </w:rPr>
      </w:pPr>
      <w:r>
        <w:br w:type="page"/>
      </w:r>
    </w:p>
    <w:tbl>
      <w:tblPr>
        <w:tblOverlap w:val="never"/>
        <w:jc w:val="center"/>
        <w:tblLayout w:type="fixed"/>
      </w:tblPr>
      <w:tblGrid>
        <w:gridCol w:w="1003"/>
        <w:gridCol w:w="1133"/>
        <w:gridCol w:w="422"/>
        <w:gridCol w:w="427"/>
        <w:gridCol w:w="283"/>
        <w:gridCol w:w="1133"/>
        <w:gridCol w:w="571"/>
        <w:gridCol w:w="1282"/>
        <w:gridCol w:w="418"/>
        <w:gridCol w:w="1147"/>
        <w:gridCol w:w="586"/>
        <w:gridCol w:w="1104"/>
        <w:gridCol w:w="989"/>
        <w:gridCol w:w="1190"/>
        <w:gridCol w:w="1229"/>
        <w:gridCol w:w="1090"/>
      </w:tblGrid>
      <w:tr>
        <w:trPr>
          <w:trHeight w:val="74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（一）综合收</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-138,349,200.37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-67,580,013.80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-205,929,214.17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78,649,329.86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-127,279,884.3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（二）所有者 投入和减少 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37,098,976.13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38,606,940.13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120,584.62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38,727,524.75</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.股份支付 计入所有者 权益的金额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36,107,772.72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37,615,736.72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37,615,736.72</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991,203.41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991,203.41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120,584.62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1,111,788.03</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-60,531,812.77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-42,829,767.00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-27,393,776.00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-70,223,543.00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6"/>
                <w:szCs w:val="16"/>
              </w:rPr>
              <w:t>.提取盈余</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-42,829,767.0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-42,829,767.00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-27,393,776.00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（四）所有者 权益内部结 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1133"/>
        <w:gridCol w:w="422"/>
        <w:gridCol w:w="427"/>
        <w:gridCol w:w="283"/>
        <w:gridCol w:w="1133"/>
        <w:gridCol w:w="571"/>
        <w:gridCol w:w="1282"/>
        <w:gridCol w:w="418"/>
        <w:gridCol w:w="1147"/>
        <w:gridCol w:w="586"/>
        <w:gridCol w:w="1104"/>
        <w:gridCol w:w="989"/>
        <w:gridCol w:w="1190"/>
        <w:gridCol w:w="1229"/>
        <w:gridCol w:w="1090"/>
      </w:tblGrid>
      <w:tr>
        <w:trPr>
          <w:trHeight w:val="1061"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6"/>
                <w:szCs w:val="16"/>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四、本期期末</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1,071,112,183.0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4,156,333,903.8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160,877,163.44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94,929,746.00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2,920,554,602.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8,403,807,598.57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758,764,729.01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9,162,572,327.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219"/>
        <w:gridCol w:w="12787"/>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年年度</w:t>
            </w:r>
          </w:p>
        </w:tc>
      </w:tr>
    </w:tbl>
    <w:p>
      <w:pPr>
        <w:spacing w:lineRule="exact" w:line="1"/>
        <w:rPr>
          <w:sz w:val="2"/>
          <w:szCs w:val="2"/>
        </w:rPr>
      </w:pPr>
      <w:r>
        <w:br w:type="page"/>
      </w:r>
    </w:p>
    <w:tbl>
      <w:tblPr>
        <w:tblOverlap w:val="never"/>
        <w:jc w:val="center"/>
        <w:tblLayout w:type="fixed"/>
      </w:tblPr>
      <w:tblGrid>
        <w:gridCol w:w="1219"/>
        <w:gridCol w:w="1056"/>
        <w:gridCol w:w="427"/>
        <w:gridCol w:w="427"/>
        <w:gridCol w:w="422"/>
        <w:gridCol w:w="1133"/>
        <w:gridCol w:w="427"/>
        <w:gridCol w:w="1277"/>
        <w:gridCol w:w="422"/>
        <w:gridCol w:w="1147"/>
        <w:gridCol w:w="413"/>
        <w:gridCol w:w="1354"/>
        <w:gridCol w:w="341"/>
        <w:gridCol w:w="1349"/>
        <w:gridCol w:w="1229"/>
        <w:gridCol w:w="1363"/>
      </w:tblGrid>
      <w:tr>
        <w:trPr>
          <w:trHeight w:val="437" w:hRule="exact"/>
        </w:trPr>
        <w:tc>
          <w:tcPr>
            <w:vMerge w:val="restart"/>
            <w:tcBorders>
              <w:top w:val="single" w:sz="4"/>
              <w:left w:val="single" w:sz="4"/>
            </w:tcBorders>
            <w:shd w:val="clear" w:color="auto" w:fill="D4D4D4"/>
            <w:vAlign w:val="top"/>
          </w:tcPr>
          <w:p>
            <w:pPr>
              <w:widowControl w:val="0"/>
              <w:rPr>
                <w:sz w:val="10"/>
                <w:szCs w:val="10"/>
              </w:rPr>
            </w:pPr>
          </w:p>
        </w:tc>
        <w:tc>
          <w:tcPr>
            <w:gridSpan w:val="1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398" w:hRule="exact"/>
        </w:trPr>
        <w:tc>
          <w:tcPr>
            <w:vMerge/>
            <w:tcBorders>
              <w:left w:val="single" w:sz="4"/>
            </w:tcBorders>
            <w:shd w:val="clear" w:color="auto" w:fill="D4D4D4"/>
            <w:vAlign w:val="top"/>
          </w:tcPr>
          <w:p>
            <w:pP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减：</w:t>
            </w:r>
          </w:p>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库存</w:t>
            </w:r>
          </w:p>
          <w:p>
            <w:pPr>
              <w:pStyle w:val="Style20"/>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专项</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储备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一般</w:t>
            </w:r>
          </w:p>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风险</w:t>
            </w:r>
          </w:p>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准备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6"/>
                <w:szCs w:val="16"/>
              </w:rPr>
              <w:t>其 他</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优先</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一、上年期末余</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1,066,903,353.</w:t>
            </w:r>
          </w:p>
          <w:p>
            <w:pPr>
              <w:pStyle w:val="Style20"/>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4,074,082,072.0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303,673,134.85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38,278,825.78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2,826,287,929.62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8,309,225,315.33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583,085,715.64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8,892,311,030.97</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360"/>
              <w:jc w:val="both"/>
              <w:rPr>
                <w:sz w:val="16"/>
                <w:szCs w:val="16"/>
              </w:rPr>
            </w:pPr>
            <w:r>
              <w:rPr>
                <w:color w:val="000000"/>
                <w:spacing w:val="0"/>
                <w:w w:val="100"/>
                <w:position w:val="0"/>
                <w:sz w:val="16"/>
                <w:szCs w:val="16"/>
              </w:rPr>
              <w:t>加：会计政</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680"/>
              <w:jc w:val="both"/>
              <w:rPr>
                <w:sz w:val="16"/>
                <w:szCs w:val="16"/>
              </w:rPr>
            </w:pPr>
            <w:r>
              <w:rPr>
                <w:color w:val="000000"/>
                <w:spacing w:val="0"/>
                <w:w w:val="100"/>
                <w:position w:val="0"/>
                <w:sz w:val="16"/>
                <w:szCs w:val="16"/>
              </w:rPr>
              <w:t>前期差</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680"/>
              <w:jc w:val="both"/>
              <w:rPr>
                <w:sz w:val="16"/>
                <w:szCs w:val="16"/>
              </w:rPr>
            </w:pPr>
            <w:r>
              <w:rPr>
                <w:color w:val="000000"/>
                <w:spacing w:val="0"/>
                <w:w w:val="100"/>
                <w:position w:val="0"/>
                <w:sz w:val="16"/>
                <w:szCs w:val="16"/>
              </w:rPr>
              <w:t>同一控</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二、本年期初余</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1,066,903,353.</w:t>
            </w:r>
          </w:p>
          <w:p>
            <w:pPr>
              <w:pStyle w:val="Style20"/>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4,074,082,072.0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303,673,134.85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38,278,825.78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2,826,287,929.62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8,309,225,315.33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583,085,715.64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8,892,311,030.97</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 xml:space="preserve">三、本期增减变 动金额（减少以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2,700,866.00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45,152,855.62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-4,446,771.04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38,948,874.45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222,378,499.25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304,734,324.28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124,302,874.89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429,037,199.17</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-4,446,771.04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368,017,553.68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363,570,782.64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97,158,746.97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460,729,529.61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6"/>
                <w:szCs w:val="16"/>
              </w:rPr>
              <w:t>（二）所有者投 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2,700,866.00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45,152,855.62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47,853,721.62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27,144,127.92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74,997,849.54</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6"/>
                <w:szCs w:val="16"/>
              </w:rPr>
              <w:t>.所有者投入的</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1056"/>
        <w:gridCol w:w="427"/>
        <w:gridCol w:w="427"/>
        <w:gridCol w:w="422"/>
        <w:gridCol w:w="1133"/>
        <w:gridCol w:w="427"/>
        <w:gridCol w:w="1277"/>
        <w:gridCol w:w="422"/>
        <w:gridCol w:w="1147"/>
        <w:gridCol w:w="413"/>
        <w:gridCol w:w="1354"/>
        <w:gridCol w:w="341"/>
        <w:gridCol w:w="1349"/>
        <w:gridCol w:w="1229"/>
        <w:gridCol w:w="1363"/>
      </w:tblGrid>
      <w:tr>
        <w:trPr>
          <w:trHeight w:val="1061"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.股份支付计入 所有者权益的金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2,700,866.00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80,506,109.42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83,206,975.42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83,206,975.42</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-35,353,253.80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-35,353,253.80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27,144,127.92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-8,209,125.88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38,948,874.45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-145,639,054.43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-106,690,179.98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-106,690,179.98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38,948,874.45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-38,948,874.45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-106,690,179.98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-106,690,179.98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-106,690,179.98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color w:val="000000"/>
                <w:spacing w:val="0"/>
                <w:w w:val="100"/>
                <w:position w:val="0"/>
                <w:sz w:val="16"/>
                <w:szCs w:val="16"/>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color w:val="000000"/>
                <w:spacing w:val="0"/>
                <w:w w:val="100"/>
                <w:position w:val="0"/>
                <w:sz w:val="16"/>
                <w:szCs w:val="16"/>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1056"/>
        <w:gridCol w:w="427"/>
        <w:gridCol w:w="427"/>
        <w:gridCol w:w="422"/>
        <w:gridCol w:w="1133"/>
        <w:gridCol w:w="427"/>
        <w:gridCol w:w="1277"/>
        <w:gridCol w:w="422"/>
        <w:gridCol w:w="1147"/>
        <w:gridCol w:w="413"/>
        <w:gridCol w:w="1354"/>
        <w:gridCol w:w="341"/>
        <w:gridCol w:w="1349"/>
        <w:gridCol w:w="1229"/>
        <w:gridCol w:w="1363"/>
      </w:tblGrid>
      <w:tr>
        <w:trPr>
          <w:trHeight w:val="43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1,069,604,219.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4,119,234,927.7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299,226,363.81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77,227,700.23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3,048,666,428.87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8,613,959,639.61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707,388,590.53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9,321,348,230.14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8</w:t>
      </w:r>
      <w:bookmarkEnd w:id="919"/>
      <w:r>
        <w:rPr>
          <w:color w:val="000000"/>
          <w:spacing w:val="0"/>
          <w:w w:val="100"/>
          <w:position w:val="0"/>
        </w:rPr>
        <w:t>、母公司所有者权益变动表</w:t>
      </w:r>
      <w:bookmarkEnd w:id="917"/>
      <w:bookmarkEnd w:id="918"/>
      <w:bookmarkEnd w:id="92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2784"/>
        <w:gridCol w:w="1349"/>
        <w:gridCol w:w="605"/>
        <w:gridCol w:w="605"/>
        <w:gridCol w:w="605"/>
        <w:gridCol w:w="1349"/>
        <w:gridCol w:w="730"/>
        <w:gridCol w:w="725"/>
        <w:gridCol w:w="725"/>
        <w:gridCol w:w="1229"/>
        <w:gridCol w:w="1229"/>
        <w:gridCol w:w="710"/>
        <w:gridCol w:w="1363"/>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减：库存</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其他综合 收益</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优先股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1,069,604,219.00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1,775,566,852.22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164,865,552.96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718,262,514.24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3,728,299,138.42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1,069,604,219.00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1,775,566,852.22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164,865,552.96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718,262,514.24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3,728,299,138.42</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三、本期增减变动金额（减少以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1,507,964.00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36,107,772.72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116,488,644.93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171,806,427.42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177,020,457.70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177,020,457.70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1,507,964.00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36,107,772.72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37,615,736.72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.股份支付计入所有者权益的金额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1,507,964.00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36,107,772.72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37,615,736.72</w:t>
            </w:r>
          </w:p>
        </w:tc>
      </w:tr>
    </w:tbl>
    <w:p>
      <w:pPr>
        <w:spacing w:lineRule="exact" w:line="1"/>
        <w:rPr>
          <w:sz w:val="2"/>
          <w:szCs w:val="2"/>
        </w:rPr>
      </w:pPr>
      <w:r>
        <w:br w:type="page"/>
      </w:r>
    </w:p>
    <w:tbl>
      <w:tblPr>
        <w:tblOverlap w:val="never"/>
        <w:jc w:val="center"/>
        <w:tblLayout w:type="fixed"/>
      </w:tblPr>
      <w:tblGrid>
        <w:gridCol w:w="2784"/>
        <w:gridCol w:w="1349"/>
        <w:gridCol w:w="605"/>
        <w:gridCol w:w="605"/>
        <w:gridCol w:w="605"/>
        <w:gridCol w:w="1349"/>
        <w:gridCol w:w="730"/>
        <w:gridCol w:w="725"/>
        <w:gridCol w:w="725"/>
        <w:gridCol w:w="1229"/>
        <w:gridCol w:w="1229"/>
        <w:gridCol w:w="710"/>
        <w:gridCol w:w="1363"/>
      </w:tblGrid>
      <w:tr>
        <w:trPr>
          <w:trHeight w:val="43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-60,531,812.77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-42,829,767.00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-17,702,045.77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-42,829,767.00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-42,829,767.00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1,071,112,183.00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1,811,674,624.94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182,567,598.73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834,751,159.17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3,900,105,565.84</w:t>
            </w:r>
          </w:p>
        </w:tc>
      </w:tr>
    </w:tbl>
    <w:p>
      <w:pPr>
        <w:widowControl w:val="0"/>
        <w:spacing w:after="43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6"/>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2770"/>
        <w:gridCol w:w="1349"/>
        <w:gridCol w:w="571"/>
        <w:gridCol w:w="571"/>
        <w:gridCol w:w="571"/>
        <w:gridCol w:w="1354"/>
        <w:gridCol w:w="682"/>
        <w:gridCol w:w="686"/>
        <w:gridCol w:w="782"/>
        <w:gridCol w:w="1229"/>
        <w:gridCol w:w="1282"/>
        <w:gridCol w:w="797"/>
        <w:gridCol w:w="1363"/>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减：库存 股</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其他综</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合收益</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优先股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1,066,903,353.00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1,695,060,742.80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125,916,678.51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474,412,824.21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3,362,293,598.52</w:t>
            </w:r>
          </w:p>
        </w:tc>
      </w:tr>
    </w:tbl>
    <w:p>
      <w:pPr>
        <w:spacing w:lineRule="exact" w:line="1"/>
        <w:rPr>
          <w:sz w:val="2"/>
          <w:szCs w:val="2"/>
        </w:rPr>
      </w:pPr>
      <w:r>
        <w:br w:type="page"/>
      </w:r>
    </w:p>
    <w:tbl>
      <w:tblPr>
        <w:tblOverlap w:val="never"/>
        <w:jc w:val="center"/>
        <w:tblLayout w:type="fixed"/>
      </w:tblPr>
      <w:tblGrid>
        <w:gridCol w:w="2770"/>
        <w:gridCol w:w="1349"/>
        <w:gridCol w:w="571"/>
        <w:gridCol w:w="571"/>
        <w:gridCol w:w="571"/>
        <w:gridCol w:w="1354"/>
        <w:gridCol w:w="682"/>
        <w:gridCol w:w="686"/>
        <w:gridCol w:w="782"/>
        <w:gridCol w:w="1229"/>
        <w:gridCol w:w="1282"/>
        <w:gridCol w:w="797"/>
        <w:gridCol w:w="1363"/>
      </w:tblGrid>
      <w:tr>
        <w:trPr>
          <w:trHeight w:val="43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1,066,903,353.00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1,695,060,742.80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125,916,678.51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474,412,824.21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3,362,293,598.52</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三、本期增减变动金额（减少以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2,700,866.00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80,506,109.42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38,948,874.45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243,849,690.03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366,005,539.90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389,488,744.46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389,488,744.46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2,700,866.00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80,506,109.42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83,206,975.42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2,700,866.00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80,506,109.42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83,206,975.42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38,948,874.45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-145,639,054.43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-106,690,179.98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38,948,874.45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-38,948,874.45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-106,690,179.98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-106,690,179.98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0"/>
        <w:gridCol w:w="1349"/>
        <w:gridCol w:w="571"/>
        <w:gridCol w:w="571"/>
        <w:gridCol w:w="571"/>
        <w:gridCol w:w="1354"/>
        <w:gridCol w:w="682"/>
        <w:gridCol w:w="686"/>
        <w:gridCol w:w="782"/>
        <w:gridCol w:w="1229"/>
        <w:gridCol w:w="1282"/>
        <w:gridCol w:w="797"/>
        <w:gridCol w:w="1363"/>
      </w:tblGrid>
      <w:tr>
        <w:trPr>
          <w:trHeight w:val="43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1,069,604,219.00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1,775,566,852.22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164,865,552.96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718,262,514.24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3,728,299,138.42</w:t>
            </w:r>
          </w:p>
        </w:tc>
      </w:tr>
    </w:tbl>
    <w:p>
      <w:pPr>
        <w:sectPr>
          <w:headerReference w:type="default" r:id="rId19"/>
          <w:footerReference w:type="default" r:id="rId20"/>
          <w:footnotePr>
            <w:pos w:val="pageBottom"/>
            <w:numFmt w:val="decimal"/>
            <w:numRestart w:val="continuous"/>
          </w:footnotePr>
          <w:pgSz w:w="16840" w:h="11900" w:orient="landscape"/>
          <w:pgMar w:top="1096" w:right="1398" w:bottom="1204" w:left="1426" w:header="0" w:footer="3" w:gutter="0"/>
          <w:cols w:space="720"/>
          <w:noEndnote/>
          <w:rtlGutter w:val="0"/>
          <w:docGrid w:linePitch="360"/>
        </w:sectPr>
      </w:pPr>
    </w:p>
    <w:p>
      <w:pPr>
        <w:pStyle w:val="Style24"/>
        <w:keepNext/>
        <w:keepLines/>
        <w:widowControl w:val="0"/>
        <w:shd w:val="clear" w:color="auto" w:fill="auto"/>
        <w:bidi w:val="0"/>
        <w:spacing w:before="0" w:after="280" w:line="312" w:lineRule="exact"/>
        <w:ind w:left="0" w:right="0" w:firstLine="0"/>
        <w:jc w:val="both"/>
      </w:pPr>
      <w:bookmarkStart w:id="921" w:name="bookmark921"/>
      <w:bookmarkStart w:id="922" w:name="bookmark922"/>
      <w:bookmarkStart w:id="923" w:name="bookmark923"/>
      <w:r>
        <w:rPr>
          <w:color w:val="000000"/>
          <w:spacing w:val="0"/>
          <w:w w:val="100"/>
          <w:position w:val="0"/>
        </w:rPr>
        <w:t>三、公司基本情况</w:t>
      </w:r>
      <w:bookmarkEnd w:id="921"/>
      <w:bookmarkEnd w:id="922"/>
      <w:bookmarkEnd w:id="923"/>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北京中长石基信息技术股份有限公司（以下简称公司或本公司，与子公司合称集团或本集团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xml:space="preserve">是 </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月经北京市人民政府经济体制改革办公室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京政体改股函</w:t>
      </w:r>
      <w:r>
        <w:rPr>
          <w:rFonts w:ascii="Times New Roman" w:eastAsia="Times New Roman" w:hAnsi="Times New Roman" w:cs="Times New Roman"/>
          <w:color w:val="000000"/>
          <w:spacing w:val="0"/>
          <w:w w:val="100"/>
          <w:position w:val="0"/>
          <w:sz w:val="22"/>
          <w:szCs w:val="22"/>
        </w:rPr>
        <w:t>[2001]66</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文批准，由原北京中长 石基信息技术有限责任公司整体变更而成的股份有限公司。</w:t>
      </w:r>
    </w:p>
    <w:p>
      <w:pPr>
        <w:pStyle w:val="Style35"/>
        <w:keepNext w:val="0"/>
        <w:keepLines w:val="0"/>
        <w:widowControl w:val="0"/>
        <w:shd w:val="clear" w:color="auto" w:fill="auto"/>
        <w:bidi w:val="0"/>
        <w:spacing w:before="0" w:after="240" w:line="315" w:lineRule="exact"/>
        <w:ind w:left="0" w:right="0" w:firstLine="460"/>
        <w:jc w:val="both"/>
        <w:rPr>
          <w:sz w:val="22"/>
          <w:szCs w:val="22"/>
        </w:rPr>
      </w:pPr>
      <w:r>
        <w:rPr>
          <w:color w:val="000000"/>
          <w:spacing w:val="0"/>
          <w:w w:val="100"/>
          <w:position w:val="0"/>
          <w:sz w:val="22"/>
          <w:szCs w:val="22"/>
        </w:rPr>
        <w:t>本公司前身北京中长石基信息技术有限责任公司系于</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sz w:val="22"/>
          <w:szCs w:val="22"/>
        </w:rPr>
        <w:t>年由李仲初、郭家满投资设立的有限责 任公司，设立时的名称为北京中长石基网络系统工程技术有限公司，注册资本为人民币</w:t>
      </w:r>
      <w:r>
        <w:rPr>
          <w:rFonts w:ascii="Times New Roman" w:eastAsia="Times New Roman" w:hAnsi="Times New Roman" w:cs="Times New Roman"/>
          <w:color w:val="000000"/>
          <w:spacing w:val="0"/>
          <w:w w:val="100"/>
          <w:position w:val="0"/>
          <w:sz w:val="22"/>
          <w:szCs w:val="22"/>
        </w:rPr>
        <w:t>200</w:t>
      </w:r>
      <w:r>
        <w:rPr>
          <w:color w:val="000000"/>
          <w:spacing w:val="0"/>
          <w:w w:val="100"/>
          <w:position w:val="0"/>
          <w:sz w:val="22"/>
          <w:szCs w:val="22"/>
        </w:rPr>
        <w:t>万元，其 中：李仲初出资</w:t>
      </w:r>
      <w:r>
        <w:rPr>
          <w:rFonts w:ascii="Times New Roman" w:eastAsia="Times New Roman" w:hAnsi="Times New Roman" w:cs="Times New Roman"/>
          <w:color w:val="000000"/>
          <w:spacing w:val="0"/>
          <w:w w:val="100"/>
          <w:position w:val="0"/>
          <w:sz w:val="22"/>
          <w:szCs w:val="22"/>
        </w:rPr>
        <w:t>160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80%</w:t>
      </w:r>
      <w:r>
        <w:rPr>
          <w:color w:val="000000"/>
          <w:spacing w:val="0"/>
          <w:w w:val="100"/>
          <w:position w:val="0"/>
          <w:sz w:val="22"/>
          <w:szCs w:val="22"/>
        </w:rPr>
        <w:t>；郭家满出资</w:t>
      </w:r>
      <w:r>
        <w:rPr>
          <w:rFonts w:ascii="Times New Roman" w:eastAsia="Times New Roman" w:hAnsi="Times New Roman" w:cs="Times New Roman"/>
          <w:color w:val="000000"/>
          <w:spacing w:val="0"/>
          <w:w w:val="100"/>
          <w:position w:val="0"/>
          <w:sz w:val="22"/>
          <w:szCs w:val="22"/>
        </w:rPr>
        <w:t>40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6 </w:t>
      </w:r>
      <w:r>
        <w:rPr>
          <w:color w:val="000000"/>
          <w:spacing w:val="0"/>
          <w:w w:val="100"/>
          <w:position w:val="0"/>
          <w:sz w:val="22"/>
          <w:szCs w:val="22"/>
        </w:rPr>
        <w:t>日在北京市工商行政管理局登记注册。</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年度股东会决议，郭家满将其所持有公司</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的股权分别转让给李彩练、 焦梅荣、郭灵红和李殿坤，同时注册资本增加为</w:t>
      </w:r>
      <w:r>
        <w:rPr>
          <w:rFonts w:ascii="Times New Roman" w:eastAsia="Times New Roman" w:hAnsi="Times New Roman" w:cs="Times New Roman"/>
          <w:color w:val="000000"/>
          <w:spacing w:val="0"/>
          <w:w w:val="100"/>
          <w:position w:val="0"/>
          <w:sz w:val="22"/>
          <w:szCs w:val="22"/>
        </w:rPr>
        <w:t>500</w:t>
      </w:r>
      <w:r>
        <w:rPr>
          <w:color w:val="000000"/>
          <w:spacing w:val="0"/>
          <w:w w:val="100"/>
          <w:position w:val="0"/>
          <w:sz w:val="22"/>
          <w:szCs w:val="22"/>
        </w:rPr>
        <w:t>万元，其中：李仲初出资</w:t>
      </w:r>
      <w:r>
        <w:rPr>
          <w:rFonts w:ascii="Times New Roman" w:eastAsia="Times New Roman" w:hAnsi="Times New Roman" w:cs="Times New Roman"/>
          <w:color w:val="000000"/>
          <w:spacing w:val="0"/>
          <w:w w:val="100"/>
          <w:position w:val="0"/>
          <w:sz w:val="22"/>
          <w:szCs w:val="22"/>
        </w:rPr>
        <w:t>400</w:t>
      </w:r>
      <w:r>
        <w:rPr>
          <w:color w:val="000000"/>
          <w:spacing w:val="0"/>
          <w:w w:val="100"/>
          <w:position w:val="0"/>
          <w:sz w:val="22"/>
          <w:szCs w:val="22"/>
        </w:rPr>
        <w:t xml:space="preserve">万元，占注册资本的 </w:t>
      </w:r>
      <w:r>
        <w:rPr>
          <w:rFonts w:ascii="Times New Roman" w:eastAsia="Times New Roman" w:hAnsi="Times New Roman" w:cs="Times New Roman"/>
          <w:color w:val="000000"/>
          <w:spacing w:val="0"/>
          <w:w w:val="100"/>
          <w:position w:val="0"/>
          <w:sz w:val="22"/>
          <w:szCs w:val="22"/>
        </w:rPr>
        <w:t>80%</w:t>
      </w:r>
      <w:r>
        <w:rPr>
          <w:color w:val="000000"/>
          <w:spacing w:val="0"/>
          <w:w w:val="100"/>
          <w:position w:val="0"/>
          <w:sz w:val="22"/>
          <w:szCs w:val="22"/>
        </w:rPr>
        <w:t>；李彩练出资</w:t>
      </w:r>
      <w:r>
        <w:rPr>
          <w:rFonts w:ascii="Times New Roman" w:eastAsia="Times New Roman" w:hAnsi="Times New Roman" w:cs="Times New Roman"/>
          <w:color w:val="000000"/>
          <w:spacing w:val="0"/>
          <w:w w:val="100"/>
          <w:position w:val="0"/>
          <w:sz w:val="22"/>
          <w:szCs w:val="22"/>
        </w:rPr>
        <w:t>40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；焦梅荣出资</w:t>
      </w:r>
      <w:r>
        <w:rPr>
          <w:rFonts w:ascii="Times New Roman" w:eastAsia="Times New Roman" w:hAnsi="Times New Roman" w:cs="Times New Roman"/>
          <w:color w:val="000000"/>
          <w:spacing w:val="0"/>
          <w:w w:val="100"/>
          <w:position w:val="0"/>
          <w:sz w:val="22"/>
          <w:szCs w:val="22"/>
        </w:rPr>
        <w:t>35</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；郭灵红出资</w:t>
      </w:r>
      <w:r>
        <w:rPr>
          <w:rFonts w:ascii="Times New Roman" w:eastAsia="Times New Roman" w:hAnsi="Times New Roman" w:cs="Times New Roman"/>
          <w:color w:val="000000"/>
          <w:spacing w:val="0"/>
          <w:w w:val="100"/>
          <w:position w:val="0"/>
          <w:sz w:val="22"/>
          <w:szCs w:val="22"/>
        </w:rPr>
        <w:t xml:space="preserve">15 </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；李殿坤出资</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p>
    <w:p>
      <w:pPr>
        <w:pStyle w:val="Style35"/>
        <w:keepNext w:val="0"/>
        <w:keepLines w:val="0"/>
        <w:widowControl w:val="0"/>
        <w:shd w:val="clear" w:color="auto" w:fill="auto"/>
        <w:bidi w:val="0"/>
        <w:spacing w:before="0" w:after="240" w:line="311"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年度第一次临时股东大会决议，公司更名为北京中长石基信息技术有限 公司，同时引进新股东长春燃气股份有限公司，公司注册资本增加为</w:t>
      </w:r>
      <w:r>
        <w:rPr>
          <w:rFonts w:ascii="Times New Roman" w:eastAsia="Times New Roman" w:hAnsi="Times New Roman" w:cs="Times New Roman"/>
          <w:color w:val="000000"/>
          <w:spacing w:val="0"/>
          <w:w w:val="100"/>
          <w:position w:val="0"/>
          <w:sz w:val="22"/>
          <w:szCs w:val="22"/>
        </w:rPr>
        <w:t>625</w:t>
      </w:r>
      <w:r>
        <w:rPr>
          <w:color w:val="000000"/>
          <w:spacing w:val="0"/>
          <w:w w:val="100"/>
          <w:position w:val="0"/>
          <w:sz w:val="22"/>
          <w:szCs w:val="22"/>
        </w:rPr>
        <w:t>万元，其中：李仲初出资</w:t>
      </w:r>
      <w:r>
        <w:rPr>
          <w:rFonts w:ascii="Times New Roman" w:eastAsia="Times New Roman" w:hAnsi="Times New Roman" w:cs="Times New Roman"/>
          <w:color w:val="000000"/>
          <w:spacing w:val="0"/>
          <w:w w:val="100"/>
          <w:position w:val="0"/>
          <w:sz w:val="22"/>
          <w:szCs w:val="22"/>
        </w:rPr>
        <w:t xml:space="preserve">400 </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；长春燃气股份有限公司出资</w:t>
      </w:r>
      <w:r>
        <w:rPr>
          <w:rFonts w:ascii="Times New Roman" w:eastAsia="Times New Roman" w:hAnsi="Times New Roman" w:cs="Times New Roman"/>
          <w:color w:val="000000"/>
          <w:spacing w:val="0"/>
          <w:w w:val="100"/>
          <w:position w:val="0"/>
          <w:sz w:val="22"/>
          <w:szCs w:val="22"/>
        </w:rPr>
        <w:t>125</w:t>
      </w:r>
      <w:r>
        <w:rPr>
          <w:color w:val="000000"/>
          <w:spacing w:val="0"/>
          <w:w w:val="100"/>
          <w:position w:val="0"/>
          <w:sz w:val="22"/>
          <w:szCs w:val="22"/>
        </w:rPr>
        <w:t>万元，占注册资本</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；李彩练出资</w:t>
      </w:r>
      <w:r>
        <w:rPr>
          <w:rFonts w:ascii="Times New Roman" w:eastAsia="Times New Roman" w:hAnsi="Times New Roman" w:cs="Times New Roman"/>
          <w:color w:val="000000"/>
          <w:spacing w:val="0"/>
          <w:w w:val="100"/>
          <w:position w:val="0"/>
          <w:sz w:val="22"/>
          <w:szCs w:val="22"/>
        </w:rPr>
        <w:t>40</w:t>
      </w:r>
      <w:r>
        <w:rPr>
          <w:color w:val="000000"/>
          <w:spacing w:val="0"/>
          <w:w w:val="100"/>
          <w:position w:val="0"/>
          <w:sz w:val="22"/>
          <w:szCs w:val="22"/>
        </w:rPr>
        <w:t>万元， 占注册资本的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；焦梅荣出资</w:t>
      </w:r>
      <w:r>
        <w:rPr>
          <w:rFonts w:ascii="Times New Roman" w:eastAsia="Times New Roman" w:hAnsi="Times New Roman" w:cs="Times New Roman"/>
          <w:color w:val="000000"/>
          <w:spacing w:val="0"/>
          <w:w w:val="100"/>
          <w:position w:val="0"/>
          <w:sz w:val="22"/>
          <w:szCs w:val="22"/>
        </w:rPr>
        <w:t>35</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5.6%</w:t>
      </w:r>
      <w:r>
        <w:rPr>
          <w:color w:val="000000"/>
          <w:spacing w:val="0"/>
          <w:w w:val="100"/>
          <w:position w:val="0"/>
          <w:sz w:val="22"/>
          <w:szCs w:val="22"/>
        </w:rPr>
        <w:t>；郭灵红出资</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 李殿坤出资</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万元，占注册资本的</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w:t>
      </w:r>
    </w:p>
    <w:p>
      <w:pPr>
        <w:pStyle w:val="Style35"/>
        <w:keepNext w:val="0"/>
        <w:keepLines w:val="0"/>
        <w:widowControl w:val="0"/>
        <w:shd w:val="clear" w:color="auto" w:fill="auto"/>
        <w:bidi w:val="0"/>
        <w:spacing w:before="0" w:after="240" w:line="307"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年度第二次临时股东大会决议，李彩练将其所持有公司</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的股权全部 转让给北京业勤投资顾问有限公司，郭灵红将其所持有公司</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的股权全部转让给陈国强。</w:t>
      </w:r>
    </w:p>
    <w:p>
      <w:pPr>
        <w:pStyle w:val="Style35"/>
        <w:keepNext w:val="0"/>
        <w:keepLines w:val="0"/>
        <w:widowControl w:val="0"/>
        <w:shd w:val="clear" w:color="auto" w:fill="auto"/>
        <w:tabs>
          <w:tab w:pos="2789" w:val="left"/>
        </w:tabs>
        <w:bidi w:val="0"/>
        <w:spacing w:before="0" w:after="0" w:line="311"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年度第四次临时股东大会决议，并经北京市人民政府经济体制改革办公 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京政体改股函</w:t>
      </w:r>
      <w:r>
        <w:rPr>
          <w:rFonts w:ascii="Times New Roman" w:eastAsia="Times New Roman" w:hAnsi="Times New Roman" w:cs="Times New Roman"/>
          <w:color w:val="000000"/>
          <w:spacing w:val="0"/>
          <w:w w:val="100"/>
          <w:position w:val="0"/>
          <w:sz w:val="22"/>
          <w:szCs w:val="22"/>
        </w:rPr>
        <w:t>[2001]66</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文批准，公司由有限责任公司整体变更为股份有限公司，以</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0</w:t>
      </w:r>
      <w:r>
        <w:rPr>
          <w:color w:val="000000"/>
          <w:spacing w:val="0"/>
          <w:w w:val="100"/>
          <w:position w:val="0"/>
          <w:sz w:val="22"/>
          <w:szCs w:val="22"/>
        </w:rPr>
        <w:t>经审计后净资产，按</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的折股比率，原有股东持股比例不变，折为股本</w:t>
      </w:r>
      <w:r>
        <w:rPr>
          <w:rFonts w:ascii="Times New Roman" w:eastAsia="Times New Roman" w:hAnsi="Times New Roman" w:cs="Times New Roman"/>
          <w:color w:val="000000"/>
          <w:spacing w:val="0"/>
          <w:w w:val="100"/>
          <w:position w:val="0"/>
          <w:sz w:val="22"/>
          <w:szCs w:val="22"/>
        </w:rPr>
        <w:t>3,300.00</w:t>
      </w:r>
      <w:r>
        <w:rPr>
          <w:color w:val="000000"/>
          <w:spacing w:val="0"/>
          <w:w w:val="100"/>
          <w:position w:val="0"/>
          <w:sz w:val="22"/>
          <w:szCs w:val="22"/>
        </w:rPr>
        <w:t>万股。其中：</w:t>
      </w:r>
    </w:p>
    <w:p>
      <w:pPr>
        <w:pStyle w:val="Style35"/>
        <w:keepNext w:val="0"/>
        <w:keepLines w:val="0"/>
        <w:widowControl w:val="0"/>
        <w:shd w:val="clear" w:color="auto" w:fill="auto"/>
        <w:bidi w:val="0"/>
        <w:spacing w:before="0" w:after="240" w:line="311" w:lineRule="exact"/>
        <w:ind w:left="0" w:right="0" w:firstLine="0"/>
        <w:jc w:val="both"/>
        <w:rPr>
          <w:sz w:val="22"/>
          <w:szCs w:val="22"/>
        </w:rPr>
      </w:pPr>
      <w:r>
        <w:rPr>
          <w:color w:val="000000"/>
          <w:spacing w:val="0"/>
          <w:w w:val="100"/>
          <w:position w:val="0"/>
          <w:sz w:val="22"/>
          <w:szCs w:val="22"/>
        </w:rPr>
        <w:t>李仲初</w:t>
      </w:r>
      <w:r>
        <w:rPr>
          <w:rFonts w:ascii="Times New Roman" w:eastAsia="Times New Roman" w:hAnsi="Times New Roman" w:cs="Times New Roman"/>
          <w:color w:val="000000"/>
          <w:spacing w:val="0"/>
          <w:w w:val="100"/>
          <w:position w:val="0"/>
          <w:sz w:val="22"/>
          <w:szCs w:val="22"/>
        </w:rPr>
        <w:t>2,112</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；长春燃气股份有限公司</w:t>
      </w:r>
      <w:r>
        <w:rPr>
          <w:rFonts w:ascii="Times New Roman" w:eastAsia="Times New Roman" w:hAnsi="Times New Roman" w:cs="Times New Roman"/>
          <w:color w:val="000000"/>
          <w:spacing w:val="0"/>
          <w:w w:val="100"/>
          <w:position w:val="0"/>
          <w:sz w:val="22"/>
          <w:szCs w:val="22"/>
        </w:rPr>
        <w:t>660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；北京业勤投 资顾问有限公司</w:t>
      </w:r>
      <w:r>
        <w:rPr>
          <w:rFonts w:ascii="Times New Roman" w:eastAsia="Times New Roman" w:hAnsi="Times New Roman" w:cs="Times New Roman"/>
          <w:color w:val="000000"/>
          <w:spacing w:val="0"/>
          <w:w w:val="100"/>
          <w:position w:val="0"/>
          <w:sz w:val="22"/>
          <w:szCs w:val="22"/>
        </w:rPr>
        <w:t>211.20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；焦梅荣</w:t>
      </w:r>
      <w:r>
        <w:rPr>
          <w:rFonts w:ascii="Times New Roman" w:eastAsia="Times New Roman" w:hAnsi="Times New Roman" w:cs="Times New Roman"/>
          <w:color w:val="000000"/>
          <w:spacing w:val="0"/>
          <w:w w:val="100"/>
          <w:position w:val="0"/>
          <w:sz w:val="22"/>
          <w:szCs w:val="22"/>
        </w:rPr>
        <w:t>184.8</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5.6%</w:t>
      </w:r>
      <w:r>
        <w:rPr>
          <w:color w:val="000000"/>
          <w:spacing w:val="0"/>
          <w:w w:val="100"/>
          <w:position w:val="0"/>
          <w:sz w:val="22"/>
          <w:szCs w:val="22"/>
        </w:rPr>
        <w:t>；陈国强</w:t>
      </w:r>
      <w:r>
        <w:rPr>
          <w:rFonts w:ascii="Times New Roman" w:eastAsia="Times New Roman" w:hAnsi="Times New Roman" w:cs="Times New Roman"/>
          <w:color w:val="000000"/>
          <w:spacing w:val="0"/>
          <w:w w:val="100"/>
          <w:position w:val="0"/>
          <w:sz w:val="22"/>
          <w:szCs w:val="22"/>
        </w:rPr>
        <w:t>79.20</w:t>
      </w:r>
      <w:r>
        <w:rPr>
          <w:color w:val="000000"/>
          <w:spacing w:val="0"/>
          <w:w w:val="100"/>
          <w:position w:val="0"/>
          <w:sz w:val="22"/>
          <w:szCs w:val="22"/>
        </w:rPr>
        <w:t>万 股，占总股本的</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；李殿坤</w:t>
      </w:r>
      <w:r>
        <w:rPr>
          <w:rFonts w:ascii="Times New Roman" w:eastAsia="Times New Roman" w:hAnsi="Times New Roman" w:cs="Times New Roman"/>
          <w:color w:val="000000"/>
          <w:spacing w:val="0"/>
          <w:w w:val="100"/>
          <w:position w:val="0"/>
          <w:sz w:val="22"/>
          <w:szCs w:val="22"/>
        </w:rPr>
        <w:t>52.80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月，经公司</w:t>
      </w:r>
      <w:r>
        <w:rPr>
          <w:rFonts w:ascii="Times New Roman" w:eastAsia="Times New Roman" w:hAnsi="Times New Roman" w:cs="Times New Roman"/>
          <w:color w:val="000000"/>
          <w:spacing w:val="0"/>
          <w:w w:val="100"/>
          <w:position w:val="0"/>
          <w:sz w:val="22"/>
          <w:szCs w:val="22"/>
        </w:rPr>
        <w:t>2003</w:t>
      </w:r>
      <w:r>
        <w:rPr>
          <w:color w:val="000000"/>
          <w:spacing w:val="0"/>
          <w:w w:val="100"/>
          <w:position w:val="0"/>
          <w:sz w:val="22"/>
          <w:szCs w:val="22"/>
        </w:rPr>
        <w:t>年度股东大会决议，以</w:t>
      </w:r>
      <w:r>
        <w:rPr>
          <w:rFonts w:ascii="Times New Roman" w:eastAsia="Times New Roman" w:hAnsi="Times New Roman" w:cs="Times New Roman"/>
          <w:color w:val="000000"/>
          <w:spacing w:val="0"/>
          <w:w w:val="100"/>
          <w:position w:val="0"/>
          <w:sz w:val="22"/>
          <w:szCs w:val="22"/>
        </w:rPr>
        <w:t>2003</w:t>
      </w:r>
      <w:r>
        <w:rPr>
          <w:color w:val="000000"/>
          <w:spacing w:val="0"/>
          <w:w w:val="100"/>
          <w:position w:val="0"/>
          <w:sz w:val="22"/>
          <w:szCs w:val="22"/>
        </w:rPr>
        <w:t>年末未分配利润中的</w:t>
      </w:r>
      <w:r>
        <w:rPr>
          <w:rFonts w:ascii="Times New Roman" w:eastAsia="Times New Roman" w:hAnsi="Times New Roman" w:cs="Times New Roman"/>
          <w:color w:val="000000"/>
          <w:spacing w:val="0"/>
          <w:w w:val="100"/>
          <w:position w:val="0"/>
          <w:sz w:val="22"/>
          <w:szCs w:val="22"/>
        </w:rPr>
        <w:t>900</w:t>
      </w:r>
      <w:r>
        <w:rPr>
          <w:color w:val="000000"/>
          <w:spacing w:val="0"/>
          <w:w w:val="100"/>
          <w:position w:val="0"/>
          <w:sz w:val="22"/>
          <w:szCs w:val="22"/>
        </w:rPr>
        <w:t>万元转增股本，转增 后公司总股本增至</w:t>
      </w:r>
      <w:r>
        <w:rPr>
          <w:rFonts w:ascii="Times New Roman" w:eastAsia="Times New Roman" w:hAnsi="Times New Roman" w:cs="Times New Roman"/>
          <w:color w:val="000000"/>
          <w:spacing w:val="0"/>
          <w:w w:val="100"/>
          <w:position w:val="0"/>
          <w:sz w:val="22"/>
          <w:szCs w:val="22"/>
        </w:rPr>
        <w:t>4,200</w:t>
      </w:r>
      <w:r>
        <w:rPr>
          <w:color w:val="000000"/>
          <w:spacing w:val="0"/>
          <w:w w:val="100"/>
          <w:position w:val="0"/>
          <w:sz w:val="22"/>
          <w:szCs w:val="22"/>
        </w:rPr>
        <w:t>万元，其中：李仲初</w:t>
      </w:r>
      <w:r>
        <w:rPr>
          <w:rFonts w:ascii="Times New Roman" w:eastAsia="Times New Roman" w:hAnsi="Times New Roman" w:cs="Times New Roman"/>
          <w:color w:val="000000"/>
          <w:spacing w:val="0"/>
          <w:w w:val="100"/>
          <w:position w:val="0"/>
          <w:sz w:val="22"/>
          <w:szCs w:val="22"/>
        </w:rPr>
        <w:t>2,688</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；长春燃气股份有限公司</w:t>
      </w:r>
      <w:r>
        <w:rPr>
          <w:rFonts w:ascii="Times New Roman" w:eastAsia="Times New Roman" w:hAnsi="Times New Roman" w:cs="Times New Roman"/>
          <w:color w:val="000000"/>
          <w:spacing w:val="0"/>
          <w:w w:val="100"/>
          <w:position w:val="0"/>
          <w:sz w:val="22"/>
          <w:szCs w:val="22"/>
        </w:rPr>
        <w:t xml:space="preserve">840 </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；北京业勤投资顾问有限公司</w:t>
      </w:r>
      <w:r>
        <w:rPr>
          <w:rFonts w:ascii="Times New Roman" w:eastAsia="Times New Roman" w:hAnsi="Times New Roman" w:cs="Times New Roman"/>
          <w:color w:val="000000"/>
          <w:spacing w:val="0"/>
          <w:w w:val="100"/>
          <w:position w:val="0"/>
          <w:sz w:val="22"/>
          <w:szCs w:val="22"/>
        </w:rPr>
        <w:t>268.80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；焦梅荣</w:t>
      </w:r>
      <w:r>
        <w:rPr>
          <w:rFonts w:ascii="Times New Roman" w:eastAsia="Times New Roman" w:hAnsi="Times New Roman" w:cs="Times New Roman"/>
          <w:color w:val="000000"/>
          <w:spacing w:val="0"/>
          <w:w w:val="100"/>
          <w:position w:val="0"/>
          <w:sz w:val="22"/>
          <w:szCs w:val="22"/>
        </w:rPr>
        <w:t>235.20</w:t>
      </w:r>
      <w:r>
        <w:rPr>
          <w:color w:val="000000"/>
          <w:spacing w:val="0"/>
          <w:w w:val="100"/>
          <w:position w:val="0"/>
          <w:sz w:val="22"/>
          <w:szCs w:val="22"/>
        </w:rPr>
        <w:t>万 股，占总股本的</w:t>
      </w:r>
      <w:r>
        <w:rPr>
          <w:rFonts w:ascii="Times New Roman" w:eastAsia="Times New Roman" w:hAnsi="Times New Roman" w:cs="Times New Roman"/>
          <w:color w:val="000000"/>
          <w:spacing w:val="0"/>
          <w:w w:val="100"/>
          <w:position w:val="0"/>
          <w:sz w:val="22"/>
          <w:szCs w:val="22"/>
        </w:rPr>
        <w:t>5.6%</w:t>
      </w:r>
      <w:r>
        <w:rPr>
          <w:color w:val="000000"/>
          <w:spacing w:val="0"/>
          <w:w w:val="100"/>
          <w:position w:val="0"/>
          <w:sz w:val="22"/>
          <w:szCs w:val="22"/>
        </w:rPr>
        <w:t>；陈国强</w:t>
      </w:r>
      <w:r>
        <w:rPr>
          <w:rFonts w:ascii="Times New Roman" w:eastAsia="Times New Roman" w:hAnsi="Times New Roman" w:cs="Times New Roman"/>
          <w:color w:val="000000"/>
          <w:spacing w:val="0"/>
          <w:w w:val="100"/>
          <w:position w:val="0"/>
          <w:sz w:val="22"/>
          <w:szCs w:val="22"/>
        </w:rPr>
        <w:t>100.80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；李殿坤</w:t>
      </w:r>
      <w:r>
        <w:rPr>
          <w:rFonts w:ascii="Times New Roman" w:eastAsia="Times New Roman" w:hAnsi="Times New Roman" w:cs="Times New Roman"/>
          <w:color w:val="000000"/>
          <w:spacing w:val="0"/>
          <w:w w:val="100"/>
          <w:position w:val="0"/>
          <w:sz w:val="22"/>
          <w:szCs w:val="22"/>
        </w:rPr>
        <w:t>67.20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w:t>
      </w:r>
    </w:p>
    <w:p>
      <w:pPr>
        <w:pStyle w:val="Style35"/>
        <w:keepNext w:val="0"/>
        <w:keepLines w:val="0"/>
        <w:widowControl w:val="0"/>
        <w:shd w:val="clear" w:color="auto" w:fill="auto"/>
        <w:bidi w:val="0"/>
        <w:spacing w:before="0" w:after="240" w:line="307"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月，经公司股东大会决议，长春燃气股份有限公司将其所持有公司</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%的股权全部转让 给李仲初。</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月，经中国证券监督管理委员会证监发行字</w:t>
      </w:r>
      <w:r>
        <w:rPr>
          <w:rFonts w:ascii="Times New Roman" w:eastAsia="Times New Roman" w:hAnsi="Times New Roman" w:cs="Times New Roman"/>
          <w:color w:val="000000"/>
          <w:spacing w:val="0"/>
          <w:w w:val="100"/>
          <w:position w:val="0"/>
          <w:sz w:val="22"/>
          <w:szCs w:val="22"/>
        </w:rPr>
        <w:t>[2007]189</w:t>
      </w:r>
      <w:r>
        <w:rPr>
          <w:color w:val="000000"/>
          <w:spacing w:val="0"/>
          <w:w w:val="100"/>
          <w:position w:val="0"/>
          <w:sz w:val="22"/>
          <w:szCs w:val="22"/>
        </w:rPr>
        <w:t>号文核准，同意公司向社会公开发 行人民币普通股股票</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,400.00</w:t>
      </w:r>
      <w:r>
        <w:rPr>
          <w:color w:val="000000"/>
          <w:spacing w:val="0"/>
          <w:w w:val="100"/>
          <w:position w:val="0"/>
          <w:sz w:val="22"/>
          <w:szCs w:val="22"/>
        </w:rPr>
        <w:t>万股，变更后公司的注册资本为</w:t>
      </w:r>
      <w:r>
        <w:rPr>
          <w:rFonts w:ascii="Times New Roman" w:eastAsia="Times New Roman" w:hAnsi="Times New Roman" w:cs="Times New Roman"/>
          <w:color w:val="000000"/>
          <w:spacing w:val="0"/>
          <w:w w:val="100"/>
          <w:position w:val="0"/>
          <w:sz w:val="22"/>
          <w:szCs w:val="22"/>
        </w:rPr>
        <w:t>5,600.00</w:t>
      </w:r>
      <w:r>
        <w:rPr>
          <w:color w:val="000000"/>
          <w:spacing w:val="0"/>
          <w:w w:val="100"/>
          <w:position w:val="0"/>
          <w:sz w:val="22"/>
          <w:szCs w:val="22"/>
        </w:rPr>
        <w:t>万元，其中：李仲初</w:t>
      </w:r>
      <w:r>
        <w:rPr>
          <w:rFonts w:ascii="Times New Roman" w:eastAsia="Times New Roman" w:hAnsi="Times New Roman" w:cs="Times New Roman"/>
          <w:color w:val="000000"/>
          <w:spacing w:val="0"/>
          <w:w w:val="100"/>
          <w:position w:val="0"/>
          <w:sz w:val="22"/>
          <w:szCs w:val="22"/>
        </w:rPr>
        <w:t>3,528.00</w:t>
      </w:r>
      <w:r>
        <w:rPr>
          <w:color w:val="000000"/>
          <w:spacing w:val="0"/>
          <w:w w:val="100"/>
          <w:position w:val="0"/>
          <w:sz w:val="22"/>
          <w:szCs w:val="22"/>
        </w:rPr>
        <w:t>万 股，占总股本的</w:t>
      </w:r>
      <w:r>
        <w:rPr>
          <w:rFonts w:ascii="Times New Roman" w:eastAsia="Times New Roman" w:hAnsi="Times New Roman" w:cs="Times New Roman"/>
          <w:color w:val="000000"/>
          <w:spacing w:val="0"/>
          <w:w w:val="100"/>
          <w:position w:val="0"/>
          <w:sz w:val="22"/>
          <w:szCs w:val="22"/>
        </w:rPr>
        <w:t>63.00%</w:t>
      </w:r>
      <w:r>
        <w:rPr>
          <w:color w:val="000000"/>
          <w:spacing w:val="0"/>
          <w:w w:val="100"/>
          <w:position w:val="0"/>
          <w:sz w:val="22"/>
          <w:szCs w:val="22"/>
        </w:rPr>
        <w:t>；北京业勤投资顾问有限公司</w:t>
      </w:r>
      <w:r>
        <w:rPr>
          <w:rFonts w:ascii="Times New Roman" w:eastAsia="Times New Roman" w:hAnsi="Times New Roman" w:cs="Times New Roman"/>
          <w:color w:val="000000"/>
          <w:spacing w:val="0"/>
          <w:w w:val="100"/>
          <w:position w:val="0"/>
          <w:sz w:val="22"/>
          <w:szCs w:val="22"/>
        </w:rPr>
        <w:t>268.80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4.80%</w:t>
      </w:r>
      <w:r>
        <w:rPr>
          <w:color w:val="000000"/>
          <w:spacing w:val="0"/>
          <w:w w:val="100"/>
          <w:position w:val="0"/>
          <w:sz w:val="22"/>
          <w:szCs w:val="22"/>
        </w:rPr>
        <w:t>；焦梅荣</w:t>
      </w:r>
      <w:r>
        <w:rPr>
          <w:rFonts w:ascii="Times New Roman" w:eastAsia="Times New Roman" w:hAnsi="Times New Roman" w:cs="Times New Roman"/>
          <w:color w:val="000000"/>
          <w:spacing w:val="0"/>
          <w:w w:val="100"/>
          <w:position w:val="0"/>
          <w:sz w:val="22"/>
          <w:szCs w:val="22"/>
        </w:rPr>
        <w:t xml:space="preserve">235.20 </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4.20%</w:t>
      </w:r>
      <w:r>
        <w:rPr>
          <w:color w:val="000000"/>
          <w:spacing w:val="0"/>
          <w:w w:val="100"/>
          <w:position w:val="0"/>
          <w:sz w:val="22"/>
          <w:szCs w:val="22"/>
        </w:rPr>
        <w:t>；陈国强</w:t>
      </w:r>
      <w:r>
        <w:rPr>
          <w:rFonts w:ascii="Times New Roman" w:eastAsia="Times New Roman" w:hAnsi="Times New Roman" w:cs="Times New Roman"/>
          <w:color w:val="000000"/>
          <w:spacing w:val="0"/>
          <w:w w:val="100"/>
          <w:position w:val="0"/>
          <w:sz w:val="22"/>
          <w:szCs w:val="22"/>
        </w:rPr>
        <w:t>100.80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1.80%</w:t>
      </w:r>
      <w:r>
        <w:rPr>
          <w:color w:val="000000"/>
          <w:spacing w:val="0"/>
          <w:w w:val="100"/>
          <w:position w:val="0"/>
          <w:sz w:val="22"/>
          <w:szCs w:val="22"/>
        </w:rPr>
        <w:t>；李殿坤</w:t>
      </w:r>
      <w:r>
        <w:rPr>
          <w:rFonts w:ascii="Times New Roman" w:eastAsia="Times New Roman" w:hAnsi="Times New Roman" w:cs="Times New Roman"/>
          <w:color w:val="000000"/>
          <w:spacing w:val="0"/>
          <w:w w:val="100"/>
          <w:position w:val="0"/>
          <w:sz w:val="22"/>
          <w:szCs w:val="22"/>
        </w:rPr>
        <w:t>67.20</w:t>
      </w:r>
      <w:r>
        <w:rPr>
          <w:color w:val="000000"/>
          <w:spacing w:val="0"/>
          <w:w w:val="100"/>
          <w:position w:val="0"/>
          <w:sz w:val="22"/>
          <w:szCs w:val="22"/>
        </w:rPr>
        <w:t>万股</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，占总股本的</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 社会公众股</w:t>
      </w:r>
      <w:r>
        <w:rPr>
          <w:rFonts w:ascii="Times New Roman" w:eastAsia="Times New Roman" w:hAnsi="Times New Roman" w:cs="Times New Roman"/>
          <w:color w:val="000000"/>
          <w:spacing w:val="0"/>
          <w:w w:val="100"/>
          <w:position w:val="0"/>
          <w:sz w:val="22"/>
          <w:szCs w:val="22"/>
        </w:rPr>
        <w:t>1,400.00</w:t>
      </w:r>
      <w:r>
        <w:rPr>
          <w:color w:val="000000"/>
          <w:spacing w:val="0"/>
          <w:w w:val="100"/>
          <w:position w:val="0"/>
          <w:sz w:val="22"/>
          <w:szCs w:val="22"/>
        </w:rPr>
        <w:t>万股，占总股本的</w:t>
      </w:r>
      <w:r>
        <w:rPr>
          <w:rFonts w:ascii="Times New Roman" w:eastAsia="Times New Roman" w:hAnsi="Times New Roman" w:cs="Times New Roman"/>
          <w:color w:val="000000"/>
          <w:spacing w:val="0"/>
          <w:w w:val="100"/>
          <w:position w:val="0"/>
          <w:sz w:val="22"/>
          <w:szCs w:val="22"/>
        </w:rPr>
        <w:t>25.00%</w:t>
      </w:r>
      <w:r>
        <w:rPr>
          <w:color w:val="000000"/>
          <w:spacing w:val="0"/>
          <w:w w:val="100"/>
          <w:position w:val="0"/>
          <w:sz w:val="22"/>
          <w:szCs w:val="22"/>
        </w:rPr>
        <w:t>。</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月，根据公司股东会决议和修改后章程的规定，由资本公积转增股本人民币</w:t>
      </w:r>
      <w:r>
        <w:rPr>
          <w:rFonts w:ascii="Times New Roman" w:eastAsia="Times New Roman" w:hAnsi="Times New Roman" w:cs="Times New Roman"/>
          <w:color w:val="000000"/>
          <w:spacing w:val="0"/>
          <w:w w:val="100"/>
          <w:position w:val="0"/>
          <w:sz w:val="22"/>
          <w:szCs w:val="22"/>
        </w:rPr>
        <w:t>5,600.00</w:t>
      </w:r>
      <w:r>
        <w:rPr>
          <w:color w:val="000000"/>
          <w:spacing w:val="0"/>
          <w:w w:val="100"/>
          <w:position w:val="0"/>
          <w:sz w:val="22"/>
          <w:szCs w:val="22"/>
        </w:rPr>
        <w:t>万元, 变更后的公司注册资本为人民币普通股</w:t>
      </w:r>
      <w:r>
        <w:rPr>
          <w:rFonts w:ascii="Times New Roman" w:eastAsia="Times New Roman" w:hAnsi="Times New Roman" w:cs="Times New Roman"/>
          <w:color w:val="000000"/>
          <w:spacing w:val="0"/>
          <w:w w:val="100"/>
          <w:position w:val="0"/>
          <w:sz w:val="22"/>
          <w:szCs w:val="22"/>
        </w:rPr>
        <w:t>11,200.00</w:t>
      </w:r>
      <w:r>
        <w:rPr>
          <w:color w:val="000000"/>
          <w:spacing w:val="0"/>
          <w:w w:val="100"/>
          <w:position w:val="0"/>
          <w:sz w:val="22"/>
          <w:szCs w:val="22"/>
        </w:rPr>
        <w:t>万元，公司于</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日完成了工商变更登记。</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月，根据公司股东会决议和修改后章程的规定，由资本公积转增股本人民币</w:t>
      </w:r>
      <w:r>
        <w:rPr>
          <w:rFonts w:ascii="Times New Roman" w:eastAsia="Times New Roman" w:hAnsi="Times New Roman" w:cs="Times New Roman"/>
          <w:color w:val="000000"/>
          <w:spacing w:val="0"/>
          <w:w w:val="100"/>
          <w:position w:val="0"/>
          <w:sz w:val="22"/>
          <w:szCs w:val="22"/>
        </w:rPr>
        <w:t>11,200.00</w:t>
      </w:r>
      <w:r>
        <w:rPr>
          <w:color w:val="000000"/>
          <w:spacing w:val="0"/>
          <w:w w:val="100"/>
          <w:position w:val="0"/>
          <w:sz w:val="22"/>
          <w:szCs w:val="22"/>
        </w:rPr>
        <w:t>万 元，变更后的公司注册资本为人民币普通股</w:t>
      </w:r>
      <w:r>
        <w:rPr>
          <w:rFonts w:ascii="Times New Roman" w:eastAsia="Times New Roman" w:hAnsi="Times New Roman" w:cs="Times New Roman"/>
          <w:color w:val="000000"/>
          <w:spacing w:val="0"/>
          <w:w w:val="100"/>
          <w:position w:val="0"/>
          <w:sz w:val="22"/>
          <w:szCs w:val="22"/>
        </w:rPr>
        <w:t>22,400.00</w:t>
      </w:r>
      <w:r>
        <w:rPr>
          <w:color w:val="000000"/>
          <w:spacing w:val="0"/>
          <w:w w:val="100"/>
          <w:position w:val="0"/>
          <w:sz w:val="22"/>
          <w:szCs w:val="22"/>
        </w:rPr>
        <w:t>万元，公司于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日完成了工商变更登记。</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月，根据公司股东会决议和修改后章程的规定，由资本公积转增股本人民币</w:t>
      </w:r>
      <w:r>
        <w:rPr>
          <w:rFonts w:ascii="Times New Roman" w:eastAsia="Times New Roman" w:hAnsi="Times New Roman" w:cs="Times New Roman"/>
          <w:color w:val="000000"/>
          <w:spacing w:val="0"/>
          <w:w w:val="100"/>
          <w:position w:val="0"/>
          <w:sz w:val="22"/>
          <w:szCs w:val="22"/>
        </w:rPr>
        <w:t>8,512.00</w:t>
      </w:r>
      <w:r>
        <w:rPr>
          <w:color w:val="000000"/>
          <w:spacing w:val="0"/>
          <w:w w:val="100"/>
          <w:position w:val="0"/>
          <w:sz w:val="22"/>
          <w:szCs w:val="22"/>
        </w:rPr>
        <w:t>万元, 变更后的公司注册资本为人民币普通股</w:t>
      </w:r>
      <w:r>
        <w:rPr>
          <w:rFonts w:ascii="Times New Roman" w:eastAsia="Times New Roman" w:hAnsi="Times New Roman" w:cs="Times New Roman"/>
          <w:color w:val="000000"/>
          <w:spacing w:val="0"/>
          <w:w w:val="100"/>
          <w:position w:val="0"/>
          <w:sz w:val="22"/>
          <w:szCs w:val="22"/>
        </w:rPr>
        <w:t>30,912.00</w:t>
      </w:r>
      <w:r>
        <w:rPr>
          <w:color w:val="000000"/>
          <w:spacing w:val="0"/>
          <w:w w:val="100"/>
          <w:position w:val="0"/>
          <w:sz w:val="22"/>
          <w:szCs w:val="22"/>
        </w:rPr>
        <w:t>万元，公司于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日完成了工商变更登记。</w:t>
      </w:r>
    </w:p>
    <w:p>
      <w:pPr>
        <w:pStyle w:val="Style35"/>
        <w:keepNext w:val="0"/>
        <w:keepLines w:val="0"/>
        <w:widowControl w:val="0"/>
        <w:shd w:val="clear" w:color="auto" w:fill="auto"/>
        <w:bidi w:val="0"/>
        <w:spacing w:before="0" w:after="220" w:line="316"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月，根据公司股东会决议，公司向淘宝（中国）软件有限公司非公开发行人民币普通股 共计</w:t>
      </w:r>
      <w:r>
        <w:rPr>
          <w:rFonts w:ascii="Times New Roman" w:eastAsia="Times New Roman" w:hAnsi="Times New Roman" w:cs="Times New Roman"/>
          <w:color w:val="000000"/>
          <w:spacing w:val="0"/>
          <w:w w:val="100"/>
          <w:position w:val="0"/>
          <w:sz w:val="22"/>
          <w:szCs w:val="22"/>
        </w:rPr>
        <w:t>46,476,251</w:t>
      </w:r>
      <w:r>
        <w:rPr>
          <w:color w:val="000000"/>
          <w:spacing w:val="0"/>
          <w:w w:val="100"/>
          <w:position w:val="0"/>
          <w:sz w:val="22"/>
          <w:szCs w:val="22"/>
        </w:rPr>
        <w:t>股，实际募集资金净额</w:t>
      </w:r>
      <w:r>
        <w:rPr>
          <w:rFonts w:ascii="Times New Roman" w:eastAsia="Times New Roman" w:hAnsi="Times New Roman" w:cs="Times New Roman"/>
          <w:color w:val="000000"/>
          <w:spacing w:val="0"/>
          <w:w w:val="100"/>
          <w:position w:val="0"/>
          <w:sz w:val="22"/>
          <w:szCs w:val="22"/>
        </w:rPr>
        <w:t>237,217.24</w:t>
      </w:r>
      <w:r>
        <w:rPr>
          <w:color w:val="000000"/>
          <w:spacing w:val="0"/>
          <w:w w:val="100"/>
          <w:position w:val="0"/>
          <w:sz w:val="22"/>
          <w:szCs w:val="22"/>
        </w:rPr>
        <w:t>万元，其中</w:t>
      </w:r>
      <w:r>
        <w:rPr>
          <w:rFonts w:ascii="Times New Roman" w:eastAsia="Times New Roman" w:hAnsi="Times New Roman" w:cs="Times New Roman"/>
          <w:color w:val="000000"/>
          <w:spacing w:val="0"/>
          <w:w w:val="100"/>
          <w:position w:val="0"/>
          <w:sz w:val="22"/>
          <w:szCs w:val="22"/>
        </w:rPr>
        <w:t>4,647.63</w:t>
      </w:r>
      <w:r>
        <w:rPr>
          <w:color w:val="000000"/>
          <w:spacing w:val="0"/>
          <w:w w:val="100"/>
          <w:position w:val="0"/>
          <w:sz w:val="22"/>
          <w:szCs w:val="22"/>
        </w:rPr>
        <w:t>万元计入股本，剩余部分计入资 本公积，变更后的公司注册资本为人民币普通股</w:t>
      </w:r>
      <w:r>
        <w:rPr>
          <w:rFonts w:ascii="Times New Roman" w:eastAsia="Times New Roman" w:hAnsi="Times New Roman" w:cs="Times New Roman"/>
          <w:color w:val="000000"/>
          <w:spacing w:val="0"/>
          <w:w w:val="100"/>
          <w:position w:val="0"/>
          <w:sz w:val="22"/>
          <w:szCs w:val="22"/>
        </w:rPr>
        <w:t>35,559.63</w:t>
      </w:r>
      <w:r>
        <w:rPr>
          <w:color w:val="000000"/>
          <w:spacing w:val="0"/>
          <w:w w:val="100"/>
          <w:position w:val="0"/>
          <w:sz w:val="22"/>
          <w:szCs w:val="22"/>
        </w:rPr>
        <w:t>万元，本次发行新增股份已于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7 </w:t>
      </w:r>
      <w:r>
        <w:rPr>
          <w:color w:val="000000"/>
          <w:spacing w:val="0"/>
          <w:w w:val="100"/>
          <w:position w:val="0"/>
          <w:sz w:val="22"/>
          <w:szCs w:val="22"/>
        </w:rPr>
        <w:t>日在中国证券登记结算有限责任公司深圳分公司办理完毕登记托管相关事宜，并于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日上 市交易。</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月根据公司股东大会决议及修改后章程的规定，由资本公积转增股本人民币</w:t>
      </w:r>
      <w:r>
        <w:rPr>
          <w:rFonts w:ascii="Times New Roman" w:eastAsia="Times New Roman" w:hAnsi="Times New Roman" w:cs="Times New Roman"/>
          <w:color w:val="000000"/>
          <w:spacing w:val="0"/>
          <w:w w:val="100"/>
          <w:position w:val="0"/>
          <w:sz w:val="22"/>
          <w:szCs w:val="22"/>
        </w:rPr>
        <w:t>71,119.00</w:t>
      </w:r>
      <w:r>
        <w:rPr>
          <w:color w:val="000000"/>
          <w:spacing w:val="0"/>
          <w:w w:val="100"/>
          <w:position w:val="0"/>
          <w:sz w:val="22"/>
          <w:szCs w:val="22"/>
        </w:rPr>
        <w:t>万 元，变更后公司注册资本为</w:t>
      </w:r>
      <w:r>
        <w:rPr>
          <w:rFonts w:ascii="Times New Roman" w:eastAsia="Times New Roman" w:hAnsi="Times New Roman" w:cs="Times New Roman"/>
          <w:color w:val="000000"/>
          <w:spacing w:val="0"/>
          <w:w w:val="100"/>
          <w:position w:val="0"/>
          <w:sz w:val="22"/>
          <w:szCs w:val="22"/>
        </w:rPr>
        <w:t>106,678.88</w:t>
      </w:r>
      <w:r>
        <w:rPr>
          <w:color w:val="000000"/>
          <w:spacing w:val="0"/>
          <w:w w:val="100"/>
          <w:position w:val="0"/>
          <w:sz w:val="22"/>
          <w:szCs w:val="22"/>
        </w:rPr>
        <w:t>万元，公司于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日完成了工商变更登记。</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2"/>
          <w:szCs w:val="22"/>
        </w:rPr>
        <w:t>日，根据公司第六届董事会</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年第六次临时会议审议通过《关于公司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 期权激励计划首次授予股票期权第一个行权期可行权的议案》以及《关于公司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 划首次授予股票期权采用自主行权模式的议案》。根据中国证券登记结算有限责任公司深圳分公司的 行权结算明细，截至</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日，员工共计行权</w:t>
      </w:r>
      <w:r>
        <w:rPr>
          <w:rFonts w:ascii="Times New Roman" w:eastAsia="Times New Roman" w:hAnsi="Times New Roman" w:cs="Times New Roman"/>
          <w:color w:val="000000"/>
          <w:spacing w:val="0"/>
          <w:w w:val="100"/>
          <w:position w:val="0"/>
          <w:sz w:val="22"/>
          <w:szCs w:val="22"/>
        </w:rPr>
        <w:t>114,600</w:t>
      </w:r>
      <w:r>
        <w:rPr>
          <w:color w:val="000000"/>
          <w:spacing w:val="0"/>
          <w:w w:val="100"/>
          <w:position w:val="0"/>
          <w:sz w:val="22"/>
          <w:szCs w:val="22"/>
        </w:rPr>
        <w:t>股，使股本增加</w:t>
      </w:r>
      <w:r>
        <w:rPr>
          <w:rFonts w:ascii="Times New Roman" w:eastAsia="Times New Roman" w:hAnsi="Times New Roman" w:cs="Times New Roman"/>
          <w:color w:val="000000"/>
          <w:spacing w:val="0"/>
          <w:w w:val="100"/>
          <w:position w:val="0"/>
          <w:sz w:val="22"/>
          <w:szCs w:val="22"/>
        </w:rPr>
        <w:t>114,600.00</w:t>
      </w:r>
      <w:r>
        <w:rPr>
          <w:color w:val="000000"/>
          <w:spacing w:val="0"/>
          <w:w w:val="100"/>
          <w:position w:val="0"/>
          <w:sz w:val="22"/>
          <w:szCs w:val="22"/>
        </w:rPr>
        <w:t>元。</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日，根据公司第六届董事会</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年第六次临时会议决议通过《关于公司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 权激励计划预留部分股票期权第一个行权期可行权的议案》、《关于调整</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年股票期权激励计划预 留股份授予对象、授予数量及注销部分期权的议案》以及《关于公司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年股票期权激励计划预留部 分股票期权采用自主行权模式的议案》；</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日，根据公司第六届董事会</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年第七次临时 会议决议通过《关于公司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年股票期权激励计划首次授予股票期权第二个行权期可行权的议案》、 《关于调整</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年股票期权激励计划首次授予对象、授予数量及注销部分期权的议案》以及《关于公 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年股票期权激励计划首次授予股票期权第二个行权期采用自主行权模式的议案》。根据中国证 券登记结算有限责任公司深圳分公司的行权结算明细，截至</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 xml:space="preserve">日，员工共计行权 </w:t>
      </w:r>
      <w:r>
        <w:rPr>
          <w:rFonts w:ascii="Times New Roman" w:eastAsia="Times New Roman" w:hAnsi="Times New Roman" w:cs="Times New Roman"/>
          <w:color w:val="000000"/>
          <w:spacing w:val="0"/>
          <w:w w:val="100"/>
          <w:position w:val="0"/>
          <w:sz w:val="22"/>
          <w:szCs w:val="22"/>
        </w:rPr>
        <w:t>2,700,866.00</w:t>
      </w:r>
      <w:r>
        <w:rPr>
          <w:color w:val="000000"/>
          <w:spacing w:val="0"/>
          <w:w w:val="100"/>
          <w:position w:val="0"/>
          <w:sz w:val="22"/>
          <w:szCs w:val="22"/>
        </w:rPr>
        <w:t>股，使股本增加</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,700,866.00</w:t>
      </w:r>
      <w:r>
        <w:rPr>
          <w:color w:val="000000"/>
          <w:spacing w:val="0"/>
          <w:w w:val="100"/>
          <w:position w:val="0"/>
          <w:sz w:val="22"/>
          <w:szCs w:val="22"/>
        </w:rPr>
        <w:t>元。</w:t>
      </w:r>
    </w:p>
    <w:p>
      <w:pPr>
        <w:pStyle w:val="Style35"/>
        <w:keepNext w:val="0"/>
        <w:keepLines w:val="0"/>
        <w:widowControl w:val="0"/>
        <w:shd w:val="clear" w:color="auto" w:fill="auto"/>
        <w:bidi w:val="0"/>
        <w:spacing w:before="0" w:after="0" w:line="314"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日，根据公司第七届董事会</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年第三次临时会议审议通过了《关于公司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 xml:space="preserve">年股票 期权激励计划剩余首次及预留股票期权不符合行权条件的议案》，公司董事会授权管理层注销公司 </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年股权激励计划首次授予股票期权第三个行权期</w:t>
      </w:r>
      <w:r>
        <w:rPr>
          <w:rFonts w:ascii="Times New Roman" w:eastAsia="Times New Roman" w:hAnsi="Times New Roman" w:cs="Times New Roman"/>
          <w:color w:val="000000"/>
          <w:spacing w:val="0"/>
          <w:w w:val="100"/>
          <w:position w:val="0"/>
          <w:sz w:val="22"/>
          <w:szCs w:val="22"/>
        </w:rPr>
        <w:t>454</w:t>
      </w:r>
      <w:r>
        <w:rPr>
          <w:color w:val="000000"/>
          <w:spacing w:val="0"/>
          <w:w w:val="100"/>
          <w:position w:val="0"/>
          <w:sz w:val="22"/>
          <w:szCs w:val="22"/>
        </w:rPr>
        <w:t>名激励对象及预留授予股票期权第二个行权 期</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2"/>
          <w:szCs w:val="22"/>
        </w:rPr>
        <w:t>名激励对象剩余全部期权。根据中国证券登记结算有限责任公司深圳分公司的行权结算明细，员 工在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年度行权</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,507,964.00</w:t>
      </w:r>
      <w:r>
        <w:rPr>
          <w:color w:val="000000"/>
          <w:spacing w:val="0"/>
          <w:w w:val="100"/>
          <w:position w:val="0"/>
          <w:sz w:val="22"/>
          <w:szCs w:val="22"/>
        </w:rPr>
        <w:t>股，使股本增加</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,507,964.00</w:t>
      </w:r>
      <w:r>
        <w:rPr>
          <w:color w:val="000000"/>
          <w:spacing w:val="0"/>
          <w:w w:val="100"/>
          <w:position w:val="0"/>
          <w:sz w:val="22"/>
          <w:szCs w:val="22"/>
        </w:rPr>
        <w:t>元，截止本年末本公司不存在已授予未行 权的股票期权。</w:t>
      </w:r>
    </w:p>
    <w:p>
      <w:pPr>
        <w:pStyle w:val="Style35"/>
        <w:keepNext w:val="0"/>
        <w:keepLines w:val="0"/>
        <w:widowControl w:val="0"/>
        <w:shd w:val="clear" w:color="auto" w:fill="auto"/>
        <w:bidi w:val="0"/>
        <w:spacing w:before="0" w:after="220" w:line="314" w:lineRule="exact"/>
        <w:ind w:left="0" w:right="0" w:firstLine="0"/>
        <w:jc w:val="both"/>
        <w:rPr>
          <w:sz w:val="22"/>
          <w:szCs w:val="22"/>
        </w:rPr>
      </w:pPr>
      <w:r>
        <w:rPr>
          <w:color w:val="000000"/>
          <w:spacing w:val="0"/>
          <w:w w:val="100"/>
          <w:position w:val="0"/>
          <w:sz w:val="22"/>
          <w:szCs w:val="22"/>
        </w:rPr>
        <w:t>本公司属软件服务行业，主要从事酒店、零售、餐饮软件的开发以及相关产品的销售等。公司经营范 围主要为：技术开发、技术咨询、技术转让、技术服务、技术培训；销售开发后的产品、计算机及外 围设备；提供信息源服务；网络技术服务；电子商务（未取得专项审批的项目除外）；安装计算机； 货物进出口、技术进出口、代理进出口。（企业依法自主选择经营项目，开展经营活动；依法须经批 准的项目，经相关部门批准后依批准的内容开展经营活动；不得从事本市产业政策禁止和限制类项目 的经营活动。）</w:t>
      </w:r>
    </w:p>
    <w:p>
      <w:pPr>
        <w:pStyle w:val="Style38"/>
        <w:keepNext w:val="0"/>
        <w:keepLines w:val="0"/>
        <w:widowControl w:val="0"/>
        <w:shd w:val="clear" w:color="auto" w:fill="auto"/>
        <w:bidi w:val="0"/>
        <w:spacing w:before="0" w:after="280" w:line="311" w:lineRule="exact"/>
        <w:ind w:left="0" w:right="0" w:firstLine="460"/>
        <w:jc w:val="left"/>
        <w:rPr>
          <w:sz w:val="22"/>
          <w:szCs w:val="22"/>
        </w:rPr>
      </w:pPr>
      <w:r>
        <w:rPr>
          <w:rFonts w:ascii="SimSun" w:eastAsia="SimSun" w:hAnsi="SimSun" w:cs="SimSun"/>
          <w:color w:val="000000"/>
          <w:spacing w:val="0"/>
          <w:w w:val="100"/>
          <w:position w:val="0"/>
          <w:sz w:val="22"/>
          <w:szCs w:val="22"/>
        </w:rPr>
        <w:t>本集团合并财务报表范围包括</w:t>
      </w:r>
      <w:r>
        <w:rPr>
          <w:color w:val="000000"/>
          <w:spacing w:val="0"/>
          <w:w w:val="100"/>
          <w:position w:val="0"/>
          <w:sz w:val="22"/>
          <w:szCs w:val="22"/>
        </w:rPr>
        <w:t>86</w:t>
      </w:r>
      <w:r>
        <w:rPr>
          <w:rFonts w:ascii="SimSun" w:eastAsia="SimSun" w:hAnsi="SimSun" w:cs="SimSun"/>
          <w:color w:val="000000"/>
          <w:spacing w:val="0"/>
          <w:w w:val="100"/>
          <w:position w:val="0"/>
          <w:sz w:val="22"/>
          <w:szCs w:val="22"/>
        </w:rPr>
        <w:t>家子公司，其中二级子公司</w:t>
      </w:r>
      <w:r>
        <w:rPr>
          <w:color w:val="000000"/>
          <w:spacing w:val="0"/>
          <w:w w:val="100"/>
          <w:position w:val="0"/>
          <w:sz w:val="22"/>
          <w:szCs w:val="22"/>
        </w:rPr>
        <w:t>13</w:t>
      </w:r>
      <w:r>
        <w:rPr>
          <w:rFonts w:ascii="SimSun" w:eastAsia="SimSun" w:hAnsi="SimSun" w:cs="SimSun"/>
          <w:color w:val="000000"/>
          <w:spacing w:val="0"/>
          <w:w w:val="100"/>
          <w:position w:val="0"/>
          <w:sz w:val="22"/>
          <w:szCs w:val="22"/>
        </w:rPr>
        <w:t>户；三级子公司</w:t>
      </w:r>
      <w:r>
        <w:rPr>
          <w:color w:val="000000"/>
          <w:spacing w:val="0"/>
          <w:w w:val="100"/>
          <w:position w:val="0"/>
          <w:sz w:val="22"/>
          <w:szCs w:val="22"/>
        </w:rPr>
        <w:t>28</w:t>
      </w:r>
      <w:r>
        <w:rPr>
          <w:rFonts w:ascii="SimSun" w:eastAsia="SimSun" w:hAnsi="SimSun" w:cs="SimSun"/>
          <w:color w:val="000000"/>
          <w:spacing w:val="0"/>
          <w:w w:val="100"/>
          <w:position w:val="0"/>
          <w:sz w:val="22"/>
          <w:szCs w:val="22"/>
        </w:rPr>
        <w:t xml:space="preserve">户；四级子公司 </w:t>
      </w:r>
      <w:r>
        <w:rPr>
          <w:color w:val="000000"/>
          <w:spacing w:val="0"/>
          <w:w w:val="100"/>
          <w:position w:val="0"/>
          <w:sz w:val="22"/>
          <w:szCs w:val="22"/>
        </w:rPr>
        <w:t>33</w:t>
      </w:r>
      <w:r>
        <w:rPr>
          <w:rFonts w:ascii="SimSun" w:eastAsia="SimSun" w:hAnsi="SimSun" w:cs="SimSun"/>
          <w:color w:val="000000"/>
          <w:spacing w:val="0"/>
          <w:w w:val="100"/>
          <w:position w:val="0"/>
          <w:sz w:val="22"/>
          <w:szCs w:val="22"/>
        </w:rPr>
        <w:t>户；五级子公司</w:t>
      </w:r>
      <w:r>
        <w:rPr>
          <w:color w:val="000000"/>
          <w:spacing w:val="0"/>
          <w:w w:val="100"/>
          <w:position w:val="0"/>
          <w:sz w:val="22"/>
          <w:szCs w:val="22"/>
        </w:rPr>
        <w:t>10</w:t>
      </w:r>
      <w:r>
        <w:rPr>
          <w:rFonts w:ascii="SimSun" w:eastAsia="SimSun" w:hAnsi="SimSun" w:cs="SimSun"/>
          <w:color w:val="000000"/>
          <w:spacing w:val="0"/>
          <w:w w:val="100"/>
          <w:position w:val="0"/>
          <w:sz w:val="22"/>
          <w:szCs w:val="22"/>
        </w:rPr>
        <w:t>户；六级子公司</w:t>
      </w:r>
      <w:r>
        <w:rPr>
          <w:color w:val="000000"/>
          <w:spacing w:val="0"/>
          <w:w w:val="100"/>
          <w:position w:val="0"/>
          <w:sz w:val="22"/>
          <w:szCs w:val="22"/>
        </w:rPr>
        <w:t>2</w:t>
      </w:r>
      <w:r>
        <w:rPr>
          <w:rFonts w:ascii="SimSun" w:eastAsia="SimSun" w:hAnsi="SimSun" w:cs="SimSun"/>
          <w:color w:val="000000"/>
          <w:spacing w:val="0"/>
          <w:w w:val="100"/>
          <w:position w:val="0"/>
          <w:sz w:val="22"/>
          <w:szCs w:val="22"/>
        </w:rPr>
        <w:t>户(上年集团合并财务报表范围包括</w:t>
      </w:r>
      <w:r>
        <w:rPr>
          <w:color w:val="000000"/>
          <w:spacing w:val="0"/>
          <w:w w:val="100"/>
          <w:position w:val="0"/>
          <w:sz w:val="22"/>
          <w:szCs w:val="22"/>
        </w:rPr>
        <w:t>87</w:t>
      </w:r>
      <w:r>
        <w:rPr>
          <w:rFonts w:ascii="SimSun" w:eastAsia="SimSun" w:hAnsi="SimSun" w:cs="SimSun"/>
          <w:color w:val="000000"/>
          <w:spacing w:val="0"/>
          <w:w w:val="100"/>
          <w:position w:val="0"/>
          <w:sz w:val="22"/>
          <w:szCs w:val="22"/>
        </w:rPr>
        <w:t>家子公司)。与上年相 比，本年新设立南宁敏付科技有限公司、广西自贸区敏付科技发展有限公司、</w:t>
      </w:r>
      <w:r>
        <w:rPr>
          <w:color w:val="000000"/>
          <w:spacing w:val="0"/>
          <w:w w:val="100"/>
          <w:position w:val="0"/>
          <w:sz w:val="22"/>
          <w:szCs w:val="22"/>
        </w:rPr>
        <w:t>Shiji Technologies Ltd.</w:t>
      </w:r>
      <w:r>
        <w:rPr>
          <w:rFonts w:ascii="SimSun" w:eastAsia="SimSun" w:hAnsi="SimSun" w:cs="SimSun"/>
          <w:color w:val="000000"/>
          <w:spacing w:val="0"/>
          <w:w w:val="100"/>
          <w:position w:val="0"/>
          <w:sz w:val="22"/>
          <w:szCs w:val="22"/>
        </w:rPr>
        <w:t xml:space="preserve">、 </w:t>
      </w:r>
      <w:r>
        <w:rPr>
          <w:color w:val="000000"/>
          <w:spacing w:val="0"/>
          <w:w w:val="100"/>
          <w:position w:val="0"/>
          <w:sz w:val="22"/>
          <w:szCs w:val="22"/>
        </w:rPr>
        <w:t>ShijiMex Information Technology S.A. De C.V</w:t>
      </w:r>
      <w:r>
        <w:rPr>
          <w:rFonts w:ascii="SimSun" w:eastAsia="SimSun" w:hAnsi="SimSun" w:cs="SimSun"/>
          <w:color w:val="000000"/>
          <w:spacing w:val="0"/>
          <w:w w:val="100"/>
          <w:position w:val="0"/>
          <w:sz w:val="22"/>
          <w:szCs w:val="22"/>
        </w:rPr>
        <w:t>、</w:t>
      </w:r>
      <w:r>
        <w:rPr>
          <w:color w:val="000000"/>
          <w:spacing w:val="0"/>
          <w:w w:val="100"/>
          <w:position w:val="0"/>
          <w:sz w:val="22"/>
          <w:szCs w:val="22"/>
        </w:rPr>
        <w:t>Shiji Information Technology (Philippines) Inc</w:t>
      </w:r>
      <w:r>
        <w:rPr>
          <w:rFonts w:ascii="SimSun" w:eastAsia="SimSun" w:hAnsi="SimSun" w:cs="SimSun"/>
          <w:color w:val="000000"/>
          <w:spacing w:val="0"/>
          <w:w w:val="100"/>
          <w:position w:val="0"/>
          <w:sz w:val="22"/>
          <w:szCs w:val="22"/>
        </w:rPr>
        <w:t>共</w:t>
      </w:r>
      <w:r>
        <w:rPr>
          <w:color w:val="000000"/>
          <w:spacing w:val="0"/>
          <w:w w:val="100"/>
          <w:position w:val="0"/>
          <w:sz w:val="22"/>
          <w:szCs w:val="22"/>
        </w:rPr>
        <w:t>5</w:t>
      </w:r>
      <w:r>
        <w:rPr>
          <w:rFonts w:ascii="SimSun" w:eastAsia="SimSun" w:hAnsi="SimSun" w:cs="SimSun"/>
          <w:color w:val="000000"/>
          <w:spacing w:val="0"/>
          <w:w w:val="100"/>
          <w:position w:val="0"/>
          <w:sz w:val="22"/>
          <w:szCs w:val="22"/>
        </w:rPr>
        <w:t>家公司</w:t>
      </w:r>
      <w:r>
        <w:rPr>
          <w:rFonts w:ascii="SimSun" w:eastAsia="SimSun" w:hAnsi="SimSun" w:cs="SimSun"/>
          <w:color w:val="000000"/>
          <w:spacing w:val="0"/>
          <w:w w:val="100"/>
          <w:position w:val="0"/>
          <w:sz w:val="22"/>
          <w:szCs w:val="22"/>
        </w:rPr>
        <w:t xml:space="preserve">； </w:t>
      </w:r>
      <w:r>
        <w:rPr>
          <w:rFonts w:ascii="SimSun" w:eastAsia="SimSun" w:hAnsi="SimSun" w:cs="SimSun"/>
          <w:color w:val="000000"/>
          <w:spacing w:val="0"/>
          <w:w w:val="100"/>
          <w:position w:val="0"/>
          <w:sz w:val="22"/>
          <w:szCs w:val="22"/>
        </w:rPr>
        <w:t>本年新收购杭州西湖软件有限公司；本年较上年注销</w:t>
      </w:r>
      <w:r>
        <w:rPr>
          <w:color w:val="000000"/>
          <w:spacing w:val="0"/>
          <w:w w:val="100"/>
          <w:position w:val="0"/>
          <w:sz w:val="22"/>
          <w:szCs w:val="22"/>
        </w:rPr>
        <w:t>Straight Shots.r.o</w:t>
      </w:r>
      <w:r>
        <w:rPr>
          <w:rFonts w:ascii="SimSun" w:eastAsia="SimSun" w:hAnsi="SimSun" w:cs="SimSun"/>
          <w:color w:val="000000"/>
          <w:spacing w:val="0"/>
          <w:w w:val="100"/>
          <w:position w:val="0"/>
          <w:sz w:val="22"/>
          <w:szCs w:val="22"/>
        </w:rPr>
        <w:t>、</w:t>
      </w:r>
      <w:r>
        <w:rPr>
          <w:color w:val="000000"/>
          <w:spacing w:val="0"/>
          <w:w w:val="100"/>
          <w:position w:val="0"/>
          <w:sz w:val="22"/>
          <w:szCs w:val="22"/>
        </w:rPr>
        <w:t>Galasys Solutions (MSC) SdnBhd</w:t>
      </w:r>
      <w:r>
        <w:rPr>
          <w:rFonts w:ascii="SimSun" w:eastAsia="SimSun" w:hAnsi="SimSun" w:cs="SimSun"/>
          <w:color w:val="000000"/>
          <w:spacing w:val="0"/>
          <w:w w:val="100"/>
          <w:position w:val="0"/>
          <w:sz w:val="22"/>
          <w:szCs w:val="22"/>
        </w:rPr>
        <w:t>、</w:t>
      </w:r>
      <w:r>
        <w:rPr>
          <w:color w:val="000000"/>
          <w:spacing w:val="0"/>
          <w:w w:val="100"/>
          <w:position w:val="0"/>
          <w:sz w:val="22"/>
          <w:szCs w:val="22"/>
        </w:rPr>
        <w:t>Galasys GLTSdn Bhd</w:t>
      </w:r>
      <w:r>
        <w:rPr>
          <w:rFonts w:ascii="SimSun" w:eastAsia="SimSun" w:hAnsi="SimSun" w:cs="SimSun"/>
          <w:color w:val="000000"/>
          <w:spacing w:val="0"/>
          <w:w w:val="100"/>
          <w:position w:val="0"/>
          <w:sz w:val="22"/>
          <w:szCs w:val="22"/>
        </w:rPr>
        <w:t>、</w:t>
      </w:r>
      <w:r>
        <w:rPr>
          <w:color w:val="000000"/>
          <w:spacing w:val="0"/>
          <w:w w:val="100"/>
          <w:position w:val="0"/>
          <w:sz w:val="22"/>
          <w:szCs w:val="22"/>
        </w:rPr>
        <w:t xml:space="preserve">Galasys Solutions (UK) Limited </w:t>
      </w:r>
      <w:r>
        <w:rPr>
          <w:rFonts w:ascii="SimSun" w:eastAsia="SimSun" w:hAnsi="SimSun" w:cs="SimSun"/>
          <w:color w:val="000000"/>
          <w:spacing w:val="0"/>
          <w:w w:val="100"/>
          <w:position w:val="0"/>
          <w:sz w:val="22"/>
          <w:szCs w:val="22"/>
        </w:rPr>
        <w:t xml:space="preserve">&gt; </w:t>
      </w:r>
      <w:r>
        <w:rPr>
          <w:color w:val="000000"/>
          <w:spacing w:val="0"/>
          <w:w w:val="100"/>
          <w:position w:val="0"/>
          <w:sz w:val="22"/>
          <w:szCs w:val="22"/>
        </w:rPr>
        <w:t>I Logic Solutions Sdn Bhd</w:t>
      </w:r>
      <w:r>
        <w:rPr>
          <w:rFonts w:ascii="SimSun" w:eastAsia="SimSun" w:hAnsi="SimSun" w:cs="SimSun"/>
          <w:color w:val="000000"/>
          <w:spacing w:val="0"/>
          <w:w w:val="100"/>
          <w:position w:val="0"/>
          <w:sz w:val="22"/>
          <w:szCs w:val="22"/>
        </w:rPr>
        <w:t>、北京银科 环企软件科技有限公司共</w:t>
      </w:r>
      <w:r>
        <w:rPr>
          <w:color w:val="000000"/>
          <w:spacing w:val="0"/>
          <w:w w:val="100"/>
          <w:position w:val="0"/>
          <w:sz w:val="22"/>
          <w:szCs w:val="22"/>
        </w:rPr>
        <w:t>6</w:t>
      </w:r>
      <w:r>
        <w:rPr>
          <w:rFonts w:ascii="SimSun" w:eastAsia="SimSun" w:hAnsi="SimSun" w:cs="SimSun"/>
          <w:color w:val="000000"/>
          <w:spacing w:val="0"/>
          <w:w w:val="100"/>
          <w:position w:val="0"/>
          <w:sz w:val="22"/>
          <w:szCs w:val="22"/>
        </w:rPr>
        <w:t>家公司；本年较上期，处置子公司</w:t>
      </w:r>
      <w:r>
        <w:rPr>
          <w:color w:val="000000"/>
          <w:spacing w:val="0"/>
          <w:w w:val="100"/>
          <w:position w:val="0"/>
          <w:sz w:val="22"/>
          <w:szCs w:val="22"/>
        </w:rPr>
        <w:t>StayNTouch100%</w:t>
      </w:r>
      <w:r>
        <w:rPr>
          <w:rFonts w:ascii="SimSun" w:eastAsia="SimSun" w:hAnsi="SimSun" w:cs="SimSun"/>
          <w:color w:val="000000"/>
          <w:spacing w:val="0"/>
          <w:w w:val="100"/>
          <w:position w:val="0"/>
          <w:sz w:val="22"/>
          <w:szCs w:val="22"/>
        </w:rPr>
        <w:t>股权。</w:t>
      </w:r>
    </w:p>
    <w:p>
      <w:pPr>
        <w:pStyle w:val="Style35"/>
        <w:keepNext w:val="0"/>
        <w:keepLines w:val="0"/>
        <w:widowControl w:val="0"/>
        <w:shd w:val="clear" w:color="auto" w:fill="auto"/>
        <w:bidi w:val="0"/>
        <w:spacing w:before="0" w:after="660" w:line="240" w:lineRule="auto"/>
        <w:ind w:left="0" w:right="0" w:firstLine="460"/>
        <w:jc w:val="both"/>
        <w:rPr>
          <w:sz w:val="22"/>
          <w:szCs w:val="22"/>
        </w:rPr>
      </w:pPr>
      <w:r>
        <w:rPr>
          <w:color w:val="000000"/>
          <w:spacing w:val="0"/>
          <w:w w:val="100"/>
          <w:position w:val="0"/>
          <w:sz w:val="22"/>
          <w:szCs w:val="22"/>
        </w:rPr>
        <w:t>详见本报告第十二节财务报告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八、合并范围的变化</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九、在其他主体中的权益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相关内容。</w:t>
      </w:r>
    </w:p>
    <w:p>
      <w:pPr>
        <w:pStyle w:val="Style24"/>
        <w:keepNext/>
        <w:keepLines/>
        <w:widowControl w:val="0"/>
        <w:shd w:val="clear" w:color="auto" w:fill="auto"/>
        <w:bidi w:val="0"/>
        <w:spacing w:before="0" w:after="280" w:line="240" w:lineRule="auto"/>
        <w:ind w:left="0" w:right="0" w:firstLine="0"/>
        <w:jc w:val="both"/>
      </w:pPr>
      <w:bookmarkStart w:id="924" w:name="bookmark924"/>
      <w:bookmarkStart w:id="925" w:name="bookmark925"/>
      <w:bookmarkStart w:id="926" w:name="bookmark926"/>
      <w:bookmarkStart w:id="927" w:name="bookmark927"/>
      <w:r>
        <w:rPr>
          <w:color w:val="000000"/>
          <w:spacing w:val="0"/>
          <w:w w:val="100"/>
          <w:position w:val="0"/>
        </w:rPr>
        <w:t>四</w:t>
      </w:r>
      <w:bookmarkEnd w:id="926"/>
      <w:r>
        <w:rPr>
          <w:color w:val="000000"/>
          <w:spacing w:val="0"/>
          <w:w w:val="100"/>
          <w:position w:val="0"/>
        </w:rPr>
        <w:t>、财务报表的编制基础</w:t>
      </w:r>
      <w:bookmarkEnd w:id="924"/>
      <w:bookmarkEnd w:id="925"/>
      <w:bookmarkEnd w:id="927"/>
    </w:p>
    <w:p>
      <w:pPr>
        <w:pStyle w:val="Style32"/>
        <w:keepNext/>
        <w:keepLines/>
        <w:widowControl w:val="0"/>
        <w:shd w:val="clear" w:color="auto" w:fill="auto"/>
        <w:bidi w:val="0"/>
        <w:spacing w:before="0" w:after="280" w:line="312" w:lineRule="exact"/>
        <w:ind w:left="0" w:right="0" w:firstLine="0"/>
        <w:jc w:val="both"/>
      </w:pPr>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928"/>
      <w:bookmarkEnd w:id="929"/>
      <w:bookmarkEnd w:id="930"/>
    </w:p>
    <w:p>
      <w:pPr>
        <w:pStyle w:val="Style35"/>
        <w:keepNext w:val="0"/>
        <w:keepLines w:val="0"/>
        <w:widowControl w:val="0"/>
        <w:shd w:val="clear" w:color="auto" w:fill="auto"/>
        <w:bidi w:val="0"/>
        <w:spacing w:before="0" w:after="600" w:line="312" w:lineRule="exact"/>
        <w:ind w:left="0" w:right="0" w:firstLine="460"/>
        <w:jc w:val="both"/>
        <w:rPr>
          <w:sz w:val="22"/>
          <w:szCs w:val="22"/>
        </w:rPr>
      </w:pPr>
      <w:r>
        <w:rPr>
          <w:color w:val="000000"/>
          <w:spacing w:val="0"/>
          <w:w w:val="100"/>
          <w:position w:val="0"/>
          <w:sz w:val="22"/>
          <w:szCs w:val="22"/>
        </w:rPr>
        <w:t>本集团财务报表以持续经营为基础，根据实际发生的交易和事项，按照财政部颁布的《企业会计 准则》及相关规定，并基于本附注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四、重要会计政策及会计估计</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所述会计政策和会计估计编制。</w:t>
      </w:r>
    </w:p>
    <w:p>
      <w:pPr>
        <w:pStyle w:val="Style32"/>
        <w:keepNext/>
        <w:keepLines/>
        <w:widowControl w:val="0"/>
        <w:shd w:val="clear" w:color="auto" w:fill="auto"/>
        <w:bidi w:val="0"/>
        <w:spacing w:before="0" w:after="280" w:line="317" w:lineRule="exact"/>
        <w:ind w:left="0" w:right="0" w:firstLine="0"/>
        <w:jc w:val="left"/>
      </w:pPr>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931"/>
      <w:bookmarkEnd w:id="932"/>
      <w:bookmarkEnd w:id="933"/>
    </w:p>
    <w:p>
      <w:pPr>
        <w:pStyle w:val="Style35"/>
        <w:keepNext w:val="0"/>
        <w:keepLines w:val="0"/>
        <w:widowControl w:val="0"/>
        <w:shd w:val="clear" w:color="auto" w:fill="auto"/>
        <w:bidi w:val="0"/>
        <w:spacing w:before="0" w:after="600" w:line="317" w:lineRule="exact"/>
        <w:ind w:left="0" w:right="0" w:firstLine="460"/>
        <w:jc w:val="both"/>
        <w:rPr>
          <w:sz w:val="22"/>
          <w:szCs w:val="22"/>
        </w:rPr>
      </w:pPr>
      <w:r>
        <w:rPr>
          <w:color w:val="000000"/>
          <w:spacing w:val="0"/>
          <w:w w:val="100"/>
          <w:position w:val="0"/>
          <w:sz w:val="22"/>
          <w:szCs w:val="22"/>
        </w:rPr>
        <w:t>本集团有近期获利经营的历史且有财务资源支持，不存在可能导致对本集团自报表期末起</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 内的持续经营能力产生重大疑虑的事项或情况，认为以持续经营为基础编制财务报表是合理的。</w:t>
      </w:r>
    </w:p>
    <w:p>
      <w:pPr>
        <w:pStyle w:val="Style24"/>
        <w:keepNext/>
        <w:keepLines/>
        <w:widowControl w:val="0"/>
        <w:shd w:val="clear" w:color="auto" w:fill="auto"/>
        <w:bidi w:val="0"/>
        <w:spacing w:before="0" w:after="360" w:line="320" w:lineRule="exact"/>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五</w:t>
      </w:r>
      <w:bookmarkEnd w:id="936"/>
      <w:r>
        <w:rPr>
          <w:color w:val="000000"/>
          <w:spacing w:val="0"/>
          <w:w w:val="100"/>
          <w:position w:val="0"/>
        </w:rPr>
        <w:t>、重要会计政策及会计估计</w:t>
      </w:r>
      <w:bookmarkEnd w:id="934"/>
      <w:bookmarkEnd w:id="935"/>
      <w:bookmarkEnd w:id="937"/>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360" w:line="320" w:lineRule="exact"/>
        <w:ind w:left="0" w:right="0" w:firstLine="0"/>
        <w:jc w:val="left"/>
        <w:rPr>
          <w:sz w:val="22"/>
          <w:szCs w:val="22"/>
        </w:rPr>
      </w:pPr>
      <w:r>
        <w:rPr>
          <w:color w:val="000000"/>
          <w:spacing w:val="0"/>
          <w:w w:val="100"/>
          <w:position w:val="0"/>
          <w:sz w:val="22"/>
          <w:szCs w:val="22"/>
        </w:rPr>
        <w:t>本集团公司根据财政部</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日发布的《企业会计准则第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收入》(财会</w:t>
      </w:r>
      <w:r>
        <w:rPr>
          <w:rFonts w:ascii="Times New Roman" w:eastAsia="Times New Roman" w:hAnsi="Times New Roman" w:cs="Times New Roman"/>
          <w:color w:val="000000"/>
          <w:spacing w:val="0"/>
          <w:w w:val="100"/>
          <w:position w:val="0"/>
          <w:sz w:val="22"/>
          <w:szCs w:val="22"/>
        </w:rPr>
        <w:t>[2017]22</w:t>
      </w:r>
      <w:r>
        <w:rPr>
          <w:color w:val="000000"/>
          <w:spacing w:val="0"/>
          <w:w w:val="100"/>
          <w:position w:val="0"/>
          <w:sz w:val="22"/>
          <w:szCs w:val="22"/>
        </w:rPr>
        <w:t>号)要 求自</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日起施行新收入准则。根据新旧准则转换的衔接规定，公司自</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日执行新 收入准则，无需重述前期可比数据，但应当对首次执行该准则的累积影响数调整期初留存收益及财务 报表其他相关项目金额。</w:t>
      </w:r>
    </w:p>
    <w:p>
      <w:pPr>
        <w:pStyle w:val="Style32"/>
        <w:keepNext/>
        <w:keepLines/>
        <w:widowControl w:val="0"/>
        <w:shd w:val="clear" w:color="auto" w:fill="auto"/>
        <w:bidi w:val="0"/>
        <w:spacing w:before="0" w:after="280" w:line="240" w:lineRule="auto"/>
        <w:ind w:left="0" w:right="0" w:firstLine="0"/>
        <w:jc w:val="left"/>
      </w:pPr>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938"/>
      <w:bookmarkEnd w:id="939"/>
      <w:bookmarkEnd w:id="940"/>
    </w:p>
    <w:p>
      <w:pPr>
        <w:pStyle w:val="Style35"/>
        <w:keepNext w:val="0"/>
        <w:keepLines w:val="0"/>
        <w:widowControl w:val="0"/>
        <w:shd w:val="clear" w:color="auto" w:fill="auto"/>
        <w:bidi w:val="0"/>
        <w:spacing w:before="0" w:after="660" w:line="312" w:lineRule="exact"/>
        <w:ind w:left="0" w:right="0" w:firstLine="460"/>
        <w:jc w:val="both"/>
        <w:rPr>
          <w:sz w:val="22"/>
          <w:szCs w:val="22"/>
        </w:rPr>
      </w:pPr>
      <w:r>
        <w:rPr>
          <w:color w:val="000000"/>
          <w:spacing w:val="0"/>
          <w:w w:val="100"/>
          <w:position w:val="0"/>
          <w:sz w:val="22"/>
          <w:szCs w:val="22"/>
        </w:rPr>
        <w:t>本公司编制的财务报表符合企业会计准则的要求，真实、完整地反映了本公司及本集团的财务状 况、经营成果和现金流量等有关信息。</w:t>
      </w:r>
    </w:p>
    <w:p>
      <w:pPr>
        <w:pStyle w:val="Style32"/>
        <w:keepNext/>
        <w:keepLines/>
        <w:widowControl w:val="0"/>
        <w:shd w:val="clear" w:color="auto" w:fill="auto"/>
        <w:bidi w:val="0"/>
        <w:spacing w:before="0" w:after="360" w:line="240" w:lineRule="auto"/>
        <w:ind w:left="0" w:right="0" w:firstLine="0"/>
        <w:jc w:val="left"/>
      </w:pPr>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r>
        <w:rPr>
          <w:color w:val="000000"/>
          <w:spacing w:val="0"/>
          <w:w w:val="100"/>
          <w:position w:val="0"/>
        </w:rPr>
        <w:t>、会计期间</w:t>
      </w:r>
      <w:bookmarkEnd w:id="941"/>
      <w:bookmarkEnd w:id="942"/>
      <w:bookmarkEnd w:id="943"/>
    </w:p>
    <w:p>
      <w:pPr>
        <w:pStyle w:val="Style35"/>
        <w:keepNext w:val="0"/>
        <w:keepLines w:val="0"/>
        <w:widowControl w:val="0"/>
        <w:shd w:val="clear" w:color="auto" w:fill="auto"/>
        <w:bidi w:val="0"/>
        <w:spacing w:before="0" w:after="360" w:line="240" w:lineRule="auto"/>
        <w:ind w:left="0" w:right="0" w:firstLine="460"/>
        <w:jc w:val="both"/>
        <w:rPr>
          <w:sz w:val="22"/>
          <w:szCs w:val="22"/>
        </w:rPr>
      </w:pPr>
      <w:r>
        <w:rPr>
          <w:color w:val="000000"/>
          <w:spacing w:val="0"/>
          <w:w w:val="100"/>
          <w:position w:val="0"/>
          <w:sz w:val="22"/>
          <w:szCs w:val="22"/>
        </w:rPr>
        <w:t>本集团的会计期间为公历</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w:t>
      </w:r>
    </w:p>
    <w:p>
      <w:pPr>
        <w:pStyle w:val="Style32"/>
        <w:keepNext/>
        <w:keepLines/>
        <w:widowControl w:val="0"/>
        <w:shd w:val="clear" w:color="auto" w:fill="auto"/>
        <w:tabs>
          <w:tab w:pos="335" w:val="left"/>
        </w:tabs>
        <w:bidi w:val="0"/>
        <w:spacing w:before="0" w:after="300" w:line="312" w:lineRule="exact"/>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color w:val="000000"/>
          <w:spacing w:val="0"/>
          <w:w w:val="100"/>
          <w:position w:val="0"/>
        </w:rPr>
        <w:t>、</w:t>
        <w:tab/>
        <w:t>营业周期</w:t>
      </w:r>
      <w:bookmarkEnd w:id="944"/>
      <w:bookmarkEnd w:id="945"/>
      <w:bookmarkEnd w:id="947"/>
    </w:p>
    <w:p>
      <w:pPr>
        <w:pStyle w:val="Style35"/>
        <w:keepNext w:val="0"/>
        <w:keepLines w:val="0"/>
        <w:widowControl w:val="0"/>
        <w:shd w:val="clear" w:color="auto" w:fill="auto"/>
        <w:bidi w:val="0"/>
        <w:spacing w:before="0" w:after="300" w:line="312" w:lineRule="exact"/>
        <w:ind w:left="0" w:right="0" w:firstLine="440"/>
        <w:jc w:val="both"/>
        <w:rPr>
          <w:sz w:val="22"/>
          <w:szCs w:val="22"/>
        </w:rPr>
      </w:pPr>
      <w:r>
        <w:rPr>
          <w:color w:val="000000"/>
          <w:spacing w:val="0"/>
          <w:w w:val="100"/>
          <w:position w:val="0"/>
          <w:sz w:val="22"/>
          <w:szCs w:val="22"/>
        </w:rPr>
        <w:t>本集团的营业周期为</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w:t>
      </w:r>
    </w:p>
    <w:p>
      <w:pPr>
        <w:pStyle w:val="Style32"/>
        <w:keepNext/>
        <w:keepLines/>
        <w:widowControl w:val="0"/>
        <w:shd w:val="clear" w:color="auto" w:fill="auto"/>
        <w:tabs>
          <w:tab w:pos="335" w:val="left"/>
        </w:tabs>
        <w:bidi w:val="0"/>
        <w:spacing w:before="0" w:after="300" w:line="312" w:lineRule="exact"/>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4</w:t>
      </w:r>
      <w:bookmarkEnd w:id="950"/>
      <w:r>
        <w:rPr>
          <w:color w:val="000000"/>
          <w:spacing w:val="0"/>
          <w:w w:val="100"/>
          <w:position w:val="0"/>
        </w:rPr>
        <w:t>、</w:t>
        <w:tab/>
        <w:t>记账本位币</w:t>
      </w:r>
      <w:bookmarkEnd w:id="948"/>
      <w:bookmarkEnd w:id="949"/>
      <w:bookmarkEnd w:id="951"/>
    </w:p>
    <w:p>
      <w:pPr>
        <w:pStyle w:val="Style35"/>
        <w:keepNext w:val="0"/>
        <w:keepLines w:val="0"/>
        <w:widowControl w:val="0"/>
        <w:shd w:val="clear" w:color="auto" w:fill="auto"/>
        <w:bidi w:val="0"/>
        <w:spacing w:before="0" w:after="300" w:line="312" w:lineRule="exact"/>
        <w:ind w:left="0" w:right="0" w:firstLine="440"/>
        <w:jc w:val="both"/>
        <w:rPr>
          <w:sz w:val="22"/>
          <w:szCs w:val="22"/>
        </w:rPr>
      </w:pPr>
      <w:r>
        <w:rPr>
          <w:color w:val="000000"/>
          <w:spacing w:val="0"/>
          <w:w w:val="100"/>
          <w:position w:val="0"/>
          <w:sz w:val="22"/>
          <w:szCs w:val="22"/>
        </w:rPr>
        <w:t>本集团以人民币为记账本位币。</w:t>
      </w:r>
    </w:p>
    <w:p>
      <w:pPr>
        <w:pStyle w:val="Style32"/>
        <w:keepNext/>
        <w:keepLines/>
        <w:widowControl w:val="0"/>
        <w:shd w:val="clear" w:color="auto" w:fill="auto"/>
        <w:tabs>
          <w:tab w:pos="335" w:val="left"/>
        </w:tabs>
        <w:bidi w:val="0"/>
        <w:spacing w:before="0" w:after="300" w:line="312" w:lineRule="exact"/>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5</w:t>
      </w:r>
      <w:bookmarkEnd w:id="954"/>
      <w:r>
        <w:rPr>
          <w:color w:val="000000"/>
          <w:spacing w:val="0"/>
          <w:w w:val="100"/>
          <w:position w:val="0"/>
        </w:rPr>
        <w:t>、</w:t>
        <w:tab/>
        <w:t>同一控制下和非同一控制下企业合并的会计处理方法</w:t>
      </w:r>
      <w:bookmarkEnd w:id="952"/>
      <w:bookmarkEnd w:id="953"/>
      <w:bookmarkEnd w:id="955"/>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本集团作为合并方，在同一控制下企业合并中取得的资产和负债，在合并日按被合并方在最终控 制方合并报表中的账面价值计量。取得的净资产账面价值与支付的合并对价账面价值的差额，调整资 本公积；资本公积不足冲减的，调整留存收益。</w:t>
      </w:r>
    </w:p>
    <w:p>
      <w:pPr>
        <w:pStyle w:val="Style35"/>
        <w:keepNext w:val="0"/>
        <w:keepLines w:val="0"/>
        <w:widowControl w:val="0"/>
        <w:shd w:val="clear" w:color="auto" w:fill="auto"/>
        <w:bidi w:val="0"/>
        <w:spacing w:before="0" w:after="600" w:line="312" w:lineRule="exact"/>
        <w:ind w:left="0" w:right="0" w:firstLine="460"/>
        <w:jc w:val="both"/>
        <w:rPr>
          <w:sz w:val="22"/>
          <w:szCs w:val="22"/>
        </w:rPr>
      </w:pPr>
      <w:r>
        <w:rPr>
          <w:color w:val="000000"/>
          <w:spacing w:val="0"/>
          <w:w w:val="100"/>
          <w:position w:val="0"/>
          <w:sz w:val="22"/>
          <w:szCs w:val="22"/>
        </w:rPr>
        <w:t>在非同一控制下企业合并中取得的被购买方可辨认资产、负债及或有负债在收购日以公允价值计 量。合并成本为本集团在购买日为取得对被购买方的控制权而支付的现金或非现金资产、发行或承担 的负债、发行的权益性证券等的公允价值以及在企业合并中发生的各项直接相关费用之和（通过多次 交易分步实现的企业合并，其合并成本为每一单项交易的成本之和）。合并成本大于合并中取得的被 购买方可辨认净资产公允价值份额的差额，确认为商誉；合并成本小于合并中取得的被购买方可辨认 净资产公允价值份额的，首先对合并中取得的各项可辨认资产、负债及或有负债的公允价值、以及合 并对价的非现金资产或发行的权益性证券等的公允价值进行复核，经复核后，合并成本仍小于合并中 取得的被购买方可辨认净资产公允价值份额的，将其差额计入合并当期营业外收入。</w:t>
      </w:r>
    </w:p>
    <w:p>
      <w:pPr>
        <w:pStyle w:val="Style32"/>
        <w:keepNext/>
        <w:keepLines/>
        <w:widowControl w:val="0"/>
        <w:shd w:val="clear" w:color="auto" w:fill="auto"/>
        <w:bidi w:val="0"/>
        <w:spacing w:before="0" w:after="300" w:line="313" w:lineRule="exact"/>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6</w:t>
      </w:r>
      <w:bookmarkEnd w:id="958"/>
      <w:r>
        <w:rPr>
          <w:color w:val="000000"/>
          <w:spacing w:val="0"/>
          <w:w w:val="100"/>
          <w:position w:val="0"/>
        </w:rPr>
        <w:t>、合并财务报表的编制方法</w:t>
      </w:r>
      <w:bookmarkEnd w:id="956"/>
      <w:bookmarkEnd w:id="957"/>
      <w:bookmarkEnd w:id="959"/>
    </w:p>
    <w:p>
      <w:pPr>
        <w:pStyle w:val="Style35"/>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本集团将所有控制的子公司及结构化主体纳入合并财务报表范围。</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在编制合并财务报表时，子公司与本公司采用的会计政策或会计期间不一致的，按照本公司的会 计政策或会计期间对子公司财务报表进行必要的调整。</w:t>
      </w:r>
    </w:p>
    <w:p>
      <w:pPr>
        <w:pStyle w:val="Style35"/>
        <w:keepNext w:val="0"/>
        <w:keepLines w:val="0"/>
        <w:widowControl w:val="0"/>
        <w:shd w:val="clear" w:color="auto" w:fill="auto"/>
        <w:bidi w:val="0"/>
        <w:spacing w:before="0" w:after="220" w:line="315" w:lineRule="exact"/>
        <w:ind w:left="0" w:right="0" w:firstLine="460"/>
        <w:jc w:val="both"/>
        <w:rPr>
          <w:sz w:val="22"/>
          <w:szCs w:val="22"/>
        </w:rPr>
      </w:pPr>
      <w:r>
        <w:rPr>
          <w:color w:val="000000"/>
          <w:spacing w:val="0"/>
          <w:w w:val="100"/>
          <w:position w:val="0"/>
          <w:sz w:val="22"/>
          <w:szCs w:val="22"/>
        </w:rPr>
        <w:t>合并范围内的所有重大内部交易、往来余额及未实现利润在合并报表编制时予以抵销。子公司的 所有者权益中不属于母公司的份额以及当期净损益、其他综合收益及综合收益总额中属于少数股东权 益的份额，分别在合并财务报表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少数股东权益、少数股东损益、归属于少数股东的其他综合收益及 归属于少数股东的综合收益总额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项目列示。</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对于同一控制下企业合并取得的子公司，其经营成果和现金流量自合并当期期初纳入合并财务报 表。编制比较合并财务报表时，对上年财务报表的相关项目进行调整，视同合并后形成的报告主体自 最终控制方开始控制时点起一直存在。</w:t>
      </w:r>
    </w:p>
    <w:p>
      <w:pPr>
        <w:pStyle w:val="Style35"/>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 xml:space="preserve">通过多次交易分步取得同一控制下被投资单位的股权，最终形成企业合并，编制合并报表时，视 同在最终控制方开始控制时即以目前的状态存在进行调整，在编制比较报表时，以不早于本集团和被 合并方同处于最终控制方的控制之下的时点为限，将被合并方的有关资产、负债并入本集团合并财务 报表的比较报表中，并将合并而增加的净资产在比较报表中调整所有者权益项下的相关项目。为避免 对被合并方净资产的价值进行重复计算，本集团在达到合并之前持有的长期股权投资，在取得原股权 之日与本集团和被合并方处于同一方最终控制之日孰晚日起至合并日之间已确认有关损益、其他综合 </w:t>
      </w:r>
      <w:r>
        <w:rPr>
          <w:color w:val="000000"/>
          <w:spacing w:val="0"/>
          <w:w w:val="100"/>
          <w:position w:val="0"/>
          <w:sz w:val="22"/>
          <w:szCs w:val="22"/>
        </w:rPr>
        <w:t>收益和其他净资产变动，应分别冲减比较报表期间的期初留存收益和当期损益。</w:t>
      </w:r>
    </w:p>
    <w:p>
      <w:pPr>
        <w:pStyle w:val="Style35"/>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对于非同一控制下企业合并取得子公司，经营成果和现金流量自本集团取得控制权之日起纳入合 并财务报表。在编制合并财务报表时，以购买日确定的各项可辨认资产、负债及或有负债的公允价值 为基础对子公司的财务报表进行调整。</w:t>
      </w:r>
    </w:p>
    <w:p>
      <w:pPr>
        <w:pStyle w:val="Style35"/>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通过多次交易分步取得非同一控制下被投资单位的股权，最终形成企业合并，编制合并报表时， 对于购买日之前持有的被购买方的股权，按照该股权在购买日的公允价值进行重新计量，公允价值与 其账面价值的差额计入当期投资收益；与其相关的购买日之前持有的被购买方的股权涉及权益法核算 下的其他综合收益以及除净损益、其他综合收益和利润分配外的其他所有者权益变动，在购买日所属 当期转为投资损益，由于被投资方重新计量设定受益计划净负债或净资产变动而产生的其他综合收益 除外。</w:t>
      </w:r>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本集团在不丧失控制权的情况下部分处置对子公司的长期股权投资，在合并财务报表中，处置价 款与处置长期股权投资相对应享有子公司自购买日或合并日开始持续计算的净资产份额之间的差额， 调整资本溢价或股本溢价，资本公积不足冲减的，调整留存收益。</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本集团因处置部分股权投资等原因丧失了对被投资方的控制权的，在编制合并财务报表时，对于 剩余股权，按照其在丧失控制权日的公允价值进行重新计量。处置股权取得的对价与剩余股权公允价 值之和，减去按原持股比例计算应享有原有子公司自购买日或合并日开始持续计算的净资产的份额之 间的差额，计入丧失控制权当期的投资损益，同时冲减商誉。与原有子公司股权投资相关的其他综合 收益等，在丧失控制权时转为当期投资损益。</w:t>
      </w:r>
    </w:p>
    <w:p>
      <w:pPr>
        <w:pStyle w:val="Style35"/>
        <w:keepNext w:val="0"/>
        <w:keepLines w:val="0"/>
        <w:widowControl w:val="0"/>
        <w:shd w:val="clear" w:color="auto" w:fill="auto"/>
        <w:bidi w:val="0"/>
        <w:spacing w:before="0" w:after="620" w:line="313" w:lineRule="exact"/>
        <w:ind w:left="0" w:right="0" w:firstLine="460"/>
        <w:jc w:val="both"/>
        <w:rPr>
          <w:sz w:val="22"/>
          <w:szCs w:val="22"/>
        </w:rPr>
      </w:pPr>
      <w:r>
        <w:rPr>
          <w:color w:val="000000"/>
          <w:spacing w:val="0"/>
          <w:w w:val="100"/>
          <w:position w:val="0"/>
          <w:sz w:val="22"/>
          <w:szCs w:val="22"/>
        </w:rPr>
        <w:t>本集团通过多次交易分步处置对子公司股权投资直至丧失控制权的，如果处置对子公司股权投资 直至丧失控制权的各项交易属于一揽子交易的，应当将各项交易作为一项处置子公司并丧失控制权的 交易进行会计处理；但是，在丧失控制权之前每一次处置价款与处置投资对应的享有该子公司净资产 份额的差额，在合并财务报表中确认为其他综合收益，在丧失控制权时一并转入丧失控制权当期的投 资损益。</w:t>
      </w:r>
    </w:p>
    <w:p>
      <w:pPr>
        <w:pStyle w:val="Style32"/>
        <w:keepNext/>
        <w:keepLines/>
        <w:widowControl w:val="0"/>
        <w:shd w:val="clear" w:color="auto" w:fill="auto"/>
        <w:bidi w:val="0"/>
        <w:spacing w:before="0" w:after="300" w:line="298" w:lineRule="exact"/>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7</w:t>
      </w:r>
      <w:bookmarkEnd w:id="962"/>
      <w:r>
        <w:rPr>
          <w:color w:val="000000"/>
          <w:spacing w:val="0"/>
          <w:w w:val="100"/>
          <w:position w:val="0"/>
        </w:rPr>
        <w:t>、现金及现金等价物的确定标准</w:t>
      </w:r>
      <w:bookmarkEnd w:id="960"/>
      <w:bookmarkEnd w:id="961"/>
      <w:bookmarkEnd w:id="963"/>
    </w:p>
    <w:p>
      <w:pPr>
        <w:pStyle w:val="Style35"/>
        <w:keepNext w:val="0"/>
        <w:keepLines w:val="0"/>
        <w:widowControl w:val="0"/>
        <w:shd w:val="clear" w:color="auto" w:fill="auto"/>
        <w:bidi w:val="0"/>
        <w:spacing w:before="0" w:after="680" w:line="298" w:lineRule="exact"/>
        <w:ind w:left="0" w:right="0" w:firstLine="460"/>
        <w:jc w:val="both"/>
        <w:rPr>
          <w:sz w:val="22"/>
          <w:szCs w:val="22"/>
        </w:rPr>
      </w:pPr>
      <w:r>
        <w:rPr>
          <w:color w:val="000000"/>
          <w:spacing w:val="0"/>
          <w:w w:val="100"/>
          <w:position w:val="0"/>
          <w:sz w:val="22"/>
          <w:szCs w:val="22"/>
        </w:rPr>
        <w:t>本集团现金流量表之现金指库存现金以及可以随时用于支付的存款。现金流量表之现金等价物指 持有期限不超过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个月、流动性强、易于转换为已知金额现金且价值变动风险很小的投资。</w:t>
      </w:r>
    </w:p>
    <w:p>
      <w:pPr>
        <w:pStyle w:val="Style32"/>
        <w:keepNext/>
        <w:keepLines/>
        <w:widowControl w:val="0"/>
        <w:shd w:val="clear" w:color="auto" w:fill="auto"/>
        <w:bidi w:val="0"/>
        <w:spacing w:before="0" w:after="860" w:line="240"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8</w:t>
      </w:r>
      <w:bookmarkEnd w:id="966"/>
      <w:r>
        <w:rPr>
          <w:color w:val="000000"/>
          <w:spacing w:val="0"/>
          <w:w w:val="100"/>
          <w:position w:val="0"/>
        </w:rPr>
        <w:t>、外币业务和外币报表折算</w:t>
      </w:r>
      <w:bookmarkEnd w:id="964"/>
      <w:bookmarkEnd w:id="965"/>
      <w:bookmarkEnd w:id="967"/>
    </w:p>
    <w:p>
      <w:pPr>
        <w:pStyle w:val="Style35"/>
        <w:keepNext w:val="0"/>
        <w:keepLines w:val="0"/>
        <w:widowControl w:val="0"/>
        <w:shd w:val="clear" w:color="auto" w:fill="auto"/>
        <w:bidi w:val="0"/>
        <w:spacing w:before="0" w:after="220" w:line="310" w:lineRule="exact"/>
        <w:ind w:left="0" w:right="0" w:firstLine="0"/>
        <w:jc w:val="both"/>
        <w:rPr>
          <w:sz w:val="22"/>
          <w:szCs w:val="22"/>
        </w:rPr>
      </w:pPr>
      <w:bookmarkStart w:id="968" w:name="bookmark968"/>
      <w:r>
        <w:rPr>
          <w:color w:val="000000"/>
          <w:spacing w:val="0"/>
          <w:w w:val="100"/>
          <w:position w:val="0"/>
          <w:sz w:val="22"/>
          <w:szCs w:val="22"/>
        </w:rPr>
        <w:t>（</w:t>
      </w:r>
      <w:bookmarkEnd w:id="968"/>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）外币交易</w:t>
      </w:r>
    </w:p>
    <w:p>
      <w:pPr>
        <w:pStyle w:val="Style35"/>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本集团外币交易按交易发生日的即期汇率将外币金额折算为人民币金额。于资产负债表日，外币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w:t>
      </w:r>
    </w:p>
    <w:p>
      <w:pPr>
        <w:pStyle w:val="Style35"/>
        <w:keepNext w:val="0"/>
        <w:keepLines w:val="0"/>
        <w:widowControl w:val="0"/>
        <w:shd w:val="clear" w:color="auto" w:fill="auto"/>
        <w:bidi w:val="0"/>
        <w:spacing w:before="0" w:after="240" w:line="312" w:lineRule="exact"/>
        <w:ind w:left="0" w:right="0" w:firstLine="460"/>
        <w:jc w:val="both"/>
        <w:rPr>
          <w:sz w:val="22"/>
          <w:szCs w:val="22"/>
        </w:rPr>
      </w:pPr>
      <w:bookmarkStart w:id="969" w:name="bookmark969"/>
      <w:r>
        <w:rPr>
          <w:color w:val="000000"/>
          <w:spacing w:val="0"/>
          <w:w w:val="100"/>
          <w:position w:val="0"/>
          <w:sz w:val="22"/>
          <w:szCs w:val="22"/>
        </w:rPr>
        <w:t>（</w:t>
      </w:r>
      <w:bookmarkEnd w:id="969"/>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）外币财务报表的折算</w:t>
      </w:r>
    </w:p>
    <w:p>
      <w:pPr>
        <w:pStyle w:val="Style35"/>
        <w:keepNext w:val="0"/>
        <w:keepLines w:val="0"/>
        <w:widowControl w:val="0"/>
        <w:shd w:val="clear" w:color="auto" w:fill="auto"/>
        <w:bidi w:val="0"/>
        <w:spacing w:before="0" w:after="300" w:line="310" w:lineRule="exact"/>
        <w:ind w:left="0" w:right="0" w:firstLine="460"/>
        <w:jc w:val="both"/>
        <w:rPr>
          <w:sz w:val="22"/>
          <w:szCs w:val="22"/>
        </w:rPr>
      </w:pPr>
      <w:r>
        <w:rPr>
          <w:color w:val="000000"/>
          <w:spacing w:val="0"/>
          <w:w w:val="100"/>
          <w:position w:val="0"/>
          <w:sz w:val="22"/>
          <w:szCs w:val="22"/>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未 分配利润</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外，均按业务发生时的即期汇率折算；利润表中的收入与费用项目，采用交易发生日的即 期汇率折算。上述折算产生的外币报表折算差额，在其他综合收益项目中列示。外币现金流量采用现 金流量发生日的即期汇率折算。汇率变动对现金的影响额，在现金流量表中单独列示。</w:t>
      </w:r>
    </w:p>
    <w:p>
      <w:pPr>
        <w:pStyle w:val="Style32"/>
        <w:keepNext/>
        <w:keepLines/>
        <w:widowControl w:val="0"/>
        <w:shd w:val="clear" w:color="auto" w:fill="auto"/>
        <w:bidi w:val="0"/>
        <w:spacing w:before="0" w:after="300" w:line="312" w:lineRule="exact"/>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9</w:t>
      </w:r>
      <w:bookmarkEnd w:id="972"/>
      <w:r>
        <w:rPr>
          <w:color w:val="000000"/>
          <w:spacing w:val="0"/>
          <w:w w:val="100"/>
          <w:position w:val="0"/>
        </w:rPr>
        <w:t>、金融工具</w:t>
      </w:r>
      <w:bookmarkEnd w:id="970"/>
      <w:bookmarkEnd w:id="971"/>
      <w:bookmarkEnd w:id="973"/>
    </w:p>
    <w:p>
      <w:pPr>
        <w:pStyle w:val="Style35"/>
        <w:keepNext w:val="0"/>
        <w:keepLines w:val="0"/>
        <w:widowControl w:val="0"/>
        <w:shd w:val="clear" w:color="auto" w:fill="auto"/>
        <w:bidi w:val="0"/>
        <w:spacing w:before="0" w:after="240" w:line="312" w:lineRule="exact"/>
        <w:ind w:left="0" w:right="0" w:firstLine="460"/>
        <w:jc w:val="left"/>
        <w:rPr>
          <w:sz w:val="22"/>
          <w:szCs w:val="22"/>
        </w:rPr>
      </w:pPr>
      <w:r>
        <w:rPr>
          <w:color w:val="000000"/>
          <w:spacing w:val="0"/>
          <w:w w:val="100"/>
          <w:position w:val="0"/>
          <w:sz w:val="22"/>
          <w:szCs w:val="22"/>
        </w:rPr>
        <w:t>本集团成为金融工具合同的一方时确认一项金融资产或金融负债。</w:t>
      </w:r>
    </w:p>
    <w:p>
      <w:pPr>
        <w:pStyle w:val="Style35"/>
        <w:keepNext w:val="0"/>
        <w:keepLines w:val="0"/>
        <w:widowControl w:val="0"/>
        <w:shd w:val="clear" w:color="auto" w:fill="auto"/>
        <w:bidi w:val="0"/>
        <w:spacing w:before="0" w:after="240" w:line="312" w:lineRule="exact"/>
        <w:ind w:left="0" w:right="0" w:firstLine="460"/>
        <w:jc w:val="left"/>
        <w:rPr>
          <w:sz w:val="22"/>
          <w:szCs w:val="22"/>
        </w:rPr>
      </w:pPr>
      <w:bookmarkStart w:id="974" w:name="bookmark974"/>
      <w:r>
        <w:rPr>
          <w:color w:val="000000"/>
          <w:spacing w:val="0"/>
          <w:w w:val="100"/>
          <w:position w:val="0"/>
          <w:sz w:val="22"/>
          <w:szCs w:val="22"/>
        </w:rPr>
        <w:t>（</w:t>
      </w:r>
      <w:bookmarkEnd w:id="974"/>
      <w:r>
        <w:rPr>
          <w:color w:val="000000"/>
          <w:spacing w:val="0"/>
          <w:w w:val="100"/>
          <w:position w:val="0"/>
          <w:sz w:val="22"/>
          <w:szCs w:val="22"/>
        </w:rPr>
        <w:t>1）</w:t>
      </w:r>
      <w:r>
        <w:rPr>
          <w:color w:val="000000"/>
          <w:spacing w:val="0"/>
          <w:w w:val="100"/>
          <w:position w:val="0"/>
          <w:sz w:val="22"/>
          <w:szCs w:val="22"/>
        </w:rPr>
        <w:t>金融资产</w:t>
      </w:r>
    </w:p>
    <w:p>
      <w:pPr>
        <w:pStyle w:val="Style35"/>
        <w:keepNext w:val="0"/>
        <w:keepLines w:val="0"/>
        <w:widowControl w:val="0"/>
        <w:shd w:val="clear" w:color="auto" w:fill="auto"/>
        <w:bidi w:val="0"/>
        <w:spacing w:before="0" w:after="240" w:line="312" w:lineRule="exact"/>
        <w:ind w:left="0" w:right="0" w:firstLine="460"/>
        <w:jc w:val="left"/>
        <w:rPr>
          <w:sz w:val="22"/>
          <w:szCs w:val="22"/>
        </w:rPr>
      </w:pPr>
      <w:bookmarkStart w:id="975" w:name="bookmark975"/>
      <w:r>
        <w:rPr>
          <w:color w:val="000000"/>
          <w:spacing w:val="0"/>
          <w:w w:val="100"/>
          <w:position w:val="0"/>
          <w:sz w:val="22"/>
          <w:szCs w:val="22"/>
        </w:rPr>
        <w:t>1</w:t>
      </w:r>
      <w:bookmarkEnd w:id="975"/>
      <w:r>
        <w:rPr>
          <w:color w:val="000000"/>
          <w:spacing w:val="0"/>
          <w:w w:val="100"/>
          <w:position w:val="0"/>
          <w:sz w:val="22"/>
          <w:szCs w:val="22"/>
        </w:rPr>
        <w:t>）</w:t>
      </w:r>
      <w:r>
        <w:rPr>
          <w:color w:val="000000"/>
          <w:spacing w:val="0"/>
          <w:w w:val="100"/>
          <w:position w:val="0"/>
          <w:sz w:val="22"/>
          <w:szCs w:val="22"/>
        </w:rPr>
        <w:t>金融资产分类、确认依据和计量方法</w:t>
      </w:r>
    </w:p>
    <w:p>
      <w:pPr>
        <w:pStyle w:val="Style35"/>
        <w:keepNext w:val="0"/>
        <w:keepLines w:val="0"/>
        <w:widowControl w:val="0"/>
        <w:shd w:val="clear" w:color="auto" w:fill="auto"/>
        <w:bidi w:val="0"/>
        <w:spacing w:before="0" w:after="240" w:line="312" w:lineRule="exact"/>
        <w:ind w:left="380" w:right="0" w:firstLine="440"/>
        <w:jc w:val="both"/>
        <w:rPr>
          <w:sz w:val="22"/>
          <w:szCs w:val="22"/>
        </w:rPr>
      </w:pPr>
      <w:r>
        <w:rPr>
          <w:color w:val="000000"/>
          <w:spacing w:val="0"/>
          <w:w w:val="100"/>
          <w:position w:val="0"/>
          <w:sz w:val="22"/>
          <w:szCs w:val="22"/>
        </w:rPr>
        <w:t>本集团根据管理金融资产的业务模式和金融资产的合同现金流特征，将金融资产分类为以摊 余成本计量的金融资产、以公允价值计量且其变动计入其他综合收益的金融资产、以公允价值计 量且其变动计入当期损益的金融资产。</w:t>
      </w:r>
    </w:p>
    <w:p>
      <w:pPr>
        <w:pStyle w:val="Style35"/>
        <w:keepNext w:val="0"/>
        <w:keepLines w:val="0"/>
        <w:widowControl w:val="0"/>
        <w:shd w:val="clear" w:color="auto" w:fill="auto"/>
        <w:bidi w:val="0"/>
        <w:spacing w:before="0" w:after="240" w:line="312" w:lineRule="exact"/>
        <w:ind w:left="380" w:right="0" w:firstLine="440"/>
        <w:jc w:val="both"/>
        <w:rPr>
          <w:sz w:val="22"/>
          <w:szCs w:val="22"/>
        </w:rPr>
      </w:pPr>
      <w:r>
        <w:rPr>
          <w:color w:val="000000"/>
          <w:spacing w:val="0"/>
          <w:w w:val="100"/>
          <w:position w:val="0"/>
          <w:sz w:val="22"/>
          <w:szCs w:val="22"/>
        </w:rPr>
        <w:t>本集团将同时符合下列条件的金融资产分类为以摊余成本计量的金融资产：①管理该金融资 产的业务模式是以收取合同现金流量为目标。②该金融资产的合同条款规定，在特定日期产生的 现金流量，仅为对本金和以未偿付本金金额为基础的利息的支付。此类金融资产按照公允价值进 行初始计量，相关交易费用计入初始确认金额；以摊余成本进行后续计量。除被指定为被套期项 目的，按照实际利率法摊销初始金额与到期金额之间的差额，其摊销、减值、汇兑损益以及终止 确认时产生的利得或损失，计入当期损益。</w:t>
      </w:r>
    </w:p>
    <w:p>
      <w:pPr>
        <w:pStyle w:val="Style35"/>
        <w:keepNext w:val="0"/>
        <w:keepLines w:val="0"/>
        <w:widowControl w:val="0"/>
        <w:shd w:val="clear" w:color="auto" w:fill="auto"/>
        <w:bidi w:val="0"/>
        <w:spacing w:before="0" w:after="240" w:line="313" w:lineRule="exact"/>
        <w:ind w:left="380" w:right="0" w:firstLine="440"/>
        <w:jc w:val="both"/>
        <w:rPr>
          <w:sz w:val="22"/>
          <w:szCs w:val="22"/>
        </w:rPr>
      </w:pPr>
      <w:r>
        <w:rPr>
          <w:color w:val="000000"/>
          <w:spacing w:val="0"/>
          <w:w w:val="100"/>
          <w:position w:val="0"/>
          <w:sz w:val="22"/>
          <w:szCs w:val="22"/>
        </w:rPr>
        <w:t>本集团将同时符合下列条件的金融资产分类为以公允价值计量且其变动计入其他综合收益的 金融资产：①管理该金融资产的业务模式既以收取合同现金流量为目标又以出售该金融资产为目 标。②该金融资产的合同条款规定，在特定日期产生的现金流量，仅为对本金和以未偿付本金金 额为基础的利息的支付。此类金融资产按照公允价值进行初始计量，相关交易费用计入初始确认 金额。除被指定为被套期项目的，此类金融资产，除信用减值损失或利得、汇兑损益和按照实际 利率法计算的该金融资产利息之外，所产生的其他利得或损失，均计入其他综合收益；金融资产 终止确认时，之前计入其他综合收益的累计利得或损失应当从其他综合收益中转出，计入当期损 益。</w:t>
      </w:r>
    </w:p>
    <w:p>
      <w:pPr>
        <w:pStyle w:val="Style35"/>
        <w:keepNext w:val="0"/>
        <w:keepLines w:val="0"/>
        <w:widowControl w:val="0"/>
        <w:shd w:val="clear" w:color="auto" w:fill="auto"/>
        <w:bidi w:val="0"/>
        <w:spacing w:before="0" w:after="240" w:line="312" w:lineRule="exact"/>
        <w:ind w:left="380" w:right="0" w:firstLine="440"/>
        <w:jc w:val="both"/>
        <w:rPr>
          <w:sz w:val="22"/>
          <w:szCs w:val="22"/>
        </w:rPr>
      </w:pPr>
      <w:r>
        <w:rPr>
          <w:color w:val="000000"/>
          <w:spacing w:val="0"/>
          <w:w w:val="100"/>
          <w:position w:val="0"/>
          <w:sz w:val="22"/>
          <w:szCs w:val="22"/>
        </w:rPr>
        <w:t>本集团按照实际利率法确认利息收入。利息收入根据金融资产账面余额乘以实际利率计算确 定，但下列情况除外：①对于购入或源生的已发生信用减值的金融资产，自初始确认起，按照该 金融资产的摊余成本和经信用调整的实际利率计算确定其利息收入。②对于购入或源生的未发生 信用减值、但在后续期间成为已发生信用减值的金融资产，在后续期间，按照该金融资产的摊余 成本和实际利率计算确定其利息收入。</w:t>
      </w:r>
    </w:p>
    <w:p>
      <w:pPr>
        <w:pStyle w:val="Style35"/>
        <w:keepNext w:val="0"/>
        <w:keepLines w:val="0"/>
        <w:widowControl w:val="0"/>
        <w:shd w:val="clear" w:color="auto" w:fill="auto"/>
        <w:bidi w:val="0"/>
        <w:spacing w:before="0" w:after="240" w:line="311" w:lineRule="exact"/>
        <w:ind w:left="380" w:right="0" w:firstLine="440"/>
        <w:jc w:val="both"/>
        <w:rPr>
          <w:sz w:val="22"/>
          <w:szCs w:val="22"/>
        </w:rPr>
      </w:pPr>
      <w:r>
        <w:rPr>
          <w:color w:val="000000"/>
          <w:spacing w:val="0"/>
          <w:w w:val="100"/>
          <w:position w:val="0"/>
          <w:sz w:val="22"/>
          <w:szCs w:val="22"/>
        </w:rPr>
        <w:t>本集团将非交易性权益工具投资指定为以公允价值计量且其变动计入其他综合收益的金融资 产。该指定一经作出，不得撤销。本集团指定的以公允价值计量且其变动计入其他综合收益的非 交易性权益工具投资，按照公允价值进行初始计量，相关交易费用计入初始确认金额；除了获得 股利（属于投资成本收回部分的除外）计入当期损益外，其他相关的利得和损失（包括汇兑损益） 均计入其他综合收益，且后续不得转入当期损益。当其终止确认时，之前计入其他综合收益的累</w:t>
      </w:r>
    </w:p>
    <w:p>
      <w:pPr>
        <w:pStyle w:val="Style35"/>
        <w:keepNext w:val="0"/>
        <w:keepLines w:val="0"/>
        <w:widowControl w:val="0"/>
        <w:shd w:val="clear" w:color="auto" w:fill="auto"/>
        <w:bidi w:val="0"/>
        <w:spacing w:before="0" w:after="220" w:line="312" w:lineRule="exact"/>
        <w:ind w:left="0" w:right="0" w:firstLine="380"/>
        <w:jc w:val="left"/>
        <w:rPr>
          <w:sz w:val="22"/>
          <w:szCs w:val="22"/>
        </w:rPr>
      </w:pPr>
      <w:r>
        <w:rPr>
          <w:color w:val="000000"/>
          <w:spacing w:val="0"/>
          <w:w w:val="100"/>
          <w:position w:val="0"/>
          <w:sz w:val="22"/>
          <w:szCs w:val="22"/>
        </w:rPr>
        <w:t>计利得或损失从其他综合收益中转出，计入留存收益。</w:t>
      </w:r>
    </w:p>
    <w:p>
      <w:pPr>
        <w:pStyle w:val="Style35"/>
        <w:keepNext w:val="0"/>
        <w:keepLines w:val="0"/>
        <w:widowControl w:val="0"/>
        <w:shd w:val="clear" w:color="auto" w:fill="auto"/>
        <w:bidi w:val="0"/>
        <w:spacing w:before="0" w:after="220" w:line="314" w:lineRule="exact"/>
        <w:ind w:left="380" w:right="0" w:firstLine="440"/>
        <w:jc w:val="both"/>
        <w:rPr>
          <w:sz w:val="22"/>
          <w:szCs w:val="22"/>
        </w:rPr>
      </w:pPr>
      <w:r>
        <w:rPr>
          <w:color w:val="000000"/>
          <w:spacing w:val="0"/>
          <w:w w:val="100"/>
          <w:position w:val="0"/>
          <w:sz w:val="22"/>
          <w:szCs w:val="22"/>
        </w:rPr>
        <w:t>除上述分类为以摊余成本计量的金融资产和分类为以公允价值计量且其变动计入其他综合收 益的金融资产之外的金融资产，本集团将其分类为以公允价值计量且其变动计入当期损益的金融 资产。此类金融资产按照公允价值进行初始计量，相关交易费用直接计入当期损益。此类金融资 产的利得或损失，计入当期损益。</w:t>
      </w:r>
    </w:p>
    <w:p>
      <w:pPr>
        <w:pStyle w:val="Style35"/>
        <w:keepNext w:val="0"/>
        <w:keepLines w:val="0"/>
        <w:widowControl w:val="0"/>
        <w:shd w:val="clear" w:color="auto" w:fill="auto"/>
        <w:bidi w:val="0"/>
        <w:spacing w:before="0" w:after="220" w:line="312" w:lineRule="exact"/>
        <w:ind w:left="0" w:right="0" w:firstLine="460"/>
        <w:jc w:val="both"/>
        <w:rPr>
          <w:sz w:val="22"/>
          <w:szCs w:val="22"/>
        </w:rPr>
      </w:pPr>
      <w:bookmarkStart w:id="976" w:name="bookmark976"/>
      <w:r>
        <w:rPr>
          <w:color w:val="000000"/>
          <w:spacing w:val="0"/>
          <w:w w:val="100"/>
          <w:position w:val="0"/>
          <w:sz w:val="22"/>
          <w:szCs w:val="22"/>
        </w:rPr>
        <w:t>2</w:t>
      </w:r>
      <w:bookmarkEnd w:id="976"/>
      <w:r>
        <w:rPr>
          <w:color w:val="000000"/>
          <w:spacing w:val="0"/>
          <w:w w:val="100"/>
          <w:position w:val="0"/>
          <w:sz w:val="22"/>
          <w:szCs w:val="22"/>
        </w:rPr>
        <w:t>）</w:t>
      </w:r>
      <w:r>
        <w:rPr>
          <w:color w:val="000000"/>
          <w:spacing w:val="0"/>
          <w:w w:val="100"/>
          <w:position w:val="0"/>
          <w:sz w:val="22"/>
          <w:szCs w:val="22"/>
        </w:rPr>
        <w:t>金融资产转移的确认依据和计量方法</w:t>
      </w:r>
    </w:p>
    <w:p>
      <w:pPr>
        <w:pStyle w:val="Style35"/>
        <w:keepNext w:val="0"/>
        <w:keepLines w:val="0"/>
        <w:widowControl w:val="0"/>
        <w:shd w:val="clear" w:color="auto" w:fill="auto"/>
        <w:bidi w:val="0"/>
        <w:spacing w:before="0" w:after="220" w:line="312" w:lineRule="exact"/>
        <w:ind w:left="380" w:right="0" w:firstLine="440"/>
        <w:jc w:val="both"/>
        <w:rPr>
          <w:sz w:val="22"/>
          <w:szCs w:val="22"/>
        </w:rPr>
      </w:pPr>
      <w:r>
        <w:rPr>
          <w:color w:val="000000"/>
          <w:spacing w:val="0"/>
          <w:w w:val="100"/>
          <w:position w:val="0"/>
          <w:sz w:val="22"/>
          <w:szCs w:val="22"/>
        </w:rPr>
        <w:t>本集团将满足下列条件之一的金融资产予以终止确认：①收取该金融资产现金流量的合同权 利终止；②金融资产发生转移，本集团转移了金融资产所有权上几乎所有风险和报酬；③金融资 产发生转移，本集团既没有转移也没有保留金融资产所有权上几乎所有风险和报酬，且未保留对 该金融资产控制的。</w:t>
      </w:r>
    </w:p>
    <w:p>
      <w:pPr>
        <w:pStyle w:val="Style35"/>
        <w:keepNext w:val="0"/>
        <w:keepLines w:val="0"/>
        <w:widowControl w:val="0"/>
        <w:shd w:val="clear" w:color="auto" w:fill="auto"/>
        <w:bidi w:val="0"/>
        <w:spacing w:before="0" w:after="220" w:line="312" w:lineRule="exact"/>
        <w:ind w:left="380" w:right="0" w:firstLine="440"/>
        <w:jc w:val="both"/>
        <w:rPr>
          <w:sz w:val="22"/>
          <w:szCs w:val="22"/>
        </w:rPr>
      </w:pPr>
      <w:r>
        <w:rPr>
          <w:color w:val="000000"/>
          <w:spacing w:val="0"/>
          <w:w w:val="100"/>
          <w:position w:val="0"/>
          <w:sz w:val="22"/>
          <w:szCs w:val="22"/>
        </w:rPr>
        <w:t>金融资产整体转移满足终止确认条件的，将所转移金融资产的账面价值，与因转移而收到的 对价及原直接计入其他综合收益的公允价值变动累计额中对应终止确认部分的金额（涉及转移的 金融资产的合同条款规定，在特定日期产生的现金流量，仅为对本金和以未偿付本金金额为基础 的利息的支付）之和的差额计入当期损益。</w:t>
      </w:r>
    </w:p>
    <w:p>
      <w:pPr>
        <w:pStyle w:val="Style35"/>
        <w:keepNext w:val="0"/>
        <w:keepLines w:val="0"/>
        <w:widowControl w:val="0"/>
        <w:shd w:val="clear" w:color="auto" w:fill="auto"/>
        <w:bidi w:val="0"/>
        <w:spacing w:before="0" w:after="220" w:line="311" w:lineRule="exact"/>
        <w:ind w:left="380" w:right="0" w:firstLine="440"/>
        <w:jc w:val="both"/>
        <w:rPr>
          <w:sz w:val="22"/>
          <w:szCs w:val="22"/>
        </w:rPr>
      </w:pPr>
      <w:r>
        <w:rPr>
          <w:color w:val="000000"/>
          <w:spacing w:val="0"/>
          <w:w w:val="100"/>
          <w:position w:val="0"/>
          <w:sz w:val="22"/>
          <w:szCs w:val="22"/>
        </w:rPr>
        <w:t>金融资产部分转移满足终止确认条件的，将所转移金融资产整体的账面价值，在终止确认部 分和未终止确认部分之间，按照各自的相对公允价值进行分摊，并将因转移而收到的对价及应分 摊至终止确认部分的原计入其他综合收益的公允价值变动累计额中对应终止确认部分的金额（涉 及转移的金融资产的合同条款规定，在特定日期产生的现金流量，仅为对本金和以未偿付本金金 额为基础的利息的支付）之和，与分摊的前述金融资产整体账面价值的差额计入当期损益。</w:t>
      </w:r>
    </w:p>
    <w:p>
      <w:pPr>
        <w:pStyle w:val="Style35"/>
        <w:keepNext w:val="0"/>
        <w:keepLines w:val="0"/>
        <w:widowControl w:val="0"/>
        <w:shd w:val="clear" w:color="auto" w:fill="auto"/>
        <w:bidi w:val="0"/>
        <w:spacing w:before="0" w:after="220" w:line="312" w:lineRule="exact"/>
        <w:ind w:left="0" w:right="0" w:firstLine="460"/>
        <w:jc w:val="both"/>
        <w:rPr>
          <w:sz w:val="22"/>
          <w:szCs w:val="22"/>
        </w:rPr>
      </w:pPr>
      <w:bookmarkStart w:id="977" w:name="bookmark977"/>
      <w:r>
        <w:rPr>
          <w:color w:val="000000"/>
          <w:spacing w:val="0"/>
          <w:w w:val="100"/>
          <w:position w:val="0"/>
          <w:sz w:val="22"/>
          <w:szCs w:val="22"/>
        </w:rPr>
        <w:t>（</w:t>
      </w:r>
      <w:bookmarkEnd w:id="977"/>
      <w:r>
        <w:rPr>
          <w:color w:val="000000"/>
          <w:spacing w:val="0"/>
          <w:w w:val="100"/>
          <w:position w:val="0"/>
          <w:sz w:val="22"/>
          <w:szCs w:val="22"/>
        </w:rPr>
        <w:t>2）</w:t>
      </w:r>
      <w:r>
        <w:rPr>
          <w:color w:val="000000"/>
          <w:spacing w:val="0"/>
          <w:w w:val="100"/>
          <w:position w:val="0"/>
          <w:sz w:val="22"/>
          <w:szCs w:val="22"/>
        </w:rPr>
        <w:t>金融负债</w:t>
      </w:r>
    </w:p>
    <w:p>
      <w:pPr>
        <w:pStyle w:val="Style35"/>
        <w:keepNext w:val="0"/>
        <w:keepLines w:val="0"/>
        <w:widowControl w:val="0"/>
        <w:shd w:val="clear" w:color="auto" w:fill="auto"/>
        <w:bidi w:val="0"/>
        <w:spacing w:before="0" w:after="220" w:line="312" w:lineRule="exact"/>
        <w:ind w:left="0" w:right="0" w:firstLine="460"/>
        <w:jc w:val="both"/>
        <w:rPr>
          <w:sz w:val="22"/>
          <w:szCs w:val="22"/>
        </w:rPr>
      </w:pPr>
      <w:bookmarkStart w:id="978" w:name="bookmark978"/>
      <w:r>
        <w:rPr>
          <w:color w:val="000000"/>
          <w:spacing w:val="0"/>
          <w:w w:val="100"/>
          <w:position w:val="0"/>
          <w:sz w:val="22"/>
          <w:szCs w:val="22"/>
        </w:rPr>
        <w:t>1</w:t>
      </w:r>
      <w:bookmarkEnd w:id="978"/>
      <w:r>
        <w:rPr>
          <w:color w:val="000000"/>
          <w:spacing w:val="0"/>
          <w:w w:val="100"/>
          <w:position w:val="0"/>
          <w:sz w:val="22"/>
          <w:szCs w:val="22"/>
        </w:rPr>
        <w:t>）</w:t>
      </w:r>
      <w:r>
        <w:rPr>
          <w:color w:val="000000"/>
          <w:spacing w:val="0"/>
          <w:w w:val="100"/>
          <w:position w:val="0"/>
          <w:sz w:val="22"/>
          <w:szCs w:val="22"/>
        </w:rPr>
        <w:t>金融负债分类、确认依据和计量方法</w:t>
      </w:r>
    </w:p>
    <w:p>
      <w:pPr>
        <w:pStyle w:val="Style35"/>
        <w:keepNext w:val="0"/>
        <w:keepLines w:val="0"/>
        <w:widowControl w:val="0"/>
        <w:shd w:val="clear" w:color="auto" w:fill="auto"/>
        <w:bidi w:val="0"/>
        <w:spacing w:before="0" w:after="220" w:line="312" w:lineRule="exact"/>
        <w:ind w:left="380" w:right="0" w:firstLine="440"/>
        <w:jc w:val="both"/>
        <w:rPr>
          <w:sz w:val="22"/>
          <w:szCs w:val="22"/>
        </w:rPr>
      </w:pPr>
      <w:r>
        <w:rPr>
          <w:color w:val="000000"/>
          <w:spacing w:val="0"/>
          <w:w w:val="100"/>
          <w:position w:val="0"/>
          <w:sz w:val="22"/>
          <w:szCs w:val="22"/>
        </w:rPr>
        <w:t>本集团的金融负债于初始确认时分类为以公允价值计量且其变动计入当期损益的金融负债和 其他金融负债。</w:t>
      </w:r>
    </w:p>
    <w:p>
      <w:pPr>
        <w:pStyle w:val="Style35"/>
        <w:keepNext w:val="0"/>
        <w:keepLines w:val="0"/>
        <w:widowControl w:val="0"/>
        <w:shd w:val="clear" w:color="auto" w:fill="auto"/>
        <w:bidi w:val="0"/>
        <w:spacing w:before="0" w:after="220" w:line="309" w:lineRule="exact"/>
        <w:ind w:left="380" w:right="0" w:firstLine="440"/>
        <w:jc w:val="both"/>
        <w:rPr>
          <w:sz w:val="22"/>
          <w:szCs w:val="22"/>
        </w:rPr>
      </w:pPr>
      <w:r>
        <w:rPr>
          <w:color w:val="000000"/>
          <w:spacing w:val="0"/>
          <w:w w:val="100"/>
          <w:position w:val="0"/>
          <w:sz w:val="22"/>
          <w:szCs w:val="22"/>
        </w:rPr>
        <w:t>以公允价值计量且其变动计入当期损益的金融负债，包括交易性金融负债和初始确认时指定 为以公允价值计量且其变动计入当期损益的金融负债，（相关分类依据参照金融资产分类依据进 行披露）。按照公允价值进行后续计量，公允价值变动形成的利得或损失以及与该金融负债相关 的股利和利息支出计入当期损益。</w:t>
      </w:r>
    </w:p>
    <w:p>
      <w:pPr>
        <w:pStyle w:val="Style35"/>
        <w:keepNext w:val="0"/>
        <w:keepLines w:val="0"/>
        <w:widowControl w:val="0"/>
        <w:shd w:val="clear" w:color="auto" w:fill="auto"/>
        <w:bidi w:val="0"/>
        <w:spacing w:before="0" w:after="220" w:line="313" w:lineRule="exact"/>
        <w:ind w:left="380" w:right="0" w:firstLine="440"/>
        <w:jc w:val="both"/>
        <w:rPr>
          <w:sz w:val="22"/>
          <w:szCs w:val="22"/>
        </w:rPr>
      </w:pPr>
      <w:r>
        <w:rPr>
          <w:color w:val="000000"/>
          <w:spacing w:val="0"/>
          <w:w w:val="100"/>
          <w:position w:val="0"/>
          <w:sz w:val="22"/>
          <w:szCs w:val="22"/>
        </w:rPr>
        <w:t>其他金融负债，采用实际利率法，按照摊余成本进行后续计量。除下列各项外，本集团将金 融负债分类为以摊余成本计量的金融负债：①以公允价值计量且其变动计入当期损益的金融负债, 包括交易性金融负债（含属于金融负债的衍生工具）和指定为以公允价值计量且其变动计入当期 损益的金融负债。②不符合终止确认条件的金融资产转移或继续涉入被转移金融资产所形成的金 融负债。③不属于以上①或②情形的财务担保合同，以及不属于以上①情形的以低于市场利率贷 款的贷款承诺。</w:t>
      </w:r>
    </w:p>
    <w:p>
      <w:pPr>
        <w:pStyle w:val="Style35"/>
        <w:keepNext w:val="0"/>
        <w:keepLines w:val="0"/>
        <w:widowControl w:val="0"/>
        <w:shd w:val="clear" w:color="auto" w:fill="auto"/>
        <w:bidi w:val="0"/>
        <w:spacing w:before="0" w:after="220" w:line="322" w:lineRule="exact"/>
        <w:ind w:left="380" w:right="0" w:firstLine="440"/>
        <w:jc w:val="both"/>
        <w:rPr>
          <w:sz w:val="22"/>
          <w:szCs w:val="22"/>
        </w:rPr>
      </w:pPr>
      <w:r>
        <w:rPr>
          <w:color w:val="000000"/>
          <w:spacing w:val="0"/>
          <w:w w:val="100"/>
          <w:position w:val="0"/>
          <w:sz w:val="22"/>
          <w:szCs w:val="22"/>
        </w:rPr>
        <w:t>本集团将在非同一控制下的企业合并中作为购买方确认的或有对价形成金融负债的，按照以 公允价值计量且其变动计入当期损益进行会计处理。</w:t>
      </w:r>
    </w:p>
    <w:p>
      <w:pPr>
        <w:pStyle w:val="Style35"/>
        <w:keepNext w:val="0"/>
        <w:keepLines w:val="0"/>
        <w:widowControl w:val="0"/>
        <w:shd w:val="clear" w:color="auto" w:fill="auto"/>
        <w:bidi w:val="0"/>
        <w:spacing w:before="0" w:after="240" w:line="311" w:lineRule="exact"/>
        <w:ind w:left="0" w:right="0" w:firstLine="460"/>
        <w:jc w:val="both"/>
        <w:rPr>
          <w:sz w:val="22"/>
          <w:szCs w:val="22"/>
        </w:rPr>
      </w:pPr>
      <w:bookmarkStart w:id="979" w:name="bookmark979"/>
      <w:r>
        <w:rPr>
          <w:color w:val="000000"/>
          <w:spacing w:val="0"/>
          <w:w w:val="100"/>
          <w:position w:val="0"/>
          <w:sz w:val="22"/>
          <w:szCs w:val="22"/>
        </w:rPr>
        <w:t>2</w:t>
      </w:r>
      <w:bookmarkEnd w:id="979"/>
      <w:r>
        <w:rPr>
          <w:color w:val="000000"/>
          <w:spacing w:val="0"/>
          <w:w w:val="100"/>
          <w:position w:val="0"/>
          <w:sz w:val="22"/>
          <w:szCs w:val="22"/>
        </w:rPr>
        <w:t>）</w:t>
      </w:r>
      <w:r>
        <w:rPr>
          <w:color w:val="000000"/>
          <w:spacing w:val="0"/>
          <w:w w:val="100"/>
          <w:position w:val="0"/>
          <w:sz w:val="22"/>
          <w:szCs w:val="22"/>
        </w:rPr>
        <w:t>金融负债终止确认条件</w:t>
      </w:r>
    </w:p>
    <w:p>
      <w:pPr>
        <w:pStyle w:val="Style35"/>
        <w:keepNext w:val="0"/>
        <w:keepLines w:val="0"/>
        <w:widowControl w:val="0"/>
        <w:shd w:val="clear" w:color="auto" w:fill="auto"/>
        <w:bidi w:val="0"/>
        <w:spacing w:before="0" w:after="240" w:line="311" w:lineRule="exact"/>
        <w:ind w:left="380" w:right="0" w:firstLine="440"/>
        <w:jc w:val="both"/>
        <w:rPr>
          <w:sz w:val="22"/>
          <w:szCs w:val="22"/>
        </w:rPr>
      </w:pPr>
      <w:r>
        <w:rPr>
          <w:color w:val="000000"/>
          <w:spacing w:val="0"/>
          <w:w w:val="100"/>
          <w:position w:val="0"/>
          <w:sz w:val="22"/>
          <w:szCs w:val="22"/>
        </w:rPr>
        <w:t>当金融负债的现时义务全部或部分已经解除时，终止确认该金融负债或义务已解除的部分。 本集团与债权人之间签订协议，以承担新金融负债方式替换现存金融负债，且新金融负债与现存 金融负债的合同条款实质上不同的，终止确认现存金融负债，并同时确认新金融负债。本集团对 现存金融负债全部或部分的合同条款作出实质性修改的，终止确认现存金融负债或其一部分，同 时将修改条款后的金融负债确认为一项新金融负债。终止确认部分的账面价值与支付的对价之间 的差额，计入当期损益。</w:t>
      </w:r>
    </w:p>
    <w:p>
      <w:pPr>
        <w:pStyle w:val="Style35"/>
        <w:keepNext w:val="0"/>
        <w:keepLines w:val="0"/>
        <w:widowControl w:val="0"/>
        <w:shd w:val="clear" w:color="auto" w:fill="auto"/>
        <w:tabs>
          <w:tab w:pos="902" w:val="left"/>
        </w:tabs>
        <w:bidi w:val="0"/>
        <w:spacing w:before="0" w:after="240" w:line="311" w:lineRule="exact"/>
        <w:ind w:left="0" w:right="0" w:firstLine="460"/>
        <w:jc w:val="both"/>
        <w:rPr>
          <w:sz w:val="22"/>
          <w:szCs w:val="22"/>
        </w:rPr>
      </w:pPr>
      <w:bookmarkStart w:id="980" w:name="bookmark980"/>
      <w:r>
        <w:rPr>
          <w:color w:val="000000"/>
          <w:spacing w:val="0"/>
          <w:w w:val="100"/>
          <w:position w:val="0"/>
          <w:sz w:val="22"/>
          <w:szCs w:val="22"/>
        </w:rPr>
        <w:t>（</w:t>
      </w:r>
      <w:bookmarkEnd w:id="980"/>
      <w:r>
        <w:rPr>
          <w:color w:val="000000"/>
          <w:spacing w:val="0"/>
          <w:w w:val="100"/>
          <w:position w:val="0"/>
          <w:sz w:val="22"/>
          <w:szCs w:val="22"/>
        </w:rPr>
        <w:t>3）</w:t>
        <w:tab/>
      </w:r>
      <w:r>
        <w:rPr>
          <w:color w:val="000000"/>
          <w:spacing w:val="0"/>
          <w:w w:val="100"/>
          <w:position w:val="0"/>
          <w:sz w:val="22"/>
          <w:szCs w:val="22"/>
        </w:rPr>
        <w:t>金融资产和金融负债的公允价值确定方法</w:t>
      </w:r>
    </w:p>
    <w:p>
      <w:pPr>
        <w:pStyle w:val="Style35"/>
        <w:keepNext w:val="0"/>
        <w:keepLines w:val="0"/>
        <w:widowControl w:val="0"/>
        <w:shd w:val="clear" w:color="auto" w:fill="auto"/>
        <w:bidi w:val="0"/>
        <w:spacing w:before="0" w:after="240" w:line="312" w:lineRule="exact"/>
        <w:ind w:left="380" w:right="0" w:firstLine="440"/>
        <w:jc w:val="both"/>
        <w:rPr>
          <w:sz w:val="22"/>
          <w:szCs w:val="22"/>
        </w:rPr>
      </w:pPr>
      <w:r>
        <w:rPr>
          <w:color w:val="000000"/>
          <w:spacing w:val="0"/>
          <w:w w:val="100"/>
          <w:position w:val="0"/>
          <w:sz w:val="22"/>
          <w:szCs w:val="22"/>
        </w:rPr>
        <w:t>本集团以主要市场的价格计量金融资产和金融负债的公允价值，不存在主要市场的，以最有 利市场的价格计量金融资产和金融负债的公允价值，并且采用当时适用并且有足够可利用数据和 其他信息支持的估值技术。公允价值计量所使用的输入值分为三个层次，即第一层次输入值是计 量日能够取得的相同资产或负债在活跃市场上未经调整的报价；第二层次输入值是除第一层次输 入值外相关资产或负债直接或间接可观察的输入值；第三层次输入值是相关资产或负债的不可观 察输入值。本集团优先使用第一层次输入值，最后再使用第三层次输入值，公允价值计量结果所 属的层次，由对公允价值计量整体而言具有重大意义的输入值所属的最低层次决定。</w:t>
      </w:r>
    </w:p>
    <w:p>
      <w:pPr>
        <w:pStyle w:val="Style35"/>
        <w:keepNext w:val="0"/>
        <w:keepLines w:val="0"/>
        <w:widowControl w:val="0"/>
        <w:shd w:val="clear" w:color="auto" w:fill="auto"/>
        <w:bidi w:val="0"/>
        <w:spacing w:before="0" w:after="240" w:line="310" w:lineRule="exact"/>
        <w:ind w:left="380" w:right="0" w:firstLine="440"/>
        <w:jc w:val="both"/>
        <w:rPr>
          <w:sz w:val="22"/>
          <w:szCs w:val="22"/>
        </w:rPr>
      </w:pPr>
      <w:r>
        <w:rPr>
          <w:color w:val="000000"/>
          <w:spacing w:val="0"/>
          <w:w w:val="100"/>
          <w:position w:val="0"/>
          <w:sz w:val="22"/>
          <w:szCs w:val="22"/>
        </w:rPr>
        <w:t>本集团对权益工具的投资以公允价值计量。但在有限情况下，如果用以确定公允价值的近期 信息不足，或者公允价值的可能估计金额分布范围很广，而成本代表了该范围内对公允价值的最 佳估计的，该成本可代表其在该分布范围内对公允价值的恰当估计。</w:t>
      </w:r>
    </w:p>
    <w:p>
      <w:pPr>
        <w:pStyle w:val="Style35"/>
        <w:keepNext w:val="0"/>
        <w:keepLines w:val="0"/>
        <w:widowControl w:val="0"/>
        <w:shd w:val="clear" w:color="auto" w:fill="auto"/>
        <w:tabs>
          <w:tab w:pos="902" w:val="left"/>
        </w:tabs>
        <w:bidi w:val="0"/>
        <w:spacing w:before="0" w:after="240" w:line="311" w:lineRule="exact"/>
        <w:ind w:left="0" w:right="0" w:firstLine="460"/>
        <w:jc w:val="both"/>
        <w:rPr>
          <w:sz w:val="22"/>
          <w:szCs w:val="22"/>
        </w:rPr>
      </w:pPr>
      <w:bookmarkStart w:id="981" w:name="bookmark981"/>
      <w:r>
        <w:rPr>
          <w:color w:val="000000"/>
          <w:spacing w:val="0"/>
          <w:w w:val="100"/>
          <w:position w:val="0"/>
          <w:sz w:val="22"/>
          <w:szCs w:val="22"/>
        </w:rPr>
        <w:t>（</w:t>
      </w:r>
      <w:bookmarkEnd w:id="981"/>
      <w:r>
        <w:rPr>
          <w:color w:val="000000"/>
          <w:spacing w:val="0"/>
          <w:w w:val="100"/>
          <w:position w:val="0"/>
          <w:sz w:val="22"/>
          <w:szCs w:val="22"/>
        </w:rPr>
        <w:t>4）</w:t>
        <w:tab/>
      </w:r>
      <w:r>
        <w:rPr>
          <w:color w:val="000000"/>
          <w:spacing w:val="0"/>
          <w:w w:val="100"/>
          <w:position w:val="0"/>
          <w:sz w:val="22"/>
          <w:szCs w:val="22"/>
        </w:rPr>
        <w:t>金融资产和金融负债的抵销</w:t>
      </w:r>
    </w:p>
    <w:p>
      <w:pPr>
        <w:pStyle w:val="Style35"/>
        <w:keepNext w:val="0"/>
        <w:keepLines w:val="0"/>
        <w:widowControl w:val="0"/>
        <w:shd w:val="clear" w:color="auto" w:fill="auto"/>
        <w:bidi w:val="0"/>
        <w:spacing w:before="0" w:after="240" w:line="314" w:lineRule="exact"/>
        <w:ind w:left="380" w:right="0" w:firstLine="440"/>
        <w:jc w:val="both"/>
        <w:rPr>
          <w:sz w:val="22"/>
          <w:szCs w:val="22"/>
        </w:rPr>
      </w:pPr>
      <w:r>
        <w:rPr>
          <w:color w:val="000000"/>
          <w:spacing w:val="0"/>
          <w:w w:val="100"/>
          <w:position w:val="0"/>
          <w:sz w:val="22"/>
          <w:szCs w:val="22"/>
        </w:rPr>
        <w:t>本集团的金融资产和金融负债在资产负债表内分别列示，不相互抵销。但同时满足下列条件 时，以相互抵销后的净额在资产负债表内列示：①本集团具有抵销已确认金额的法定权利，且该 种法定权利是当前可执行的；②本集团计划以净额结算，或同时变现该金融资产和清偿该金融负 债。</w:t>
      </w:r>
    </w:p>
    <w:p>
      <w:pPr>
        <w:pStyle w:val="Style35"/>
        <w:keepNext w:val="0"/>
        <w:keepLines w:val="0"/>
        <w:widowControl w:val="0"/>
        <w:shd w:val="clear" w:color="auto" w:fill="auto"/>
        <w:tabs>
          <w:tab w:pos="902" w:val="left"/>
        </w:tabs>
        <w:bidi w:val="0"/>
        <w:spacing w:before="0" w:after="240" w:line="311" w:lineRule="exact"/>
        <w:ind w:left="0" w:right="0" w:firstLine="460"/>
        <w:jc w:val="both"/>
        <w:rPr>
          <w:sz w:val="22"/>
          <w:szCs w:val="22"/>
        </w:rPr>
      </w:pPr>
      <w:bookmarkStart w:id="982" w:name="bookmark982"/>
      <w:r>
        <w:rPr>
          <w:color w:val="000000"/>
          <w:spacing w:val="0"/>
          <w:w w:val="100"/>
          <w:position w:val="0"/>
          <w:sz w:val="22"/>
          <w:szCs w:val="22"/>
        </w:rPr>
        <w:t>（</w:t>
      </w:r>
      <w:bookmarkEnd w:id="982"/>
      <w:r>
        <w:rPr>
          <w:color w:val="000000"/>
          <w:spacing w:val="0"/>
          <w:w w:val="100"/>
          <w:position w:val="0"/>
          <w:sz w:val="22"/>
          <w:szCs w:val="22"/>
        </w:rPr>
        <w:t>5）</w:t>
        <w:tab/>
      </w:r>
      <w:r>
        <w:rPr>
          <w:color w:val="000000"/>
          <w:spacing w:val="0"/>
          <w:w w:val="100"/>
          <w:position w:val="0"/>
          <w:sz w:val="22"/>
          <w:szCs w:val="22"/>
        </w:rPr>
        <w:t>金融负债与权益工具的区分及相关处理方法</w:t>
      </w:r>
    </w:p>
    <w:p>
      <w:pPr>
        <w:pStyle w:val="Style35"/>
        <w:keepNext w:val="0"/>
        <w:keepLines w:val="0"/>
        <w:widowControl w:val="0"/>
        <w:shd w:val="clear" w:color="auto" w:fill="auto"/>
        <w:bidi w:val="0"/>
        <w:spacing w:before="0" w:after="240" w:line="311" w:lineRule="exact"/>
        <w:ind w:left="380" w:right="0" w:firstLine="440"/>
        <w:jc w:val="both"/>
        <w:rPr>
          <w:sz w:val="22"/>
          <w:szCs w:val="22"/>
        </w:rPr>
      </w:pPr>
      <w:r>
        <w:rPr>
          <w:color w:val="000000"/>
          <w:spacing w:val="0"/>
          <w:w w:val="100"/>
          <w:position w:val="0"/>
          <w:sz w:val="22"/>
          <w:szCs w:val="22"/>
        </w:rPr>
        <w:t>本集团按照以下原则区分金融负债与权益工具：①如果本集团不能无条件地避免以交付现金 或其他金融资产来履行一项合同义务，则该合同义务符合金融负债的定义。有些金融工具虽然没 有明确地包含交付现金或其他金融资产义务的条款和条件，但有可能通过其他条款和条件间接地 形成合同义务。②如果一项金融工具须用或可用本集团自身权益工具进行结算，需要考虑用于结 算该工具的本集团自身权益工具，是作为现金或其他金融资产的替代品，还是为了使该工具持有 方享有在发行方扣除所有负债后的资产中的剩余权益。如果是前者，该工具是发行方的金融负债； 如果是后者，该工具是发行方的权益工具。在某些情况下，一项金融工具合同规定本集团须用或 可用自身权益工具结算该金融工具，其中合同权利或合同义务的金额等于可获取或需交付的自身 权益工具的数量乘以其结算时的公允价值，则无论该合同权利或义务的金额是固定的，还是完全 或部分地基于除本集团自身权益工具的市场价格以外的变量（例如利率、某种商品的价格或某项 金融工具的价格）的变动而变动，该合同分类为金融负债。</w:t>
      </w:r>
    </w:p>
    <w:p>
      <w:pPr>
        <w:pStyle w:val="Style35"/>
        <w:keepNext w:val="0"/>
        <w:keepLines w:val="0"/>
        <w:widowControl w:val="0"/>
        <w:shd w:val="clear" w:color="auto" w:fill="auto"/>
        <w:bidi w:val="0"/>
        <w:spacing w:before="0" w:after="240" w:line="317" w:lineRule="exact"/>
        <w:ind w:left="380" w:right="0" w:firstLine="440"/>
        <w:jc w:val="both"/>
        <w:rPr>
          <w:sz w:val="22"/>
          <w:szCs w:val="22"/>
        </w:rPr>
      </w:pPr>
      <w:r>
        <w:rPr>
          <w:color w:val="000000"/>
          <w:spacing w:val="0"/>
          <w:w w:val="100"/>
          <w:position w:val="0"/>
          <w:sz w:val="22"/>
          <w:szCs w:val="22"/>
        </w:rPr>
        <w:t xml:space="preserve">本集团在合并报表中对金融工具（或其组成部分）进行分类时，考虑了集团成员和金融工具 持有方之间达成的所有条款和条件。如果集团作为一个整体由于该工具而承担了交付现金、其他 </w:t>
      </w:r>
      <w:r>
        <w:rPr>
          <w:color w:val="000000"/>
          <w:spacing w:val="0"/>
          <w:w w:val="100"/>
          <w:position w:val="0"/>
          <w:sz w:val="22"/>
          <w:szCs w:val="22"/>
        </w:rPr>
        <w:t>金融资产或者以其他导致该工具成为金融负债的方式进行结算的义务，则该工具应当分类为金融 负债。</w:t>
      </w:r>
    </w:p>
    <w:p>
      <w:pPr>
        <w:pStyle w:val="Style35"/>
        <w:keepNext w:val="0"/>
        <w:keepLines w:val="0"/>
        <w:widowControl w:val="0"/>
        <w:shd w:val="clear" w:color="auto" w:fill="auto"/>
        <w:bidi w:val="0"/>
        <w:spacing w:before="0" w:after="240" w:line="312" w:lineRule="exact"/>
        <w:ind w:left="360" w:right="0" w:firstLine="460"/>
        <w:jc w:val="both"/>
        <w:rPr>
          <w:sz w:val="22"/>
          <w:szCs w:val="22"/>
        </w:rPr>
      </w:pPr>
      <w:r>
        <w:rPr>
          <w:color w:val="000000"/>
          <w:spacing w:val="0"/>
          <w:w w:val="100"/>
          <w:position w:val="0"/>
          <w:sz w:val="22"/>
          <w:szCs w:val="22"/>
        </w:rPr>
        <w:t>金融工具或其组成部分属于金融负债的，相关利息、股利（或股息）、利得或损失，以及赎 回或再融资产生的利得或损失等，本集团计入当期损益。</w:t>
      </w:r>
    </w:p>
    <w:p>
      <w:pPr>
        <w:pStyle w:val="Style35"/>
        <w:keepNext w:val="0"/>
        <w:keepLines w:val="0"/>
        <w:widowControl w:val="0"/>
        <w:shd w:val="clear" w:color="auto" w:fill="auto"/>
        <w:bidi w:val="0"/>
        <w:spacing w:before="0" w:after="240" w:line="312" w:lineRule="exact"/>
        <w:ind w:left="360" w:right="0" w:firstLine="460"/>
        <w:jc w:val="both"/>
        <w:rPr>
          <w:sz w:val="22"/>
          <w:szCs w:val="22"/>
        </w:rPr>
      </w:pPr>
      <w:r>
        <w:rPr>
          <w:color w:val="000000"/>
          <w:spacing w:val="0"/>
          <w:w w:val="100"/>
          <w:position w:val="0"/>
          <w:sz w:val="22"/>
          <w:szCs w:val="22"/>
        </w:rPr>
        <w:t>金融工具或其组成部分属于权益工具的，其发行（含再融资）、回购、出售或注销时，本集 团作为权益的变动处理，不确认权益工具的公允价值变动。</w:t>
      </w:r>
    </w:p>
    <w:p>
      <w:pPr>
        <w:pStyle w:val="Style35"/>
        <w:keepNext w:val="0"/>
        <w:keepLines w:val="0"/>
        <w:widowControl w:val="0"/>
        <w:shd w:val="clear" w:color="auto" w:fill="auto"/>
        <w:bidi w:val="0"/>
        <w:spacing w:before="0" w:after="240" w:line="312" w:lineRule="exact"/>
        <w:ind w:left="0" w:right="0" w:firstLine="460"/>
        <w:jc w:val="both"/>
        <w:rPr>
          <w:sz w:val="22"/>
          <w:szCs w:val="22"/>
        </w:rPr>
      </w:pPr>
      <w:bookmarkStart w:id="983" w:name="bookmark983"/>
      <w:r>
        <w:rPr>
          <w:color w:val="000000"/>
          <w:spacing w:val="0"/>
          <w:w w:val="100"/>
          <w:position w:val="0"/>
          <w:sz w:val="22"/>
          <w:szCs w:val="22"/>
        </w:rPr>
        <w:t>（</w:t>
      </w:r>
      <w:bookmarkEnd w:id="983"/>
      <w:r>
        <w:rPr>
          <w:color w:val="000000"/>
          <w:spacing w:val="0"/>
          <w:w w:val="100"/>
          <w:position w:val="0"/>
          <w:sz w:val="22"/>
          <w:szCs w:val="22"/>
        </w:rPr>
        <w:t>6）</w:t>
      </w:r>
      <w:r>
        <w:rPr>
          <w:color w:val="000000"/>
          <w:spacing w:val="0"/>
          <w:w w:val="100"/>
          <w:position w:val="0"/>
          <w:sz w:val="22"/>
          <w:szCs w:val="22"/>
        </w:rPr>
        <w:t>金融资产减值准备计提</w:t>
      </w:r>
    </w:p>
    <w:p>
      <w:pPr>
        <w:pStyle w:val="Style35"/>
        <w:keepNext w:val="0"/>
        <w:keepLines w:val="0"/>
        <w:widowControl w:val="0"/>
        <w:shd w:val="clear" w:color="auto" w:fill="auto"/>
        <w:tabs>
          <w:tab w:pos="835" w:val="left"/>
        </w:tabs>
        <w:bidi w:val="0"/>
        <w:spacing w:before="0" w:after="240" w:line="311" w:lineRule="exact"/>
        <w:ind w:left="0" w:right="0" w:firstLine="460"/>
        <w:jc w:val="both"/>
        <w:rPr>
          <w:sz w:val="22"/>
          <w:szCs w:val="22"/>
        </w:rPr>
      </w:pPr>
      <w:bookmarkStart w:id="984" w:name="bookmark984"/>
      <w:r>
        <w:rPr>
          <w:rFonts w:ascii="Times New Roman" w:eastAsia="Times New Roman" w:hAnsi="Times New Roman" w:cs="Times New Roman"/>
          <w:color w:val="000000"/>
          <w:spacing w:val="0"/>
          <w:w w:val="100"/>
          <w:position w:val="0"/>
          <w:sz w:val="22"/>
          <w:szCs w:val="22"/>
        </w:rPr>
        <w:t>1</w:t>
      </w:r>
      <w:bookmarkEnd w:id="984"/>
      <w:r>
        <w:rPr>
          <w:color w:val="000000"/>
          <w:spacing w:val="0"/>
          <w:w w:val="100"/>
          <w:position w:val="0"/>
          <w:sz w:val="22"/>
          <w:szCs w:val="22"/>
        </w:rPr>
        <w:t>）</w:t>
        <w:tab/>
        <w:t>本集团以预期信用损失为基础，评估以摊余成本计量的金融资产和以公允价值计量且其变动 计入其他综合收益的金融资产的预期信用损失，进行减值会计处理并确认损失准备。预期信用损失， 是指以发生违约的风险为权重的金融工具信用损失的加权平均值。信用损失，是指本集团按照原实际 利率折现的根据合同应收的所有合同现金流量与预期收取的所有现金流量之间的差额，及全部现金短 缺的现值。</w:t>
      </w:r>
    </w:p>
    <w:p>
      <w:pPr>
        <w:pStyle w:val="Style35"/>
        <w:keepNext w:val="0"/>
        <w:keepLines w:val="0"/>
        <w:widowControl w:val="0"/>
        <w:shd w:val="clear" w:color="auto" w:fill="auto"/>
        <w:tabs>
          <w:tab w:pos="830" w:val="left"/>
        </w:tabs>
        <w:bidi w:val="0"/>
        <w:spacing w:before="0" w:after="240" w:line="326" w:lineRule="exact"/>
        <w:ind w:left="0" w:right="0" w:firstLine="460"/>
        <w:jc w:val="both"/>
        <w:rPr>
          <w:sz w:val="22"/>
          <w:szCs w:val="22"/>
        </w:rPr>
      </w:pPr>
      <w:bookmarkStart w:id="985" w:name="bookmark985"/>
      <w:r>
        <w:rPr>
          <w:rFonts w:ascii="Times New Roman" w:eastAsia="Times New Roman" w:hAnsi="Times New Roman" w:cs="Times New Roman"/>
          <w:color w:val="000000"/>
          <w:spacing w:val="0"/>
          <w:w w:val="100"/>
          <w:position w:val="0"/>
          <w:sz w:val="22"/>
          <w:szCs w:val="22"/>
        </w:rPr>
        <w:t>2</w:t>
      </w:r>
      <w:bookmarkEnd w:id="985"/>
      <w:r>
        <w:rPr>
          <w:color w:val="000000"/>
          <w:spacing w:val="0"/>
          <w:w w:val="100"/>
          <w:position w:val="0"/>
          <w:sz w:val="22"/>
          <w:szCs w:val="22"/>
        </w:rPr>
        <w:t>）</w:t>
        <w:tab/>
        <w:t>当对金融资产预期未来现金流量具有不利影响的一项或多项事件发生时，该金融资产成为已 发生信用减值的金融资产。金融资产已发生信用减值的证据包括下列可观察信息：</w:t>
      </w:r>
    </w:p>
    <w:p>
      <w:pPr>
        <w:pStyle w:val="Style35"/>
        <w:keepNext w:val="0"/>
        <w:keepLines w:val="0"/>
        <w:widowControl w:val="0"/>
        <w:numPr>
          <w:ilvl w:val="0"/>
          <w:numId w:val="29"/>
        </w:numPr>
        <w:shd w:val="clear" w:color="auto" w:fill="auto"/>
        <w:tabs>
          <w:tab w:pos="858" w:val="left"/>
        </w:tabs>
        <w:bidi w:val="0"/>
        <w:spacing w:before="0" w:after="240" w:line="312" w:lineRule="exact"/>
        <w:ind w:left="0" w:right="0" w:firstLine="460"/>
        <w:jc w:val="both"/>
        <w:rPr>
          <w:sz w:val="22"/>
          <w:szCs w:val="22"/>
        </w:rPr>
      </w:pPr>
      <w:bookmarkStart w:id="986" w:name="bookmark986"/>
      <w:bookmarkEnd w:id="986"/>
      <w:r>
        <w:rPr>
          <w:color w:val="000000"/>
          <w:spacing w:val="0"/>
          <w:w w:val="100"/>
          <w:position w:val="0"/>
          <w:sz w:val="22"/>
          <w:szCs w:val="22"/>
        </w:rPr>
        <w:t>发行方或债务人发生重大财务困难；</w:t>
      </w:r>
    </w:p>
    <w:p>
      <w:pPr>
        <w:pStyle w:val="Style35"/>
        <w:keepNext w:val="0"/>
        <w:keepLines w:val="0"/>
        <w:widowControl w:val="0"/>
        <w:numPr>
          <w:ilvl w:val="0"/>
          <w:numId w:val="29"/>
        </w:numPr>
        <w:shd w:val="clear" w:color="auto" w:fill="auto"/>
        <w:tabs>
          <w:tab w:pos="858" w:val="left"/>
        </w:tabs>
        <w:bidi w:val="0"/>
        <w:spacing w:before="0" w:after="240" w:line="312" w:lineRule="exact"/>
        <w:ind w:left="0" w:right="0" w:firstLine="460"/>
        <w:jc w:val="both"/>
        <w:rPr>
          <w:sz w:val="22"/>
          <w:szCs w:val="22"/>
        </w:rPr>
      </w:pPr>
      <w:bookmarkStart w:id="987" w:name="bookmark987"/>
      <w:bookmarkEnd w:id="987"/>
      <w:r>
        <w:rPr>
          <w:color w:val="000000"/>
          <w:spacing w:val="0"/>
          <w:w w:val="100"/>
          <w:position w:val="0"/>
          <w:sz w:val="22"/>
          <w:szCs w:val="22"/>
        </w:rPr>
        <w:t>债务人违反合同，如偿付利息或本金违约或逾期等；</w:t>
      </w:r>
    </w:p>
    <w:p>
      <w:pPr>
        <w:pStyle w:val="Style35"/>
        <w:keepNext w:val="0"/>
        <w:keepLines w:val="0"/>
        <w:widowControl w:val="0"/>
        <w:numPr>
          <w:ilvl w:val="0"/>
          <w:numId w:val="29"/>
        </w:numPr>
        <w:shd w:val="clear" w:color="auto" w:fill="auto"/>
        <w:tabs>
          <w:tab w:pos="821" w:val="left"/>
        </w:tabs>
        <w:bidi w:val="0"/>
        <w:spacing w:before="0" w:after="240" w:line="307" w:lineRule="exact"/>
        <w:ind w:left="0" w:right="0" w:firstLine="460"/>
        <w:jc w:val="both"/>
        <w:rPr>
          <w:sz w:val="22"/>
          <w:szCs w:val="22"/>
        </w:rPr>
      </w:pPr>
      <w:bookmarkStart w:id="988" w:name="bookmark988"/>
      <w:bookmarkEnd w:id="988"/>
      <w:r>
        <w:rPr>
          <w:color w:val="000000"/>
          <w:spacing w:val="0"/>
          <w:w w:val="100"/>
          <w:position w:val="0"/>
          <w:sz w:val="22"/>
          <w:szCs w:val="22"/>
        </w:rPr>
        <w:t>本集团出于与债务人财务困难有关的经济或合同考虑，给予债务人在任何其他情况下都不会做 出的让步；</w:t>
      </w:r>
    </w:p>
    <w:p>
      <w:pPr>
        <w:pStyle w:val="Style35"/>
        <w:keepNext w:val="0"/>
        <w:keepLines w:val="0"/>
        <w:widowControl w:val="0"/>
        <w:numPr>
          <w:ilvl w:val="0"/>
          <w:numId w:val="29"/>
        </w:numPr>
        <w:shd w:val="clear" w:color="auto" w:fill="auto"/>
        <w:tabs>
          <w:tab w:pos="858" w:val="left"/>
        </w:tabs>
        <w:bidi w:val="0"/>
        <w:spacing w:before="0" w:after="240" w:line="312" w:lineRule="exact"/>
        <w:ind w:left="0" w:right="0" w:firstLine="460"/>
        <w:jc w:val="both"/>
        <w:rPr>
          <w:sz w:val="22"/>
          <w:szCs w:val="22"/>
        </w:rPr>
      </w:pPr>
      <w:bookmarkStart w:id="989" w:name="bookmark989"/>
      <w:bookmarkEnd w:id="989"/>
      <w:r>
        <w:rPr>
          <w:color w:val="000000"/>
          <w:spacing w:val="0"/>
          <w:w w:val="100"/>
          <w:position w:val="0"/>
          <w:sz w:val="22"/>
          <w:szCs w:val="22"/>
        </w:rPr>
        <w:t>债务人很可能破产或进行其他财务重组；</w:t>
      </w:r>
    </w:p>
    <w:p>
      <w:pPr>
        <w:pStyle w:val="Style35"/>
        <w:keepNext w:val="0"/>
        <w:keepLines w:val="0"/>
        <w:widowControl w:val="0"/>
        <w:numPr>
          <w:ilvl w:val="0"/>
          <w:numId w:val="29"/>
        </w:numPr>
        <w:shd w:val="clear" w:color="auto" w:fill="auto"/>
        <w:tabs>
          <w:tab w:pos="858" w:val="left"/>
        </w:tabs>
        <w:bidi w:val="0"/>
        <w:spacing w:before="0" w:after="240" w:line="312" w:lineRule="exact"/>
        <w:ind w:left="0" w:right="0" w:firstLine="460"/>
        <w:jc w:val="both"/>
        <w:rPr>
          <w:sz w:val="22"/>
          <w:szCs w:val="22"/>
        </w:rPr>
      </w:pPr>
      <w:bookmarkStart w:id="990" w:name="bookmark990"/>
      <w:bookmarkEnd w:id="990"/>
      <w:r>
        <w:rPr>
          <w:color w:val="000000"/>
          <w:spacing w:val="0"/>
          <w:w w:val="100"/>
          <w:position w:val="0"/>
          <w:sz w:val="22"/>
          <w:szCs w:val="22"/>
        </w:rPr>
        <w:t>发行方或债务人财务困难导致该金融资产的活跃市场消失；</w:t>
      </w:r>
    </w:p>
    <w:p>
      <w:pPr>
        <w:pStyle w:val="Style35"/>
        <w:keepNext w:val="0"/>
        <w:keepLines w:val="0"/>
        <w:widowControl w:val="0"/>
        <w:numPr>
          <w:ilvl w:val="0"/>
          <w:numId w:val="29"/>
        </w:numPr>
        <w:shd w:val="clear" w:color="auto" w:fill="auto"/>
        <w:tabs>
          <w:tab w:pos="858" w:val="left"/>
        </w:tabs>
        <w:bidi w:val="0"/>
        <w:spacing w:before="0" w:after="240" w:line="312" w:lineRule="exact"/>
        <w:ind w:left="0" w:right="0" w:firstLine="460"/>
        <w:jc w:val="both"/>
        <w:rPr>
          <w:sz w:val="22"/>
          <w:szCs w:val="22"/>
        </w:rPr>
      </w:pPr>
      <w:bookmarkStart w:id="991" w:name="bookmark991"/>
      <w:bookmarkEnd w:id="991"/>
      <w:r>
        <w:rPr>
          <w:color w:val="000000"/>
          <w:spacing w:val="0"/>
          <w:w w:val="100"/>
          <w:position w:val="0"/>
          <w:sz w:val="22"/>
          <w:szCs w:val="22"/>
        </w:rPr>
        <w:t>以大幅折扣购买或源生一项金融资产，该折扣反映了发生信用损失的事实。</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金融资产发生信用减值，有可能是多个事件的共同作用所致，未必是可单独识别的事件所致。</w:t>
      </w:r>
    </w:p>
    <w:p>
      <w:pPr>
        <w:pStyle w:val="Style35"/>
        <w:keepNext w:val="0"/>
        <w:keepLines w:val="0"/>
        <w:widowControl w:val="0"/>
        <w:shd w:val="clear" w:color="auto" w:fill="auto"/>
        <w:tabs>
          <w:tab w:pos="840" w:val="left"/>
        </w:tabs>
        <w:bidi w:val="0"/>
        <w:spacing w:before="0" w:after="240" w:line="317" w:lineRule="exact"/>
        <w:ind w:left="0" w:right="0" w:firstLine="460"/>
        <w:jc w:val="both"/>
        <w:rPr>
          <w:sz w:val="22"/>
          <w:szCs w:val="22"/>
        </w:rPr>
      </w:pPr>
      <w:bookmarkStart w:id="992" w:name="bookmark992"/>
      <w:r>
        <w:rPr>
          <w:rFonts w:ascii="Times New Roman" w:eastAsia="Times New Roman" w:hAnsi="Times New Roman" w:cs="Times New Roman"/>
          <w:color w:val="000000"/>
          <w:spacing w:val="0"/>
          <w:w w:val="100"/>
          <w:position w:val="0"/>
          <w:sz w:val="22"/>
          <w:szCs w:val="22"/>
        </w:rPr>
        <w:t>3</w:t>
      </w:r>
      <w:bookmarkEnd w:id="992"/>
      <w:r>
        <w:rPr>
          <w:color w:val="000000"/>
          <w:spacing w:val="0"/>
          <w:w w:val="100"/>
          <w:position w:val="0"/>
          <w:sz w:val="22"/>
          <w:szCs w:val="22"/>
        </w:rPr>
        <w:t>）</w:t>
        <w:tab/>
        <w:t>对于购买或源生的已发生信用减值的金融资产，在资产负债表日仅将自初始确认后整个存续 期内预期信用损失的累计变动确认为损失准备。在每个资产负债表日，将整个存续期内预期信用损失 的变动金额作为减值损失或利得计入当期损益。即使该资产负债表日确定的整个存续期内预期信用损 失小于初始确认时估计现金流量所反映的预期信用损失的金额，也将预期信用损失的有利变动确认为 减值利得。</w:t>
      </w:r>
    </w:p>
    <w:p>
      <w:pPr>
        <w:pStyle w:val="Style35"/>
        <w:keepNext w:val="0"/>
        <w:keepLines w:val="0"/>
        <w:widowControl w:val="0"/>
        <w:shd w:val="clear" w:color="auto" w:fill="auto"/>
        <w:tabs>
          <w:tab w:pos="835" w:val="left"/>
        </w:tabs>
        <w:bidi w:val="0"/>
        <w:spacing w:before="0" w:after="240" w:line="307" w:lineRule="exact"/>
        <w:ind w:left="0" w:right="0" w:firstLine="460"/>
        <w:jc w:val="both"/>
        <w:rPr>
          <w:sz w:val="22"/>
          <w:szCs w:val="22"/>
        </w:rPr>
      </w:pPr>
      <w:bookmarkStart w:id="993" w:name="bookmark993"/>
      <w:r>
        <w:rPr>
          <w:rFonts w:ascii="Times New Roman" w:eastAsia="Times New Roman" w:hAnsi="Times New Roman" w:cs="Times New Roman"/>
          <w:color w:val="000000"/>
          <w:spacing w:val="0"/>
          <w:w w:val="100"/>
          <w:position w:val="0"/>
          <w:sz w:val="22"/>
          <w:szCs w:val="22"/>
        </w:rPr>
        <w:t>4</w:t>
      </w:r>
      <w:bookmarkEnd w:id="993"/>
      <w:r>
        <w:rPr>
          <w:color w:val="000000"/>
          <w:spacing w:val="0"/>
          <w:w w:val="100"/>
          <w:position w:val="0"/>
          <w:sz w:val="22"/>
          <w:szCs w:val="22"/>
        </w:rPr>
        <w:t>）</w:t>
        <w:tab/>
        <w:t>除本条</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）计提金融工具损失准备的情形以外，本集团在每个资产负债表日评估相关金融工具 的信用风险自初始确认后是否已显著增加，并按照下列情形分别计量其损失准备、确认预期信用损失 及其变动：</w:t>
      </w:r>
    </w:p>
    <w:p>
      <w:pPr>
        <w:pStyle w:val="Style35"/>
        <w:keepNext w:val="0"/>
        <w:keepLines w:val="0"/>
        <w:widowControl w:val="0"/>
        <w:numPr>
          <w:ilvl w:val="0"/>
          <w:numId w:val="31"/>
        </w:numPr>
        <w:shd w:val="clear" w:color="auto" w:fill="auto"/>
        <w:bidi w:val="0"/>
        <w:spacing w:before="0" w:after="240" w:line="312" w:lineRule="exact"/>
        <w:ind w:left="0" w:right="0" w:firstLine="460"/>
        <w:jc w:val="both"/>
        <w:rPr>
          <w:sz w:val="22"/>
          <w:szCs w:val="22"/>
        </w:rPr>
      </w:pPr>
      <w:bookmarkStart w:id="994" w:name="bookmark994"/>
      <w:bookmarkEnd w:id="994"/>
      <w:r>
        <w:rPr>
          <w:color w:val="000000"/>
          <w:spacing w:val="0"/>
          <w:w w:val="100"/>
          <w:position w:val="0"/>
          <w:sz w:val="22"/>
          <w:szCs w:val="22"/>
        </w:rPr>
        <w:t>如果该金融工具的信用风险自初始确认后已显著增加，则按照相当于该金融工具整个存续期内 预期信用损失的金额计量其损失准备。无论集团评估信用损失的基础是单项金融工具还是金融工具组 合，由此形成的损失准备的增加或转回金额，应当作为减值损失或利得计入当期损益。</w:t>
      </w:r>
    </w:p>
    <w:p>
      <w:pPr>
        <w:pStyle w:val="Style35"/>
        <w:keepNext w:val="0"/>
        <w:keepLines w:val="0"/>
        <w:widowControl w:val="0"/>
        <w:numPr>
          <w:ilvl w:val="0"/>
          <w:numId w:val="31"/>
        </w:numPr>
        <w:shd w:val="clear" w:color="auto" w:fill="auto"/>
        <w:bidi w:val="0"/>
        <w:spacing w:before="0" w:after="220" w:line="312" w:lineRule="exact"/>
        <w:ind w:left="0" w:right="0" w:firstLine="460"/>
        <w:jc w:val="both"/>
        <w:rPr>
          <w:sz w:val="22"/>
          <w:szCs w:val="22"/>
        </w:rPr>
      </w:pPr>
      <w:bookmarkStart w:id="995" w:name="bookmark995"/>
      <w:bookmarkEnd w:id="995"/>
      <w:r>
        <w:rPr>
          <w:color w:val="000000"/>
          <w:spacing w:val="0"/>
          <w:w w:val="100"/>
          <w:position w:val="0"/>
          <w:sz w:val="22"/>
          <w:szCs w:val="22"/>
        </w:rPr>
        <w:t>如果该金融工具的信用风险自初始确认后并未显著增加，则按照相当于该金融工具未来</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 内预期信用损失的金额计量其损失准备，无论集团评估信用损失的基础是单项金融工具还是金融工具 组合，由此形成的损失准备的增加或转回金额，应当作为减值损失或利得计入当期损益。</w:t>
      </w:r>
    </w:p>
    <w:p>
      <w:pPr>
        <w:pStyle w:val="Style35"/>
        <w:keepNext w:val="0"/>
        <w:keepLines w:val="0"/>
        <w:widowControl w:val="0"/>
        <w:shd w:val="clear" w:color="auto" w:fill="auto"/>
        <w:bidi w:val="0"/>
        <w:spacing w:before="0" w:after="220" w:line="319" w:lineRule="exact"/>
        <w:ind w:left="0" w:right="0" w:firstLine="460"/>
        <w:jc w:val="both"/>
        <w:rPr>
          <w:sz w:val="22"/>
          <w:szCs w:val="22"/>
        </w:rPr>
      </w:pPr>
      <w:r>
        <w:rPr>
          <w:color w:val="000000"/>
          <w:spacing w:val="0"/>
          <w:w w:val="100"/>
          <w:position w:val="0"/>
          <w:sz w:val="22"/>
          <w:szCs w:val="22"/>
        </w:rPr>
        <w:t>未来</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个月内预期信用损失，是指因资产负债表日后</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个月内（若金融工具的预计存续期少于</w:t>
      </w:r>
      <w:r>
        <w:rPr>
          <w:rFonts w:ascii="Times New Roman" w:eastAsia="Times New Roman" w:hAnsi="Times New Roman" w:cs="Times New Roman"/>
          <w:color w:val="000000"/>
          <w:spacing w:val="0"/>
          <w:w w:val="100"/>
          <w:position w:val="0"/>
          <w:sz w:val="22"/>
          <w:szCs w:val="22"/>
        </w:rPr>
        <w:t xml:space="preserve">12 </w:t>
      </w:r>
      <w:r>
        <w:rPr>
          <w:color w:val="000000"/>
          <w:spacing w:val="0"/>
          <w:w w:val="100"/>
          <w:position w:val="0"/>
          <w:sz w:val="22"/>
          <w:szCs w:val="22"/>
        </w:rPr>
        <w:t>个月，则为预计存续期）可能发生的金融工具违约事件而导致的预期信用损失，是整个存续期预期信 用损失的一部分。</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在进行相关评估时，本集团通过比较金融工具在初始确认时所确定的预计存续期内的违约概率和 该工具在资产负债表日所确定的预计存续期内的违约概率，来判定金融工具信用风险是否显著增加。 但是，如果本集团确定金融工具在资产负债表日只具有较低的信用风险的，可以假设该金融工具的信 用风险自初始确认后并未显著增加。通常情况下，如果逾期超过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0，</w:t>
      </w:r>
      <w:r>
        <w:rPr>
          <w:color w:val="000000"/>
          <w:spacing w:val="0"/>
          <w:w w:val="100"/>
          <w:position w:val="0"/>
          <w:sz w:val="22"/>
          <w:szCs w:val="22"/>
        </w:rPr>
        <w:t>则表明金融工具的信用风险已 经显著增加。除非本集团在无须付出不必要的额外成本或努力的情况下即可获得合理且有依据的信 息，证明即使逾期超过</w:t>
      </w:r>
      <w:r>
        <w:rPr>
          <w:rFonts w:ascii="Times New Roman" w:eastAsia="Times New Roman" w:hAnsi="Times New Roman" w:cs="Times New Roman"/>
          <w:color w:val="000000"/>
          <w:spacing w:val="0"/>
          <w:w w:val="100"/>
          <w:position w:val="0"/>
          <w:sz w:val="22"/>
          <w:szCs w:val="22"/>
        </w:rPr>
        <w:t xml:space="preserve">30 </w:t>
      </w:r>
      <w:r>
        <w:rPr>
          <w:color w:val="000000"/>
          <w:spacing w:val="0"/>
          <w:w w:val="100"/>
          <w:position w:val="0"/>
          <w:sz w:val="22"/>
          <w:szCs w:val="22"/>
        </w:rPr>
        <w:t>0</w:t>
      </w:r>
      <w:r>
        <w:rPr>
          <w:color w:val="000000"/>
          <w:spacing w:val="0"/>
          <w:w w:val="100"/>
          <w:position w:val="0"/>
          <w:sz w:val="22"/>
          <w:szCs w:val="22"/>
        </w:rPr>
        <w:t>，信用风险自初始确认后仍未显著增加。在确定信用风险自初始确认后是 否显著增加时，本集团考虑无须付出不必要的额外成本或努力即可获得的合理且有依据的信息，包括 前瞻性信息。</w:t>
      </w:r>
    </w:p>
    <w:p>
      <w:pPr>
        <w:pStyle w:val="Style35"/>
        <w:keepNext w:val="0"/>
        <w:keepLines w:val="0"/>
        <w:widowControl w:val="0"/>
        <w:shd w:val="clear" w:color="auto" w:fill="auto"/>
        <w:bidi w:val="0"/>
        <w:spacing w:before="0" w:after="220" w:line="331" w:lineRule="exact"/>
        <w:ind w:left="0" w:right="0" w:firstLine="460"/>
        <w:jc w:val="both"/>
        <w:rPr>
          <w:sz w:val="22"/>
          <w:szCs w:val="22"/>
        </w:rPr>
      </w:pPr>
      <w:bookmarkStart w:id="996" w:name="bookmark996"/>
      <w:r>
        <w:rPr>
          <w:rFonts w:ascii="Times New Roman" w:eastAsia="Times New Roman" w:hAnsi="Times New Roman" w:cs="Times New Roman"/>
          <w:color w:val="000000"/>
          <w:spacing w:val="0"/>
          <w:w w:val="100"/>
          <w:position w:val="0"/>
          <w:sz w:val="22"/>
          <w:szCs w:val="22"/>
        </w:rPr>
        <w:t>5</w:t>
      </w:r>
      <w:bookmarkEnd w:id="996"/>
      <w:r>
        <w:rPr>
          <w:color w:val="000000"/>
          <w:spacing w:val="0"/>
          <w:w w:val="100"/>
          <w:position w:val="0"/>
          <w:sz w:val="22"/>
          <w:szCs w:val="22"/>
        </w:rPr>
        <w:t>）以组合为基础的评估：为确保自金融工具初始确认后信用风险显著增加即确认整个存续期预 期信用损失，在一些情况下以组合为基础考虑评估信用风险是否显著增加。</w:t>
      </w:r>
    </w:p>
    <w:p>
      <w:pPr>
        <w:pStyle w:val="Style35"/>
        <w:keepNext w:val="0"/>
        <w:keepLines w:val="0"/>
        <w:widowControl w:val="0"/>
        <w:shd w:val="clear" w:color="auto" w:fill="auto"/>
        <w:bidi w:val="0"/>
        <w:spacing w:before="0" w:after="660" w:line="314" w:lineRule="exact"/>
        <w:ind w:left="0" w:right="0" w:firstLine="460"/>
        <w:jc w:val="both"/>
        <w:rPr>
          <w:sz w:val="22"/>
          <w:szCs w:val="22"/>
        </w:rPr>
      </w:pPr>
      <w:r>
        <w:rPr>
          <w:color w:val="000000"/>
          <w:spacing w:val="0"/>
          <w:w w:val="100"/>
          <w:position w:val="0"/>
          <w:sz w:val="22"/>
          <w:szCs w:val="22"/>
        </w:rPr>
        <w:t>对于应收票据、应收账款、合同资产、其他应收款，本集团在单项工具层面无法以合理成本获得 关于信用风险显著增加的充分证据，而在组合基础上评估信用风险是否显著增加是可行的，所以本集 团按照金融工具类型、初始确认日期、债务人性质以及担保物类型为共同风险特征，对应收票据、应 收账款、合同资产、其他应收款进行分组并以组合为基础考虑评估信用风险是否显著增加。按照金融 工具类型为共同风险特征，对应收票据进行分组并以组合为基础考虑评估信用风险是否显著增加；按 照初始确认日期、债务人性质及担保物类型为共同风险特征，对应收账款、合同资产、其他应收款进 行分组并以组合为基础考虑评估信用风险是否显著增加。</w:t>
      </w:r>
    </w:p>
    <w:p>
      <w:pPr>
        <w:pStyle w:val="Style32"/>
        <w:keepNext/>
        <w:keepLines/>
        <w:widowControl w:val="0"/>
        <w:shd w:val="clear" w:color="auto" w:fill="auto"/>
        <w:bidi w:val="0"/>
        <w:spacing w:before="0" w:after="38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0</w:t>
      </w:r>
      <w:r>
        <w:rPr>
          <w:color w:val="000000"/>
          <w:spacing w:val="0"/>
          <w:w w:val="100"/>
          <w:position w:val="0"/>
        </w:rPr>
        <w:t>、应收票据</w:t>
      </w:r>
      <w:bookmarkEnd w:id="1000"/>
      <w:bookmarkEnd w:id="997"/>
      <w:bookmarkEnd w:id="998"/>
    </w:p>
    <w:p>
      <w:pPr>
        <w:pStyle w:val="Style28"/>
        <w:keepNext w:val="0"/>
        <w:keepLines w:val="0"/>
        <w:widowControl w:val="0"/>
        <w:shd w:val="clear" w:color="auto" w:fill="auto"/>
        <w:bidi w:val="0"/>
        <w:spacing w:before="0" w:after="660" w:line="240" w:lineRule="auto"/>
        <w:ind w:left="0" w:right="0" w:firstLine="0"/>
        <w:jc w:val="both"/>
      </w:pPr>
      <w:r>
        <w:rPr>
          <w:color w:val="000000"/>
          <w:spacing w:val="0"/>
          <w:w w:val="100"/>
          <w:position w:val="0"/>
        </w:rPr>
        <w:t>与本集团应收款项的预期信用损失的确定方法及会计处理方法相同。</w:t>
      </w:r>
    </w:p>
    <w:p>
      <w:pPr>
        <w:pStyle w:val="Style32"/>
        <w:keepNext/>
        <w:keepLines/>
        <w:widowControl w:val="0"/>
        <w:shd w:val="clear" w:color="auto" w:fill="auto"/>
        <w:bidi w:val="0"/>
        <w:spacing w:before="0" w:after="280" w:line="317" w:lineRule="exact"/>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01"/>
      <w:bookmarkEnd w:id="1002"/>
      <w:bookmarkEnd w:id="1004"/>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本集团在资产负债表日计算应收款项预期信用损失，如果该预期信用损失大于当前应收款项减值 准备的账面金额，本集团将其差额确认为应收款项值损失，借记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相反，本集团将差额确认为减值利得，做相反的会计记录。</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本集团实际发生信用损失，认定相关应收款项无法收回，经批准予以核销的，根据批准的核销金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长期应收款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等。若核销金额大于已计提的损失准 备，按期差额借记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p>
      <w:pPr>
        <w:pStyle w:val="Style35"/>
        <w:keepNext w:val="0"/>
        <w:keepLines w:val="0"/>
        <w:widowControl w:val="0"/>
        <w:shd w:val="clear" w:color="auto" w:fill="auto"/>
        <w:bidi w:val="0"/>
        <w:spacing w:before="0" w:after="220" w:line="298" w:lineRule="exact"/>
        <w:ind w:left="0" w:right="0" w:firstLine="460"/>
        <w:jc w:val="both"/>
        <w:rPr>
          <w:sz w:val="22"/>
          <w:szCs w:val="22"/>
        </w:rPr>
      </w:pPr>
      <w:r>
        <w:rPr>
          <w:color w:val="000000"/>
          <w:spacing w:val="0"/>
          <w:w w:val="100"/>
          <w:position w:val="0"/>
          <w:sz w:val="22"/>
          <w:szCs w:val="22"/>
        </w:rPr>
        <w:t>本集团根据以前年度的实际信用损失，并考虑本年的前瞻性信息进行测算，本集团按以下方法确 认预期信用减值损失：</w:t>
      </w:r>
    </w:p>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）单项金额重大并单独计提损失准备的应收款项</w:t>
      </w:r>
    </w:p>
    <w:tbl>
      <w:tblPr>
        <w:tblOverlap w:val="never"/>
        <w:jc w:val="left"/>
        <w:tblLayout w:type="fixed"/>
      </w:tblPr>
      <w:tblGrid>
        <w:gridCol w:w="3269"/>
        <w:gridCol w:w="5386"/>
      </w:tblGrid>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单项金额重大的判断依据或金额 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本集团将占应收款项比重超过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的单个客户应收款项 确认为单项金额重大的应收款项。</w:t>
            </w:r>
          </w:p>
        </w:tc>
      </w:tr>
      <w:tr>
        <w:trPr>
          <w:trHeight w:val="15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单项金额重大并单项计提损失准</w:t>
            </w:r>
          </w:p>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0" w:lineRule="exact"/>
              <w:ind w:left="0" w:right="0" w:firstLine="0"/>
              <w:jc w:val="both"/>
              <w:rPr>
                <w:sz w:val="22"/>
                <w:szCs w:val="22"/>
              </w:rPr>
            </w:pPr>
            <w:r>
              <w:rPr>
                <w:color w:val="000000"/>
                <w:spacing w:val="0"/>
                <w:w w:val="100"/>
                <w:position w:val="0"/>
                <w:sz w:val="22"/>
                <w:szCs w:val="22"/>
              </w:rPr>
              <w:t>本集团对单项金额重大的应收款项单独进行减值测试， 单独测试信用风险未显著增加的应收款项，包括在具有 类似信用风险特征的组合中进行减值测试。单项测试已 确认减值损失的应收款项，不再包括在具有类似信用风 险特征的应收款项组合中进行减值测试。</w:t>
            </w:r>
          </w:p>
        </w:tc>
      </w:tr>
    </w:tbl>
    <w:p>
      <w:pPr>
        <w:widowControl w:val="0"/>
        <w:spacing w:after="2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）按信用风险特征组合计提损失准备的应收款项</w:t>
      </w:r>
    </w:p>
    <w:tbl>
      <w:tblPr>
        <w:tblOverlap w:val="never"/>
        <w:jc w:val="left"/>
        <w:tblLayout w:type="fixed"/>
      </w:tblPr>
      <w:tblGrid>
        <w:gridCol w:w="3134"/>
        <w:gridCol w:w="5395"/>
      </w:tblGrid>
      <w:tr>
        <w:trPr>
          <w:trHeight w:val="35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组合名称</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损失准备计提方法</w:t>
            </w:r>
          </w:p>
        </w:tc>
      </w:tr>
      <w:tr>
        <w:trPr>
          <w:trHeight w:val="9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sz w:val="22"/>
                <w:szCs w:val="22"/>
              </w:rPr>
              <w:t>（计算机及服务行业） 组合</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（商品批发行业）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参考历史信用损失经验，结合当前状况以及对未来经济 状况的预测，编制应收款项账龄与整个存续期预期信用 损失率对照表，计算预期信用损失。</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（备用金组合）</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预期信用风险较小，不计提减值准备；当有证据表明信 用风险显著增加时，则单项认定考虑预期信用风险减值 损失。</w:t>
            </w:r>
          </w:p>
        </w:tc>
      </w:tr>
      <w:tr>
        <w:trPr>
          <w:trHeight w:val="63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sz w:val="22"/>
                <w:szCs w:val="22"/>
              </w:rPr>
              <w:t>（内部关联方组合）</w:t>
            </w:r>
          </w:p>
        </w:tc>
        <w:tc>
          <w:tcPr>
            <w:vMerge/>
            <w:tcBorders>
              <w:left w:val="single" w:sz="4"/>
              <w:bottom w:val="single" w:sz="4"/>
              <w:right w:val="single" w:sz="4"/>
            </w:tcBorders>
            <w:shd w:val="clear" w:color="auto" w:fill="FFFFFF"/>
            <w:vAlign w:val="center"/>
          </w:tcPr>
          <w:p>
            <w:pPr/>
          </w:p>
        </w:tc>
      </w:tr>
    </w:tbl>
    <w:p>
      <w:pPr>
        <w:widowControl w:val="0"/>
        <w:spacing w:after="579" w:line="1" w:lineRule="exact"/>
      </w:pPr>
    </w:p>
    <w:p>
      <w:pPr>
        <w:pStyle w:val="Style32"/>
        <w:keepNext/>
        <w:keepLines/>
        <w:widowControl w:val="0"/>
        <w:shd w:val="clear" w:color="auto" w:fill="auto"/>
        <w:bidi w:val="0"/>
        <w:spacing w:before="0" w:after="300" w:line="312" w:lineRule="exact"/>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、应收款项融资</w:t>
      </w:r>
      <w:bookmarkEnd w:id="1005"/>
      <w:bookmarkEnd w:id="1006"/>
      <w:bookmarkEnd w:id="1008"/>
    </w:p>
    <w:p>
      <w:pPr>
        <w:pStyle w:val="Style35"/>
        <w:keepNext w:val="0"/>
        <w:keepLines w:val="0"/>
        <w:widowControl w:val="0"/>
        <w:shd w:val="clear" w:color="auto" w:fill="auto"/>
        <w:bidi w:val="0"/>
        <w:spacing w:before="0" w:after="580" w:line="312" w:lineRule="exact"/>
        <w:ind w:left="0" w:right="0" w:firstLine="460"/>
        <w:jc w:val="both"/>
        <w:rPr>
          <w:sz w:val="22"/>
          <w:szCs w:val="22"/>
        </w:rPr>
      </w:pPr>
      <w:r>
        <w:rPr>
          <w:color w:val="000000"/>
          <w:spacing w:val="0"/>
          <w:w w:val="100"/>
          <w:position w:val="0"/>
          <w:sz w:val="22"/>
          <w:szCs w:val="22"/>
        </w:rPr>
        <w:t>对于合同现金流量特征与基本借贷安排相一致，且本集团管理此类金融资产的业务模式为既以收 取合同现金流量为目标又以出售为目标的应收票据及应收账款，本集团将其分类为应收款项融资，以 公允价值计量且其变动计入其他综合收益。应收款项融资采用实际利率法确认的利息收入、减值损失 及汇兑差额确认为当期损益，其余公允价值变动计入其他综合收益。终止确认时，之前计入其他综合 收益的累计利得或损失从其他综合收益转出，计入当期损益。</w:t>
      </w:r>
    </w:p>
    <w:p>
      <w:pPr>
        <w:pStyle w:val="Style32"/>
        <w:keepNext/>
        <w:keepLines/>
        <w:widowControl w:val="0"/>
        <w:shd w:val="clear" w:color="auto" w:fill="auto"/>
        <w:tabs>
          <w:tab w:pos="474" w:val="left"/>
        </w:tabs>
        <w:bidi w:val="0"/>
        <w:spacing w:before="0" w:after="400" w:line="313" w:lineRule="exact"/>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009"/>
      <w:bookmarkEnd w:id="1010"/>
      <w:bookmarkEnd w:id="1012"/>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与本集团应收款项的预期信用损失的确定方法及会计处理方法相同。</w:t>
      </w:r>
    </w:p>
    <w:p>
      <w:pPr>
        <w:pStyle w:val="Style32"/>
        <w:keepNext/>
        <w:keepLines/>
        <w:widowControl w:val="0"/>
        <w:shd w:val="clear" w:color="auto" w:fill="auto"/>
        <w:tabs>
          <w:tab w:pos="474" w:val="left"/>
        </w:tabs>
        <w:bidi w:val="0"/>
        <w:spacing w:before="0" w:after="300" w:line="313" w:lineRule="exact"/>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1013"/>
      <w:bookmarkEnd w:id="1014"/>
      <w:bookmarkEnd w:id="1016"/>
    </w:p>
    <w:p>
      <w:pPr>
        <w:pStyle w:val="Style35"/>
        <w:keepNext w:val="0"/>
        <w:keepLines w:val="0"/>
        <w:widowControl w:val="0"/>
        <w:shd w:val="clear" w:color="auto" w:fill="auto"/>
        <w:bidi w:val="0"/>
        <w:spacing w:before="0" w:after="240" w:line="314" w:lineRule="exact"/>
        <w:ind w:left="0" w:right="0" w:firstLine="460"/>
        <w:jc w:val="both"/>
        <w:rPr>
          <w:sz w:val="22"/>
          <w:szCs w:val="22"/>
        </w:rPr>
      </w:pPr>
      <w:r>
        <w:rPr>
          <w:color w:val="000000"/>
          <w:spacing w:val="0"/>
          <w:w w:val="100"/>
          <w:position w:val="0"/>
          <w:sz w:val="22"/>
          <w:szCs w:val="22"/>
        </w:rPr>
        <w:t>本集团存货主要包括日常活动中持有以备出售的产成品或商品、处于生产过程中的在产品、在生 产过程或提供劳务过程中耗用的材料和物料等。具体划分为原材料、低值易耗品、库存商品、在建系 统集成项目成本、发出商品等。</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存货实行永续盘存制，存货在取得时按实际成本计价；领用或发出存货，采用先进先出法确定其 实际成本。低值易耗品和包装物采用一次转销法进行摊销。</w:t>
      </w:r>
    </w:p>
    <w:p>
      <w:pPr>
        <w:pStyle w:val="Style35"/>
        <w:keepNext w:val="0"/>
        <w:keepLines w:val="0"/>
        <w:widowControl w:val="0"/>
        <w:shd w:val="clear" w:color="auto" w:fill="auto"/>
        <w:bidi w:val="0"/>
        <w:spacing w:before="0" w:after="360" w:line="312" w:lineRule="exact"/>
        <w:ind w:left="0" w:right="0" w:firstLine="460"/>
        <w:jc w:val="both"/>
        <w:rPr>
          <w:sz w:val="22"/>
          <w:szCs w:val="22"/>
        </w:rPr>
      </w:pPr>
      <w:r>
        <w:rPr>
          <w:color w:val="000000"/>
          <w:spacing w:val="0"/>
          <w:w w:val="100"/>
          <w:position w:val="0"/>
          <w:sz w:val="22"/>
          <w:szCs w:val="22"/>
        </w:rPr>
        <w:t xml:space="preserve">库存商品、在产品和用于出售的材料等直接用于出售的商品存货，其可变现净值按该存货的估计 售价减去估计的销售费用和相关税费后的金额确定；用于生产而持有的材料存货，其可变现净值按所 </w:t>
      </w:r>
      <w:r>
        <w:rPr>
          <w:color w:val="000000"/>
          <w:spacing w:val="0"/>
          <w:w w:val="100"/>
          <w:position w:val="0"/>
          <w:sz w:val="22"/>
          <w:szCs w:val="22"/>
        </w:rPr>
        <w:t>生产的产成品的估计售价减去至完工时估计将要发生的成本、估计的销售费用和相关税费后的金额确 定。</w:t>
      </w:r>
    </w:p>
    <w:p>
      <w:pPr>
        <w:pStyle w:val="Style32"/>
        <w:keepNext/>
        <w:keepLines/>
        <w:widowControl w:val="0"/>
        <w:shd w:val="clear" w:color="auto" w:fill="auto"/>
        <w:tabs>
          <w:tab w:pos="474" w:val="left"/>
        </w:tabs>
        <w:bidi w:val="0"/>
        <w:spacing w:before="0" w:after="220" w:line="326"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1017"/>
      <w:bookmarkEnd w:id="1018"/>
      <w:bookmarkEnd w:id="1020"/>
    </w:p>
    <w:p>
      <w:pPr>
        <w:pStyle w:val="Style35"/>
        <w:keepNext w:val="0"/>
        <w:keepLines w:val="0"/>
        <w:widowControl w:val="0"/>
        <w:shd w:val="clear" w:color="auto" w:fill="auto"/>
        <w:tabs>
          <w:tab w:pos="882" w:val="left"/>
        </w:tabs>
        <w:bidi w:val="0"/>
        <w:spacing w:before="0" w:after="220" w:line="313" w:lineRule="exact"/>
        <w:ind w:left="0" w:right="0" w:firstLine="380"/>
        <w:jc w:val="both"/>
        <w:rPr>
          <w:sz w:val="22"/>
          <w:szCs w:val="22"/>
        </w:rPr>
      </w:pPr>
      <w:bookmarkStart w:id="1021" w:name="bookmark1021"/>
      <w:r>
        <w:rPr>
          <w:color w:val="000000"/>
          <w:spacing w:val="0"/>
          <w:w w:val="100"/>
          <w:position w:val="0"/>
          <w:sz w:val="22"/>
          <w:szCs w:val="22"/>
        </w:rPr>
        <w:t>（</w:t>
      </w:r>
      <w:bookmarkEnd w:id="1021"/>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合同资产的确认方法及标准</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合同资产，是指本集团已向客户转让商品而有权收取对价的权利，且该权利取决于时间流逝之外 的其他因素。如本集团向客户销售两项可明确区分的商品，因已交付其中一项商品而有权收取款项， 但收取该款项还取决于交付另一项商品的，本集团将该收款权利作为合同资产。</w:t>
      </w:r>
    </w:p>
    <w:p>
      <w:pPr>
        <w:pStyle w:val="Style35"/>
        <w:keepNext w:val="0"/>
        <w:keepLines w:val="0"/>
        <w:widowControl w:val="0"/>
        <w:shd w:val="clear" w:color="auto" w:fill="auto"/>
        <w:tabs>
          <w:tab w:pos="882" w:val="left"/>
        </w:tabs>
        <w:bidi w:val="0"/>
        <w:spacing w:before="0" w:after="220" w:line="313" w:lineRule="exact"/>
        <w:ind w:left="0" w:right="0" w:firstLine="380"/>
        <w:jc w:val="left"/>
        <w:rPr>
          <w:sz w:val="22"/>
          <w:szCs w:val="22"/>
        </w:rPr>
      </w:pPr>
      <w:bookmarkStart w:id="1022" w:name="bookmark1022"/>
      <w:r>
        <w:rPr>
          <w:color w:val="000000"/>
          <w:spacing w:val="0"/>
          <w:w w:val="100"/>
          <w:position w:val="0"/>
          <w:sz w:val="22"/>
          <w:szCs w:val="22"/>
        </w:rPr>
        <w:t>（</w:t>
      </w:r>
      <w:bookmarkEnd w:id="1022"/>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合同资产的预期信用损失的确定方法及会计处理方法</w:t>
      </w:r>
    </w:p>
    <w:p>
      <w:pPr>
        <w:pStyle w:val="Style35"/>
        <w:keepNext w:val="0"/>
        <w:keepLines w:val="0"/>
        <w:widowControl w:val="0"/>
        <w:shd w:val="clear" w:color="auto" w:fill="auto"/>
        <w:bidi w:val="0"/>
        <w:spacing w:before="0" w:after="220" w:line="313" w:lineRule="exact"/>
        <w:ind w:left="0" w:right="0" w:firstLine="460"/>
        <w:jc w:val="left"/>
        <w:rPr>
          <w:sz w:val="22"/>
          <w:szCs w:val="22"/>
        </w:rPr>
      </w:pPr>
      <w:r>
        <w:rPr>
          <w:color w:val="000000"/>
          <w:spacing w:val="0"/>
          <w:w w:val="100"/>
          <w:position w:val="0"/>
          <w:sz w:val="22"/>
          <w:szCs w:val="22"/>
        </w:rPr>
        <w:t>合同资产的预期信用损失的确定方法，参照上述</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应收账款相关内容描述。</w:t>
      </w:r>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会计处理方法，本集团在资产负债表日计算合同资产预期信用损失，如果该预期信用损失大于当 前合同资产减值准备的账面金额，本集团将其差额确认为减值损失，借记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资产减值损失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 同资产减值准备相反，本集团将差额确认为减值利得，做相反的会计记录。</w:t>
      </w:r>
    </w:p>
    <w:p>
      <w:pPr>
        <w:pStyle w:val="Style35"/>
        <w:keepNext w:val="0"/>
        <w:keepLines w:val="0"/>
        <w:widowControl w:val="0"/>
        <w:shd w:val="clear" w:color="auto" w:fill="auto"/>
        <w:bidi w:val="0"/>
        <w:spacing w:before="0" w:after="360" w:line="317" w:lineRule="exact"/>
        <w:ind w:left="0" w:right="0" w:firstLine="460"/>
        <w:jc w:val="both"/>
        <w:rPr>
          <w:sz w:val="22"/>
          <w:szCs w:val="22"/>
        </w:rPr>
      </w:pPr>
      <w:r>
        <w:rPr>
          <w:color w:val="000000"/>
          <w:spacing w:val="0"/>
          <w:w w:val="100"/>
          <w:position w:val="0"/>
          <w:sz w:val="22"/>
          <w:szCs w:val="22"/>
        </w:rPr>
        <w:t>本集团实际发生信用损失，认定相关合同资产无法收回，经批准予以核销的，根据批准的核销金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合同资产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资 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p>
      <w:pPr>
        <w:pStyle w:val="Style32"/>
        <w:keepNext/>
        <w:keepLines/>
        <w:widowControl w:val="0"/>
        <w:shd w:val="clear" w:color="auto" w:fill="auto"/>
        <w:tabs>
          <w:tab w:pos="474" w:val="left"/>
        </w:tabs>
        <w:bidi w:val="0"/>
        <w:spacing w:before="0" w:after="220" w:line="326"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bookmarkEnd w:id="1025"/>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1023"/>
      <w:bookmarkEnd w:id="1024"/>
      <w:bookmarkEnd w:id="1026"/>
    </w:p>
    <w:p>
      <w:pPr>
        <w:pStyle w:val="Style35"/>
        <w:keepNext w:val="0"/>
        <w:keepLines w:val="0"/>
        <w:widowControl w:val="0"/>
        <w:shd w:val="clear" w:color="auto" w:fill="auto"/>
        <w:tabs>
          <w:tab w:pos="882" w:val="left"/>
        </w:tabs>
        <w:bidi w:val="0"/>
        <w:spacing w:before="0" w:after="220" w:line="313" w:lineRule="exact"/>
        <w:ind w:left="0" w:right="0" w:firstLine="380"/>
        <w:jc w:val="left"/>
        <w:rPr>
          <w:sz w:val="22"/>
          <w:szCs w:val="22"/>
        </w:rPr>
      </w:pPr>
      <w:bookmarkStart w:id="1027" w:name="bookmark1027"/>
      <w:r>
        <w:rPr>
          <w:color w:val="000000"/>
          <w:spacing w:val="0"/>
          <w:w w:val="100"/>
          <w:position w:val="0"/>
          <w:sz w:val="22"/>
          <w:szCs w:val="22"/>
        </w:rPr>
        <w:t>（</w:t>
      </w:r>
      <w:bookmarkEnd w:id="1027"/>
      <w:r>
        <w:rPr>
          <w:color w:val="000000"/>
          <w:spacing w:val="0"/>
          <w:w w:val="100"/>
          <w:position w:val="0"/>
          <w:sz w:val="22"/>
          <w:szCs w:val="22"/>
        </w:rPr>
        <w:t>1）</w:t>
        <w:tab/>
      </w:r>
      <w:r>
        <w:rPr>
          <w:color w:val="000000"/>
          <w:spacing w:val="0"/>
          <w:w w:val="100"/>
          <w:position w:val="0"/>
          <w:sz w:val="22"/>
          <w:szCs w:val="22"/>
        </w:rPr>
        <w:t>与合同成本有关的资产金额的确定方法</w:t>
      </w:r>
    </w:p>
    <w:p>
      <w:pPr>
        <w:pStyle w:val="Style35"/>
        <w:keepNext w:val="0"/>
        <w:keepLines w:val="0"/>
        <w:widowControl w:val="0"/>
        <w:shd w:val="clear" w:color="auto" w:fill="auto"/>
        <w:bidi w:val="0"/>
        <w:spacing w:before="0" w:after="220" w:line="313" w:lineRule="exact"/>
        <w:ind w:left="0" w:right="0" w:firstLine="820"/>
        <w:jc w:val="both"/>
        <w:rPr>
          <w:sz w:val="22"/>
          <w:szCs w:val="22"/>
        </w:rPr>
      </w:pPr>
      <w:r>
        <w:rPr>
          <w:color w:val="000000"/>
          <w:spacing w:val="0"/>
          <w:w w:val="100"/>
          <w:position w:val="0"/>
          <w:sz w:val="22"/>
          <w:szCs w:val="22"/>
        </w:rPr>
        <w:t>本集团与合同成本有关的资产包括合同履约成本和合同取得成本。</w:t>
      </w:r>
    </w:p>
    <w:p>
      <w:pPr>
        <w:pStyle w:val="Style35"/>
        <w:keepNext w:val="0"/>
        <w:keepLines w:val="0"/>
        <w:widowControl w:val="0"/>
        <w:shd w:val="clear" w:color="auto" w:fill="auto"/>
        <w:bidi w:val="0"/>
        <w:spacing w:before="0" w:after="220" w:line="313" w:lineRule="exact"/>
        <w:ind w:left="380" w:right="0" w:firstLine="440"/>
        <w:jc w:val="both"/>
        <w:rPr>
          <w:sz w:val="22"/>
          <w:szCs w:val="22"/>
        </w:rPr>
      </w:pPr>
      <w:r>
        <w:rPr>
          <w:color w:val="000000"/>
          <w:spacing w:val="0"/>
          <w:w w:val="100"/>
          <w:position w:val="0"/>
          <w:sz w:val="22"/>
          <w:szCs w:val="22"/>
        </w:rPr>
        <w:t>合同履约成本，即本集团为履行合同发生的成本，不属于其他企业会计准则规范范围且同时 满足下列条件的，作为合同履约成本确认为一项资产：该成本与一份当前或预期取得的合同直接 相关，包括直接人工、直接材料、制造费用（或类似费用）、明确由客户承担的成本以及仅因该 合同而发生的其他成本；该成本增加了本集团未来用于履行履约义务的资源；该成本预期能够收 回。</w:t>
      </w:r>
    </w:p>
    <w:p>
      <w:pPr>
        <w:pStyle w:val="Style35"/>
        <w:keepNext w:val="0"/>
        <w:keepLines w:val="0"/>
        <w:widowControl w:val="0"/>
        <w:shd w:val="clear" w:color="auto" w:fill="auto"/>
        <w:bidi w:val="0"/>
        <w:spacing w:before="0" w:after="220" w:line="311" w:lineRule="exact"/>
        <w:ind w:left="380" w:right="0" w:firstLine="440"/>
        <w:jc w:val="both"/>
        <w:rPr>
          <w:sz w:val="22"/>
          <w:szCs w:val="22"/>
        </w:rPr>
      </w:pPr>
      <w:r>
        <w:rPr>
          <w:color w:val="000000"/>
          <w:spacing w:val="0"/>
          <w:w w:val="100"/>
          <w:position w:val="0"/>
          <w:sz w:val="22"/>
          <w:szCs w:val="22"/>
        </w:rPr>
        <w:t>合同取得成本，即本集团为取得合同发生的增量成本预期能够收回的，作为合同取得成本确 认为一项资产；该资产摊销期限不超过一年的，在发生时计入当期损益。增量成本，是指本集团 不取得合同就不会发生的成本（如销售佣金等）。本集团为取得合同发生的、除预期能够收回的 增量成本之外的其他支出（如无论是否取得合同均会发生的差旅费等），在发生时计入当期损益, 但是，明确由客户承担的除外。</w:t>
      </w:r>
    </w:p>
    <w:p>
      <w:pPr>
        <w:pStyle w:val="Style35"/>
        <w:keepNext w:val="0"/>
        <w:keepLines w:val="0"/>
        <w:widowControl w:val="0"/>
        <w:shd w:val="clear" w:color="auto" w:fill="auto"/>
        <w:tabs>
          <w:tab w:pos="882" w:val="left"/>
        </w:tabs>
        <w:bidi w:val="0"/>
        <w:spacing w:before="0" w:after="220" w:line="313" w:lineRule="exact"/>
        <w:ind w:left="0" w:right="0" w:firstLine="380"/>
        <w:jc w:val="both"/>
        <w:rPr>
          <w:sz w:val="22"/>
          <w:szCs w:val="22"/>
        </w:rPr>
      </w:pPr>
      <w:bookmarkStart w:id="1028" w:name="bookmark1028"/>
      <w:r>
        <w:rPr>
          <w:color w:val="000000"/>
          <w:spacing w:val="0"/>
          <w:w w:val="100"/>
          <w:position w:val="0"/>
          <w:sz w:val="22"/>
          <w:szCs w:val="22"/>
        </w:rPr>
        <w:t>（</w:t>
      </w:r>
      <w:bookmarkEnd w:id="1028"/>
      <w:r>
        <w:rPr>
          <w:color w:val="000000"/>
          <w:spacing w:val="0"/>
          <w:w w:val="100"/>
          <w:position w:val="0"/>
          <w:sz w:val="22"/>
          <w:szCs w:val="22"/>
        </w:rPr>
        <w:t>2）</w:t>
        <w:tab/>
      </w:r>
      <w:r>
        <w:rPr>
          <w:color w:val="000000"/>
          <w:spacing w:val="0"/>
          <w:w w:val="100"/>
          <w:position w:val="0"/>
          <w:sz w:val="22"/>
          <w:szCs w:val="22"/>
        </w:rPr>
        <w:t>与合同成本有关的资产的摊销</w:t>
      </w:r>
    </w:p>
    <w:p>
      <w:pPr>
        <w:pStyle w:val="Style35"/>
        <w:keepNext w:val="0"/>
        <w:keepLines w:val="0"/>
        <w:widowControl w:val="0"/>
        <w:shd w:val="clear" w:color="auto" w:fill="auto"/>
        <w:bidi w:val="0"/>
        <w:spacing w:before="0" w:after="220" w:line="307" w:lineRule="exact"/>
        <w:ind w:left="380" w:right="0" w:firstLine="440"/>
        <w:jc w:val="both"/>
        <w:rPr>
          <w:sz w:val="22"/>
          <w:szCs w:val="22"/>
        </w:rPr>
      </w:pPr>
      <w:r>
        <w:rPr>
          <w:color w:val="000000"/>
          <w:spacing w:val="0"/>
          <w:w w:val="100"/>
          <w:position w:val="0"/>
          <w:sz w:val="22"/>
          <w:szCs w:val="22"/>
        </w:rPr>
        <w:t>本集团与合同成本有关的资产采用与该资产相关的商品收入确认相同的基础进行摊销，计入 当期损益。</w:t>
      </w:r>
    </w:p>
    <w:p>
      <w:pPr>
        <w:pStyle w:val="Style35"/>
        <w:keepNext w:val="0"/>
        <w:keepLines w:val="0"/>
        <w:widowControl w:val="0"/>
        <w:shd w:val="clear" w:color="auto" w:fill="auto"/>
        <w:tabs>
          <w:tab w:pos="882" w:val="left"/>
        </w:tabs>
        <w:bidi w:val="0"/>
        <w:spacing w:before="0" w:after="220" w:line="313" w:lineRule="exact"/>
        <w:ind w:left="0" w:right="0" w:firstLine="380"/>
        <w:jc w:val="both"/>
        <w:rPr>
          <w:sz w:val="22"/>
          <w:szCs w:val="22"/>
        </w:rPr>
      </w:pPr>
      <w:bookmarkStart w:id="1029" w:name="bookmark1029"/>
      <w:r>
        <w:rPr>
          <w:color w:val="000000"/>
          <w:spacing w:val="0"/>
          <w:w w:val="100"/>
          <w:position w:val="0"/>
          <w:sz w:val="22"/>
          <w:szCs w:val="22"/>
        </w:rPr>
        <w:t>（</w:t>
      </w:r>
      <w:bookmarkEnd w:id="1029"/>
      <w:r>
        <w:rPr>
          <w:color w:val="000000"/>
          <w:spacing w:val="0"/>
          <w:w w:val="100"/>
          <w:position w:val="0"/>
          <w:sz w:val="22"/>
          <w:szCs w:val="22"/>
        </w:rPr>
        <w:t>3）</w:t>
        <w:tab/>
      </w:r>
      <w:r>
        <w:rPr>
          <w:color w:val="000000"/>
          <w:spacing w:val="0"/>
          <w:w w:val="100"/>
          <w:position w:val="0"/>
          <w:sz w:val="22"/>
          <w:szCs w:val="22"/>
        </w:rPr>
        <w:t>与合同成本有关的资产的减值</w:t>
      </w:r>
    </w:p>
    <w:p>
      <w:pPr>
        <w:pStyle w:val="Style35"/>
        <w:keepNext w:val="0"/>
        <w:keepLines w:val="0"/>
        <w:widowControl w:val="0"/>
        <w:shd w:val="clear" w:color="auto" w:fill="auto"/>
        <w:bidi w:val="0"/>
        <w:spacing w:before="0" w:after="220" w:line="314" w:lineRule="exact"/>
        <w:ind w:left="0" w:right="0" w:firstLine="460"/>
        <w:jc w:val="left"/>
        <w:rPr>
          <w:sz w:val="22"/>
          <w:szCs w:val="22"/>
        </w:rPr>
      </w:pPr>
      <w:r>
        <w:rPr>
          <w:color w:val="000000"/>
          <w:spacing w:val="0"/>
          <w:w w:val="100"/>
          <w:position w:val="0"/>
          <w:sz w:val="22"/>
          <w:szCs w:val="22"/>
        </w:rPr>
        <w:t>本集团在确定与合同成本有关的资产的减值损失时，首先对按照其他相关企业会计准则确认的、 与合同有关的其他资产确定减值损失；然后根据其账面价值高于本集团因转让与该资产相关的商品预 期能够取得的剩余对价以及为转让该相关商品估计将要发生的成本这两项差额的，超出部分应当计提 减值准备，并确认为资产减值损失。</w:t>
      </w:r>
    </w:p>
    <w:p>
      <w:pPr>
        <w:pStyle w:val="Style35"/>
        <w:keepNext w:val="0"/>
        <w:keepLines w:val="0"/>
        <w:widowControl w:val="0"/>
        <w:shd w:val="clear" w:color="auto" w:fill="auto"/>
        <w:bidi w:val="0"/>
        <w:spacing w:before="0" w:after="380" w:line="312" w:lineRule="exact"/>
        <w:ind w:left="0" w:right="0" w:firstLine="460"/>
        <w:jc w:val="left"/>
        <w:rPr>
          <w:sz w:val="22"/>
          <w:szCs w:val="22"/>
        </w:rPr>
      </w:pPr>
      <w:r>
        <w:rPr>
          <w:color w:val="000000"/>
          <w:spacing w:val="0"/>
          <w:w w:val="100"/>
          <w:position w:val="0"/>
          <w:sz w:val="22"/>
          <w:szCs w:val="22"/>
        </w:rPr>
        <w:t>以前期间减值的因素之后发生变化，使得前述差额高于该资产账面价值的，转回原已计提的资产 减值准备，并计入当期损益，但转回后的资产账面价值不应超过假定不计提减值准备情况下该资产在 转回日的账面价值。</w:t>
      </w:r>
    </w:p>
    <w:p>
      <w:pPr>
        <w:pStyle w:val="Style32"/>
        <w:keepNext/>
        <w:keepLines/>
        <w:widowControl w:val="0"/>
        <w:shd w:val="clear" w:color="auto" w:fill="auto"/>
        <w:tabs>
          <w:tab w:pos="425" w:val="left"/>
        </w:tabs>
        <w:bidi w:val="0"/>
        <w:spacing w:before="0" w:after="320" w:line="326"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7</w:t>
      </w:r>
      <w:r>
        <w:rPr>
          <w:color w:val="000000"/>
          <w:spacing w:val="0"/>
          <w:w w:val="100"/>
          <w:position w:val="0"/>
        </w:rPr>
        <w:t>、</w:t>
        <w:tab/>
        <w:t>长期应收款</w:t>
      </w:r>
      <w:bookmarkEnd w:id="1030"/>
      <w:bookmarkEnd w:id="1031"/>
      <w:bookmarkEnd w:id="1033"/>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与本集团应收款项的预期信用损失的确定方法及会计处理方法相同。</w:t>
      </w:r>
    </w:p>
    <w:p>
      <w:pPr>
        <w:pStyle w:val="Style32"/>
        <w:keepNext/>
        <w:keepLines/>
        <w:widowControl w:val="0"/>
        <w:shd w:val="clear" w:color="auto" w:fill="auto"/>
        <w:tabs>
          <w:tab w:pos="425" w:val="left"/>
        </w:tabs>
        <w:bidi w:val="0"/>
        <w:spacing w:before="0" w:after="220" w:line="326"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1034"/>
      <w:bookmarkEnd w:id="1035"/>
      <w:bookmarkEnd w:id="1037"/>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本集团长期股权投资主要是对子公司的投资、对联营企业的投资和对合营企业的投资。</w:t>
      </w:r>
    </w:p>
    <w:p>
      <w:pPr>
        <w:pStyle w:val="Style35"/>
        <w:keepNext w:val="0"/>
        <w:keepLines w:val="0"/>
        <w:widowControl w:val="0"/>
        <w:shd w:val="clear" w:color="auto" w:fill="auto"/>
        <w:bidi w:val="0"/>
        <w:spacing w:before="0" w:after="220" w:line="307" w:lineRule="exact"/>
        <w:ind w:left="0" w:right="0" w:firstLine="460"/>
        <w:jc w:val="both"/>
        <w:rPr>
          <w:sz w:val="22"/>
          <w:szCs w:val="22"/>
        </w:rPr>
      </w:pPr>
      <w:r>
        <w:rPr>
          <w:color w:val="000000"/>
          <w:spacing w:val="0"/>
          <w:w w:val="100"/>
          <w:position w:val="0"/>
          <w:sz w:val="22"/>
          <w:szCs w:val="22"/>
        </w:rPr>
        <w:t>本集团对共同控制的判断依据是所有参与方或参与方组合集体控制该安排，并且该安排相关活动 的政策必须经过这些集体控制该安排的参与方一致同意。</w:t>
      </w:r>
    </w:p>
    <w:p>
      <w:pPr>
        <w:pStyle w:val="Style35"/>
        <w:keepNext w:val="0"/>
        <w:keepLines w:val="0"/>
        <w:widowControl w:val="0"/>
        <w:shd w:val="clear" w:color="auto" w:fill="auto"/>
        <w:bidi w:val="0"/>
        <w:spacing w:before="0" w:after="220" w:line="304" w:lineRule="exact"/>
        <w:ind w:left="0" w:right="0" w:firstLine="460"/>
        <w:jc w:val="both"/>
        <w:rPr>
          <w:sz w:val="22"/>
          <w:szCs w:val="22"/>
        </w:rPr>
      </w:pPr>
      <w:r>
        <w:rPr>
          <w:color w:val="000000"/>
          <w:spacing w:val="0"/>
          <w:w w:val="100"/>
          <w:position w:val="0"/>
          <w:sz w:val="22"/>
          <w:szCs w:val="22"/>
        </w:rPr>
        <w:t>本集团直接或通过子公司间接拥有被投资单位</w:t>
      </w:r>
      <w:r>
        <w:rPr>
          <w:rFonts w:ascii="Times New Roman" w:eastAsia="Times New Roman" w:hAnsi="Times New Roman" w:cs="Times New Roman"/>
          <w:color w:val="000000"/>
          <w:spacing w:val="0"/>
          <w:w w:val="100"/>
          <w:position w:val="0"/>
          <w:sz w:val="22"/>
          <w:szCs w:val="22"/>
        </w:rPr>
        <w:t xml:space="preserve">20% </w:t>
      </w:r>
      <w:r>
        <w:rPr>
          <w:color w:val="000000"/>
          <w:spacing w:val="0"/>
          <w:w w:val="100"/>
          <w:position w:val="0"/>
          <w:sz w:val="22"/>
          <w:szCs w:val="22"/>
        </w:rPr>
        <w:t>（含）以上但低于</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的表决权时，通常认为 对被投资单位具有重大影响。持有被投资单位</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以下表决权的，还需要综合考虑在被投资单位的董 事会或类似权力机构中派有代表、或参与被投资单位财务和经营政策制定过程、或与被投资单位之间 发生重要交易、或向被投资单位派出管理人员、或向被投资单位提供关键技术资料等事实和情况判断 对被投资单位具有重大影响。</w:t>
      </w:r>
    </w:p>
    <w:p>
      <w:pPr>
        <w:pStyle w:val="Style35"/>
        <w:keepNext w:val="0"/>
        <w:keepLines w:val="0"/>
        <w:widowControl w:val="0"/>
        <w:shd w:val="clear" w:color="auto" w:fill="auto"/>
        <w:bidi w:val="0"/>
        <w:spacing w:before="0" w:after="220" w:line="334" w:lineRule="exact"/>
        <w:ind w:left="0" w:right="0" w:firstLine="460"/>
        <w:jc w:val="both"/>
        <w:rPr>
          <w:sz w:val="22"/>
          <w:szCs w:val="22"/>
        </w:rPr>
      </w:pPr>
      <w:r>
        <w:rPr>
          <w:color w:val="000000"/>
          <w:spacing w:val="0"/>
          <w:w w:val="100"/>
          <w:position w:val="0"/>
          <w:sz w:val="22"/>
          <w:szCs w:val="22"/>
        </w:rPr>
        <w:t>对被投资单位形成控制的，为本集团的子公司。通过同一控制下的企业合并取得的长期股权投资， 在合并日按照取得被合并方在最终控制方合并报表中净资产的账面价值的份额作为长期股权投资的 初始投资成本。被合并方在合并日的净资产账面价值为负数的，长期股权投资成本按零确定。</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通过多次交易分步取得同一控制下被投资单位的股权，最终形成企业合并，属于一揽子交易的， 本集团将各项交易作为一项取得控制权的交易进行会计处理。不属于一揽子交易的，在合并日，根据 合并后享有被合并方净资产在最终控制方合并财务报表中的账面价值的份额作为长期股权投资的的 初始投资成本。初始投资成本与达到合并前的长期股权投资账面价值加上合并日进一步取得股份新支 付对价的账面价值之和的差额，调整资本公积，资本公积不足冲减的，冲减留存收益。</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通过非同一控制下的企业合并取得的长期股权投资，以合并成本作为初始投资成本。</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通过多次交易分步取得非同一控制下被投资单位的股权，最终形成企业合并，属于一揽子交易的， 本集团将各项交易作为一项取得控制权的交易进行会计处理。不属于一揽子交易的，按照原持有的股 权投资账面价值加上新增投资成本之和，作为改按成本法核算的初始投资成本。购买日之前持有的股 权采用权益法核算的，原权益法核算的相关其他综合收益暂不做调整，在处置该项投资时采用与被投 资单位直接处置相关资产或负债相同的基础进行会计处理。购买日之前持有的股权在可供出售金融资 产中采用公允价值核算的，原计入其他综合收益的累计公允价值变动在合并日转入当期投资损益。</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 xml:space="preserve">除上述通过企业合并取得的长期股权投资外，以支付现金取得的长期股权投资，按照实际支付的 </w:t>
      </w:r>
      <w:r>
        <w:rPr>
          <w:color w:val="000000"/>
          <w:spacing w:val="0"/>
          <w:w w:val="100"/>
          <w:position w:val="0"/>
          <w:sz w:val="22"/>
          <w:szCs w:val="22"/>
        </w:rPr>
        <w:t>购买价款作为投资成本；以发行权益性证券取得的长期股权投资，按照发行权益性证券的公允价值作 为投资成本；投资者投入的长期股权投资，按照投资合同或协议约定的价值作为投资成本。</w:t>
      </w:r>
    </w:p>
    <w:p>
      <w:pPr>
        <w:pStyle w:val="Style35"/>
        <w:keepNext w:val="0"/>
        <w:keepLines w:val="0"/>
        <w:widowControl w:val="0"/>
        <w:shd w:val="clear" w:color="auto" w:fill="auto"/>
        <w:bidi w:val="0"/>
        <w:spacing w:before="0" w:after="240" w:line="312" w:lineRule="exact"/>
        <w:ind w:left="0" w:right="0" w:firstLine="460"/>
        <w:jc w:val="left"/>
        <w:rPr>
          <w:sz w:val="22"/>
          <w:szCs w:val="22"/>
        </w:rPr>
      </w:pPr>
      <w:r>
        <w:rPr>
          <w:color w:val="000000"/>
          <w:spacing w:val="0"/>
          <w:w w:val="100"/>
          <w:position w:val="0"/>
          <w:sz w:val="22"/>
          <w:szCs w:val="22"/>
        </w:rPr>
        <w:t>本集团对子公司投资采用成本法核算，对合营企业及联营企业投资采用权益法核算。</w:t>
      </w:r>
    </w:p>
    <w:p>
      <w:pPr>
        <w:pStyle w:val="Style35"/>
        <w:keepNext w:val="0"/>
        <w:keepLines w:val="0"/>
        <w:widowControl w:val="0"/>
        <w:shd w:val="clear" w:color="auto" w:fill="auto"/>
        <w:bidi w:val="0"/>
        <w:spacing w:before="0" w:after="240" w:line="310" w:lineRule="exact"/>
        <w:ind w:left="0" w:right="0" w:firstLine="460"/>
        <w:jc w:val="left"/>
        <w:rPr>
          <w:sz w:val="22"/>
          <w:szCs w:val="22"/>
        </w:rPr>
      </w:pPr>
      <w:r>
        <w:rPr>
          <w:color w:val="000000"/>
          <w:spacing w:val="0"/>
          <w:w w:val="100"/>
          <w:position w:val="0"/>
          <w:sz w:val="22"/>
          <w:szCs w:val="22"/>
        </w:rPr>
        <w:t>后续计量采用成本法核算的长期股权投资，在追加投资时，按照追加投资支付的成本额公允价值 及发生的相关交易费用增加长期股权投资成本的账面价值。被投资单位宣告分派的现金股利或利润， 按照应享有的金额确认为当期投资收益。</w:t>
      </w:r>
    </w:p>
    <w:p>
      <w:pPr>
        <w:pStyle w:val="Style35"/>
        <w:keepNext w:val="0"/>
        <w:keepLines w:val="0"/>
        <w:widowControl w:val="0"/>
        <w:shd w:val="clear" w:color="auto" w:fill="auto"/>
        <w:bidi w:val="0"/>
        <w:spacing w:before="0" w:after="240" w:line="311" w:lineRule="exact"/>
        <w:ind w:left="0" w:right="0" w:firstLine="460"/>
        <w:jc w:val="left"/>
        <w:rPr>
          <w:sz w:val="22"/>
          <w:szCs w:val="22"/>
        </w:rPr>
      </w:pPr>
      <w:r>
        <w:rPr>
          <w:color w:val="000000"/>
          <w:spacing w:val="0"/>
          <w:w w:val="100"/>
          <w:position w:val="0"/>
          <w:sz w:val="22"/>
          <w:szCs w:val="22"/>
        </w:rPr>
        <w:t>后续计量采用权益法核算的长期股权投资，随着被他投资单位所有者权益的变动相应调整增加或 减少长期股权投资的账面价值。其中在确认应享有被投资单位净损益的份额时，以取得投资时被投资 单位各项可辨认资产等的公允价值为基础，按照本集团的会计政策及会计期间，并抵销与联营企业及 合营企业之间发生的内部交易损益按照持股比例计算归属于投资企业的部分，对被投资单位的净利润 进行调整后确认。</w:t>
      </w:r>
    </w:p>
    <w:p>
      <w:pPr>
        <w:pStyle w:val="Style35"/>
        <w:keepNext w:val="0"/>
        <w:keepLines w:val="0"/>
        <w:widowControl w:val="0"/>
        <w:shd w:val="clear" w:color="auto" w:fill="auto"/>
        <w:bidi w:val="0"/>
        <w:spacing w:before="0" w:after="240" w:line="312" w:lineRule="exact"/>
        <w:ind w:left="0" w:right="0" w:firstLine="460"/>
        <w:jc w:val="left"/>
        <w:rPr>
          <w:sz w:val="22"/>
          <w:szCs w:val="22"/>
        </w:rPr>
      </w:pPr>
      <w:r>
        <w:rPr>
          <w:color w:val="000000"/>
          <w:spacing w:val="0"/>
          <w:w w:val="100"/>
          <w:position w:val="0"/>
          <w:sz w:val="22"/>
          <w:szCs w:val="22"/>
        </w:rPr>
        <w:t>处置长期股权投资，其账面价值与实际取得价款的差额，计入当期投资收益。采用权益法核算的 长期股权投资，因被投资单位除净损益以外所有者权益的其他变动而计入所有者权益的，处置该项投 资时将原计入所有者权益的部分按相应比例转入当期投资损益。</w:t>
      </w:r>
    </w:p>
    <w:p>
      <w:pPr>
        <w:pStyle w:val="Style35"/>
        <w:keepNext w:val="0"/>
        <w:keepLines w:val="0"/>
        <w:widowControl w:val="0"/>
        <w:shd w:val="clear" w:color="auto" w:fill="auto"/>
        <w:bidi w:val="0"/>
        <w:spacing w:before="0" w:after="240" w:line="299" w:lineRule="exact"/>
        <w:ind w:left="0" w:right="0" w:firstLine="460"/>
        <w:jc w:val="left"/>
        <w:rPr>
          <w:sz w:val="22"/>
          <w:szCs w:val="22"/>
        </w:rPr>
      </w:pPr>
      <w:r>
        <w:rPr>
          <w:color w:val="000000"/>
          <w:spacing w:val="0"/>
          <w:w w:val="100"/>
          <w:position w:val="0"/>
          <w:sz w:val="22"/>
          <w:szCs w:val="22"/>
        </w:rPr>
        <w:t>因处置部分股权投资等原因丧失了对被投资单位的共同控制或重大影响的，处置后的剩余股权改 按可供出售金融资产核算，剩余股权在丧失共同控制或重大影响之日的公允价值与账面价值之间的差 额计入当期损益。原股权投资因采用权益法核算而确认的其他综合收益，在终止采用权益法核算时采 用与被投资单位直接处置相关资产或负债相同的基础进行会计处理。</w:t>
      </w:r>
    </w:p>
    <w:p>
      <w:pPr>
        <w:pStyle w:val="Style35"/>
        <w:keepNext w:val="0"/>
        <w:keepLines w:val="0"/>
        <w:widowControl w:val="0"/>
        <w:shd w:val="clear" w:color="auto" w:fill="auto"/>
        <w:bidi w:val="0"/>
        <w:spacing w:before="0" w:after="240" w:line="312" w:lineRule="exact"/>
        <w:ind w:left="0" w:right="0" w:firstLine="460"/>
        <w:jc w:val="left"/>
        <w:rPr>
          <w:sz w:val="22"/>
          <w:szCs w:val="22"/>
        </w:rPr>
      </w:pPr>
      <w:r>
        <w:rPr>
          <w:color w:val="000000"/>
          <w:spacing w:val="0"/>
          <w:w w:val="100"/>
          <w:position w:val="0"/>
          <w:sz w:val="22"/>
          <w:szCs w:val="22"/>
        </w:rPr>
        <w:t>因处置部分长期股权投资丧失了对被投资单位控制的，处置后的剩余股权能够对被投资单位实施 共同控制或施加重大影响的，改按权益法核算，处置股权账面价值和处置对价的差额计入投资收益， 并对该剩余股权视同自取得时即采用权益法核算进行调整；处置后的剩余股权不能对被投资单位实施 共同控制或施加重大影响的，改按金融工具确认和计量准则的有关规定进行会计处理，处置股权账面 价值和处置对价的差额计入投资收益，剩余股权在丧失控制之日的公允价值与账面价值间的差额计入 当期损益。</w:t>
      </w:r>
    </w:p>
    <w:p>
      <w:pPr>
        <w:pStyle w:val="Style35"/>
        <w:keepNext w:val="0"/>
        <w:keepLines w:val="0"/>
        <w:widowControl w:val="0"/>
        <w:shd w:val="clear" w:color="auto" w:fill="auto"/>
        <w:bidi w:val="0"/>
        <w:spacing w:before="0" w:after="660" w:line="312" w:lineRule="exact"/>
        <w:ind w:left="0" w:right="0" w:firstLine="460"/>
        <w:jc w:val="left"/>
        <w:rPr>
          <w:sz w:val="22"/>
          <w:szCs w:val="22"/>
        </w:rPr>
      </w:pPr>
      <w:r>
        <w:rPr>
          <w:color w:val="000000"/>
          <w:spacing w:val="0"/>
          <w:w w:val="100"/>
          <w:position w:val="0"/>
          <w:sz w:val="22"/>
          <w:szCs w:val="22"/>
        </w:rPr>
        <w:t>本集团对于分步处置股权至丧失控股权的各项交易不属于一揽子交易的，对每一项交易分别进行 会计处理。属于</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一揽子交易</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的，将各项交易作为一项处置子公司并丧失控制权的交易进行会计处理, 但是，在丧失控制权之前每一次交易处置价款与所处置的股权对应的长期股权投资账面价值之间的差 额，确认为其他综合收益，到丧失控制权时再一并转入丧失控制权的当期损益。</w:t>
      </w:r>
    </w:p>
    <w:p>
      <w:pPr>
        <w:pStyle w:val="Style32"/>
        <w:keepNext/>
        <w:keepLines/>
        <w:widowControl w:val="0"/>
        <w:shd w:val="clear" w:color="auto" w:fill="auto"/>
        <w:bidi w:val="0"/>
        <w:spacing w:before="0" w:after="40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rFonts w:ascii="Times New Roman" w:eastAsia="Times New Roman" w:hAnsi="Times New Roman" w:cs="Times New Roman"/>
          <w:color w:val="000000"/>
          <w:spacing w:val="0"/>
          <w:w w:val="100"/>
          <w:position w:val="0"/>
        </w:rPr>
        <w:t>9</w:t>
      </w:r>
      <w:r>
        <w:rPr>
          <w:color w:val="000000"/>
          <w:spacing w:val="0"/>
          <w:w w:val="100"/>
          <w:position w:val="0"/>
        </w:rPr>
        <w:t>、投资性房地产</w:t>
      </w:r>
      <w:bookmarkEnd w:id="1038"/>
      <w:bookmarkEnd w:id="1039"/>
      <w:bookmarkEnd w:id="104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折旧或摊销方法</w:t>
      </w:r>
    </w:p>
    <w:p>
      <w:pPr>
        <w:pStyle w:val="Style35"/>
        <w:keepNext w:val="0"/>
        <w:keepLines w:val="0"/>
        <w:widowControl w:val="0"/>
        <w:shd w:val="clear" w:color="auto" w:fill="auto"/>
        <w:bidi w:val="0"/>
        <w:spacing w:before="0" w:after="300" w:line="240" w:lineRule="auto"/>
        <w:ind w:left="0" w:right="0" w:firstLine="460"/>
        <w:jc w:val="both"/>
        <w:rPr>
          <w:sz w:val="22"/>
          <w:szCs w:val="22"/>
        </w:rPr>
      </w:pPr>
      <w:r>
        <w:rPr>
          <w:color w:val="000000"/>
          <w:spacing w:val="0"/>
          <w:w w:val="100"/>
          <w:position w:val="0"/>
          <w:sz w:val="22"/>
          <w:szCs w:val="22"/>
        </w:rPr>
        <w:t>本集团投资性房地产包括已出租的土地使用权、已出租的建筑物等。采用成本模式计量。</w:t>
      </w:r>
    </w:p>
    <w:p>
      <w:pPr>
        <w:pStyle w:val="Style35"/>
        <w:keepNext w:val="0"/>
        <w:keepLines w:val="0"/>
        <w:widowControl w:val="0"/>
        <w:shd w:val="clear" w:color="auto" w:fill="auto"/>
        <w:bidi w:val="0"/>
        <w:spacing w:before="0" w:after="240" w:line="240" w:lineRule="auto"/>
        <w:ind w:left="0" w:right="0" w:firstLine="460"/>
        <w:jc w:val="both"/>
        <w:rPr>
          <w:sz w:val="22"/>
          <w:szCs w:val="22"/>
        </w:rPr>
      </w:pPr>
      <w:r>
        <w:rPr>
          <w:color w:val="000000"/>
          <w:spacing w:val="0"/>
          <w:w w:val="100"/>
          <w:position w:val="0"/>
          <w:sz w:val="22"/>
          <w:szCs w:val="22"/>
        </w:rPr>
        <w:t>本集团投资性房地产采用年限平均法计提折旧或摊销。各类投资性房地产的预计使用寿命、净残</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值率及年折旧</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摊销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率如下:</w:t>
      </w:r>
    </w:p>
    <w:tbl>
      <w:tblPr>
        <w:tblOverlap w:val="never"/>
        <w:jc w:val="left"/>
        <w:tblLayout w:type="fixed"/>
      </w:tblPr>
      <w:tblGrid>
        <w:gridCol w:w="2539"/>
        <w:gridCol w:w="2016"/>
        <w:gridCol w:w="2256"/>
        <w:gridCol w:w="1838"/>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类别</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60"/>
              <w:jc w:val="left"/>
              <w:rPr>
                <w:sz w:val="22"/>
                <w:szCs w:val="22"/>
              </w:rPr>
            </w:pPr>
            <w:r>
              <w:rPr>
                <w:b/>
                <w:bCs/>
                <w:color w:val="000000"/>
                <w:spacing w:val="0"/>
                <w:w w:val="100"/>
                <w:position w:val="0"/>
                <w:sz w:val="22"/>
                <w:szCs w:val="22"/>
              </w:rPr>
              <w:t>折旧年限（年）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预计残值率（</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2"/>
                <w:szCs w:val="22"/>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22"/>
                <w:szCs w:val="22"/>
              </w:rPr>
            </w:pPr>
            <w:r>
              <w:rPr>
                <w:b/>
                <w:bCs/>
                <w:color w:val="000000"/>
                <w:spacing w:val="0"/>
                <w:w w:val="100"/>
                <w:position w:val="0"/>
                <w:sz w:val="22"/>
                <w:szCs w:val="22"/>
              </w:rPr>
              <w:t>年折旧率（</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2"/>
                <w:szCs w:val="22"/>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2-2.5</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2.71-4.75</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42"/>
      <w:bookmarkEnd w:id="1043"/>
      <w:bookmarkEnd w:id="1045"/>
    </w:p>
    <w:p>
      <w:pPr>
        <w:pStyle w:val="Style32"/>
        <w:keepNext/>
        <w:keepLines/>
        <w:widowControl w:val="0"/>
        <w:shd w:val="clear" w:color="auto" w:fill="auto"/>
        <w:bidi w:val="0"/>
        <w:spacing w:before="0" w:after="240" w:line="240" w:lineRule="auto"/>
        <w:ind w:left="0" w:right="0" w:firstLine="0"/>
        <w:jc w:val="left"/>
      </w:pPr>
      <w:bookmarkStart w:id="1042" w:name="bookmark1042"/>
      <w:bookmarkStart w:id="1043" w:name="bookmark1043"/>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42"/>
      <w:bookmarkEnd w:id="1043"/>
      <w:bookmarkEnd w:id="1047"/>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本集团固定资产是指同时具有以下特征，即为生产商品、提供劳务、出租或经营管理而持有的，使用年限超过一年的有形资 产。本集团固定资产单位价值</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元以上的，按年限平均法计提折旧；自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月起，单位价值</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元（含）以下的 固定资产，采用加速折旧法一次性计提折旧。固定资产在与其有关的经济利益很可能流入本集团、且其成本能够可靠计量时 予以确认。本集团固定资产包括房屋及建筑物、电子设备、运输设备、办公设备及家具等。本集团于每年年度终了，对固定 资产的预计使用寿命、预计净残值和折旧方法进行复核，如发生改变，则作为会计估计变更处理。除已提足折旧仍继续使用 的固定资产和单独计价入账的土地外，本集团对所有固定资产计提折旧。本集团固定资产的分类折旧年限、预计净残值率、 折旧率如下：</w:t>
      </w:r>
    </w:p>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办公设备及家具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39" w:line="1" w:lineRule="exact"/>
      </w:pPr>
    </w:p>
    <w:p>
      <w:pPr>
        <w:pStyle w:val="Style32"/>
        <w:keepNext/>
        <w:keepLines/>
        <w:widowControl w:val="0"/>
        <w:shd w:val="clear" w:color="auto" w:fill="auto"/>
        <w:bidi w:val="0"/>
        <w:spacing w:before="0" w:after="300" w:line="312" w:lineRule="exact"/>
        <w:ind w:left="0" w:right="0" w:firstLine="0"/>
        <w:jc w:val="both"/>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48"/>
      <w:bookmarkEnd w:id="1049"/>
      <w:bookmarkEnd w:id="1051"/>
    </w:p>
    <w:p>
      <w:pPr>
        <w:pStyle w:val="Style35"/>
        <w:keepNext w:val="0"/>
        <w:keepLines w:val="0"/>
        <w:widowControl w:val="0"/>
        <w:shd w:val="clear" w:color="auto" w:fill="auto"/>
        <w:bidi w:val="0"/>
        <w:spacing w:before="0" w:after="600" w:line="312" w:lineRule="exact"/>
        <w:ind w:left="0" w:right="0" w:firstLine="460"/>
        <w:jc w:val="both"/>
        <w:rPr>
          <w:sz w:val="22"/>
          <w:szCs w:val="22"/>
        </w:rPr>
      </w:pPr>
      <w:r>
        <w:rPr>
          <w:color w:val="000000"/>
          <w:spacing w:val="0"/>
          <w:w w:val="100"/>
          <w:position w:val="0"/>
          <w:sz w:val="22"/>
          <w:szCs w:val="22"/>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32"/>
        <w:keepNext/>
        <w:keepLines/>
        <w:widowControl w:val="0"/>
        <w:shd w:val="clear" w:color="auto" w:fill="auto"/>
        <w:bidi w:val="0"/>
        <w:spacing w:before="0" w:after="300" w:line="312" w:lineRule="exact"/>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、借款费用</w:t>
      </w:r>
      <w:bookmarkEnd w:id="1052"/>
      <w:bookmarkEnd w:id="1053"/>
      <w:bookmarkEnd w:id="1055"/>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发生的可直接归属于需要经过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年以上的购建或者生产活动才能达到预定可使用或者可销售状态 的固定资产、投资性房地产和存货等的借款费用，在资产支出已经发生、借款费用已经发生、为使资 产达到预定可使用或可销售状态所必要的购建或生产活动已经开始时，开始资本化；当购建或生产符 合资本化条件的资产达到预定可使用或可销售状态时，停止资本化，其后发生的借款费用计入当期损 益。如果符合资本化条件的资产在购建或者生产过程中发生非正常中断、且中断时间连续超过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个月， 暂停借款费用的资本化，直至资产的购建或生产活动重新开始。</w:t>
      </w:r>
    </w:p>
    <w:p>
      <w:pPr>
        <w:pStyle w:val="Style35"/>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 xml:space="preserve">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w:t>
      </w:r>
      <w:r>
        <w:rPr>
          <w:color w:val="000000"/>
          <w:spacing w:val="0"/>
          <w:w w:val="100"/>
          <w:position w:val="0"/>
          <w:sz w:val="22"/>
          <w:szCs w:val="22"/>
        </w:rPr>
        <w:t>利率计算确定。</w:t>
      </w:r>
    </w:p>
    <w:p>
      <w:pPr>
        <w:pStyle w:val="Style35"/>
        <w:keepNext w:val="0"/>
        <w:keepLines w:val="0"/>
        <w:widowControl w:val="0"/>
        <w:shd w:val="clear" w:color="auto" w:fill="auto"/>
        <w:bidi w:val="0"/>
        <w:spacing w:before="0" w:after="300" w:line="311" w:lineRule="exact"/>
        <w:ind w:left="0" w:right="0" w:firstLine="0"/>
        <w:jc w:val="left"/>
      </w:pPr>
      <w:bookmarkStart w:id="1056" w:name="bookmark1056"/>
      <w:r>
        <w:rPr>
          <w:rFonts w:ascii="Times New Roman" w:eastAsia="Times New Roman" w:hAnsi="Times New Roman" w:cs="Times New Roman"/>
          <w:b/>
          <w:bCs/>
          <w:color w:val="000000"/>
          <w:spacing w:val="0"/>
          <w:w w:val="100"/>
          <w:position w:val="0"/>
        </w:rPr>
        <w:t>2</w:t>
      </w:r>
      <w:bookmarkEnd w:id="1056"/>
      <w:r>
        <w:rPr>
          <w:rFonts w:ascii="Times New Roman" w:eastAsia="Times New Roman" w:hAnsi="Times New Roman" w:cs="Times New Roman"/>
          <w:b/>
          <w:bCs/>
          <w:color w:val="000000"/>
          <w:spacing w:val="0"/>
          <w:w w:val="100"/>
          <w:position w:val="0"/>
        </w:rPr>
        <w:t>3</w:t>
      </w:r>
      <w:r>
        <w:rPr>
          <w:b/>
          <w:bCs/>
          <w:color w:val="000000"/>
          <w:spacing w:val="0"/>
          <w:w w:val="100"/>
          <w:position w:val="0"/>
        </w:rPr>
        <w:t>、无形资产</w:t>
      </w:r>
    </w:p>
    <w:p>
      <w:pPr>
        <w:pStyle w:val="Style32"/>
        <w:keepNext/>
        <w:keepLines/>
        <w:widowControl w:val="0"/>
        <w:shd w:val="clear" w:color="auto" w:fill="auto"/>
        <w:bidi w:val="0"/>
        <w:spacing w:before="0" w:after="300" w:line="311" w:lineRule="exact"/>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57"/>
      <w:bookmarkEnd w:id="1058"/>
      <w:bookmarkEnd w:id="1060"/>
    </w:p>
    <w:p>
      <w:pPr>
        <w:pStyle w:val="Style35"/>
        <w:keepNext w:val="0"/>
        <w:keepLines w:val="0"/>
        <w:widowControl w:val="0"/>
        <w:shd w:val="clear" w:color="auto" w:fill="auto"/>
        <w:bidi w:val="0"/>
        <w:spacing w:before="0" w:after="240" w:line="311" w:lineRule="exact"/>
        <w:ind w:left="0" w:right="0" w:firstLine="460"/>
        <w:jc w:val="left"/>
        <w:rPr>
          <w:sz w:val="22"/>
          <w:szCs w:val="22"/>
        </w:rPr>
      </w:pPr>
      <w:r>
        <w:rPr>
          <w:color w:val="000000"/>
          <w:spacing w:val="0"/>
          <w:w w:val="100"/>
          <w:position w:val="0"/>
          <w:sz w:val="22"/>
          <w:szCs w:val="22"/>
        </w:rPr>
        <w:t>本集团无形资产包括土地使用权、专利技术、非专利技术等，按取得时的实际成本计量，其中， 购入的无形资产，按实际支付的价款和相关的其他支出作为实际成本；投资者投入的无形资产，按投 资合同或协议约定的价值确定实际成本，但合同或协议约定价值不公允的，按公允价值确定实际成本； 对非同一控制下合并中取得被购买方拥有的但在其财务报表中未确认的无形资产，在对被购买方资产 进行初始确认时，按公允价值确认为无形资产。</w:t>
      </w:r>
    </w:p>
    <w:p>
      <w:pPr>
        <w:pStyle w:val="Style35"/>
        <w:keepNext w:val="0"/>
        <w:keepLines w:val="0"/>
        <w:widowControl w:val="0"/>
        <w:shd w:val="clear" w:color="auto" w:fill="auto"/>
        <w:bidi w:val="0"/>
        <w:spacing w:before="0" w:after="600" w:line="312" w:lineRule="exact"/>
        <w:ind w:left="0" w:right="0" w:firstLine="460"/>
        <w:jc w:val="left"/>
        <w:rPr>
          <w:sz w:val="22"/>
          <w:szCs w:val="22"/>
        </w:rPr>
      </w:pPr>
      <w:r>
        <w:rPr>
          <w:color w:val="000000"/>
          <w:spacing w:val="0"/>
          <w:w w:val="100"/>
          <w:position w:val="0"/>
          <w:sz w:val="22"/>
          <w:szCs w:val="22"/>
        </w:rPr>
        <w:t>土地使用权从出让起始日起，按其出让年限平均摊销；无形资产按预计使用年限、合同规定的受 益年限和法律规定的有效年限三者中最短者分期平均摊销。摊销金额按其受益对象计入相关资产成本 和当期损益。对使用寿命有限的无形资产的预计使用寿命及摊销方法于每年年度终了进行复核，如发 生改变，则作为会计估计变更处理。</w:t>
      </w:r>
    </w:p>
    <w:p>
      <w:pPr>
        <w:pStyle w:val="Style32"/>
        <w:keepNext/>
        <w:keepLines/>
        <w:widowControl w:val="0"/>
        <w:shd w:val="clear" w:color="auto" w:fill="auto"/>
        <w:bidi w:val="0"/>
        <w:spacing w:before="0" w:after="300" w:line="312" w:lineRule="exact"/>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61"/>
      <w:bookmarkEnd w:id="1062"/>
      <w:bookmarkEnd w:id="1064"/>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本公司内部研究开发项目的支出分为研究阶段支出与开发阶段支出。</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研究阶段的支出，于发生时计入当期损益。</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开发阶段的支出同时满足下列条件的，确认为无形资产，不能满足下述条件的开发阶段的支出计 入当期损益：</w:t>
      </w:r>
    </w:p>
    <w:p>
      <w:pPr>
        <w:pStyle w:val="Style35"/>
        <w:keepNext w:val="0"/>
        <w:keepLines w:val="0"/>
        <w:widowControl w:val="0"/>
        <w:shd w:val="clear" w:color="auto" w:fill="auto"/>
        <w:tabs>
          <w:tab w:pos="962" w:val="left"/>
        </w:tabs>
        <w:bidi w:val="0"/>
        <w:spacing w:before="0" w:after="240" w:line="312" w:lineRule="exact"/>
        <w:ind w:left="0" w:right="0" w:firstLine="460"/>
        <w:jc w:val="both"/>
        <w:rPr>
          <w:sz w:val="22"/>
          <w:szCs w:val="22"/>
        </w:rPr>
      </w:pPr>
      <w:bookmarkStart w:id="1065" w:name="bookmark1065"/>
      <w:r>
        <w:rPr>
          <w:color w:val="000000"/>
          <w:spacing w:val="0"/>
          <w:w w:val="100"/>
          <w:position w:val="0"/>
          <w:sz w:val="22"/>
          <w:szCs w:val="22"/>
        </w:rPr>
        <w:t>（</w:t>
      </w:r>
      <w:bookmarkEnd w:id="1065"/>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完成该无形资产以使其能够使用或出售在技术上具有可行性；</w:t>
      </w:r>
    </w:p>
    <w:p>
      <w:pPr>
        <w:pStyle w:val="Style35"/>
        <w:keepNext w:val="0"/>
        <w:keepLines w:val="0"/>
        <w:widowControl w:val="0"/>
        <w:shd w:val="clear" w:color="auto" w:fill="auto"/>
        <w:tabs>
          <w:tab w:pos="962" w:val="left"/>
        </w:tabs>
        <w:bidi w:val="0"/>
        <w:spacing w:before="0" w:after="240" w:line="312" w:lineRule="exact"/>
        <w:ind w:left="0" w:right="0" w:firstLine="460"/>
        <w:jc w:val="both"/>
        <w:rPr>
          <w:sz w:val="22"/>
          <w:szCs w:val="22"/>
        </w:rPr>
      </w:pPr>
      <w:bookmarkStart w:id="1066" w:name="bookmark1066"/>
      <w:r>
        <w:rPr>
          <w:color w:val="000000"/>
          <w:spacing w:val="0"/>
          <w:w w:val="100"/>
          <w:position w:val="0"/>
          <w:sz w:val="22"/>
          <w:szCs w:val="22"/>
        </w:rPr>
        <w:t>（</w:t>
      </w:r>
      <w:bookmarkEnd w:id="1066"/>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具有完成该无形资产并使用或出售的意图；</w:t>
      </w:r>
    </w:p>
    <w:p>
      <w:pPr>
        <w:pStyle w:val="Style35"/>
        <w:keepNext w:val="0"/>
        <w:keepLines w:val="0"/>
        <w:widowControl w:val="0"/>
        <w:shd w:val="clear" w:color="auto" w:fill="auto"/>
        <w:tabs>
          <w:tab w:pos="1050" w:val="left"/>
        </w:tabs>
        <w:bidi w:val="0"/>
        <w:spacing w:before="0" w:after="240" w:line="317" w:lineRule="exact"/>
        <w:ind w:left="0" w:right="0" w:firstLine="460"/>
        <w:jc w:val="both"/>
        <w:rPr>
          <w:sz w:val="22"/>
          <w:szCs w:val="22"/>
        </w:rPr>
      </w:pPr>
      <w:bookmarkStart w:id="1067" w:name="bookmark1067"/>
      <w:r>
        <w:rPr>
          <w:color w:val="000000"/>
          <w:spacing w:val="0"/>
          <w:w w:val="100"/>
          <w:position w:val="0"/>
          <w:sz w:val="22"/>
          <w:szCs w:val="22"/>
        </w:rPr>
        <w:t>（</w:t>
      </w:r>
      <w:bookmarkEnd w:id="1067"/>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tab/>
        <w:t>无形资产产生经济利益的方式，包括能够证明运用该无形资产生产的产品存在市场或无形 资产自身存在市场，无形资产将在内部使用的，能够证明其有用性；</w:t>
      </w:r>
    </w:p>
    <w:p>
      <w:pPr>
        <w:pStyle w:val="Style35"/>
        <w:keepNext w:val="0"/>
        <w:keepLines w:val="0"/>
        <w:widowControl w:val="0"/>
        <w:shd w:val="clear" w:color="auto" w:fill="auto"/>
        <w:tabs>
          <w:tab w:pos="1059" w:val="left"/>
        </w:tabs>
        <w:bidi w:val="0"/>
        <w:spacing w:before="0" w:after="240" w:line="307" w:lineRule="exact"/>
        <w:ind w:left="0" w:right="0" w:firstLine="460"/>
        <w:jc w:val="both"/>
        <w:rPr>
          <w:sz w:val="22"/>
          <w:szCs w:val="22"/>
        </w:rPr>
      </w:pPr>
      <w:bookmarkStart w:id="1068" w:name="bookmark1068"/>
      <w:r>
        <w:rPr>
          <w:color w:val="000000"/>
          <w:spacing w:val="0"/>
          <w:w w:val="100"/>
          <w:position w:val="0"/>
          <w:sz w:val="22"/>
          <w:szCs w:val="22"/>
        </w:rPr>
        <w:t>（</w:t>
      </w:r>
      <w:bookmarkEnd w:id="1068"/>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w:t>
        <w:tab/>
        <w:t>有足够的技术、财务资源和其他资源支持，以完成该无形资产的开发，并有能力使用或出 售该无形资产；</w:t>
      </w:r>
    </w:p>
    <w:p>
      <w:pPr>
        <w:pStyle w:val="Style35"/>
        <w:keepNext w:val="0"/>
        <w:keepLines w:val="0"/>
        <w:widowControl w:val="0"/>
        <w:shd w:val="clear" w:color="auto" w:fill="auto"/>
        <w:tabs>
          <w:tab w:pos="962" w:val="left"/>
        </w:tabs>
        <w:bidi w:val="0"/>
        <w:spacing w:before="0" w:after="240" w:line="312" w:lineRule="exact"/>
        <w:ind w:left="0" w:right="0" w:firstLine="460"/>
        <w:jc w:val="both"/>
        <w:rPr>
          <w:sz w:val="22"/>
          <w:szCs w:val="22"/>
        </w:rPr>
      </w:pPr>
      <w:bookmarkStart w:id="1069" w:name="bookmark1069"/>
      <w:r>
        <w:rPr>
          <w:color w:val="000000"/>
          <w:spacing w:val="0"/>
          <w:w w:val="100"/>
          <w:position w:val="0"/>
          <w:sz w:val="22"/>
          <w:szCs w:val="22"/>
        </w:rPr>
        <w:t>（</w:t>
      </w:r>
      <w:bookmarkEnd w:id="1069"/>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tab/>
        <w:t>归属于该无形资产开发阶段的支出能够可靠地计量。</w:t>
      </w:r>
    </w:p>
    <w:p>
      <w:pPr>
        <w:pStyle w:val="Style35"/>
        <w:keepNext w:val="0"/>
        <w:keepLines w:val="0"/>
        <w:widowControl w:val="0"/>
        <w:shd w:val="clear" w:color="auto" w:fill="auto"/>
        <w:bidi w:val="0"/>
        <w:spacing w:before="0" w:after="600" w:line="312" w:lineRule="exact"/>
        <w:ind w:left="0" w:right="0" w:firstLine="460"/>
        <w:jc w:val="both"/>
        <w:rPr>
          <w:sz w:val="22"/>
          <w:szCs w:val="22"/>
        </w:rPr>
      </w:pPr>
      <w:r>
        <w:rPr>
          <w:color w:val="000000"/>
          <w:spacing w:val="0"/>
          <w:w w:val="100"/>
          <w:position w:val="0"/>
          <w:sz w:val="22"/>
          <w:szCs w:val="22"/>
        </w:rPr>
        <w:t>无法区分研究阶段支出和开发阶段支出的，将发生的研发支出全部计入当期损益。</w:t>
      </w:r>
    </w:p>
    <w:p>
      <w:pPr>
        <w:pStyle w:val="Style32"/>
        <w:keepNext/>
        <w:keepLines/>
        <w:widowControl w:val="0"/>
        <w:shd w:val="clear" w:color="auto" w:fill="auto"/>
        <w:bidi w:val="0"/>
        <w:spacing w:before="0" w:after="300" w:line="307" w:lineRule="exact"/>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bookmarkEnd w:id="1072"/>
      <w:r>
        <w:rPr>
          <w:rFonts w:ascii="Times New Roman" w:eastAsia="Times New Roman" w:hAnsi="Times New Roman" w:cs="Times New Roman"/>
          <w:color w:val="000000"/>
          <w:spacing w:val="0"/>
          <w:w w:val="100"/>
          <w:position w:val="0"/>
        </w:rPr>
        <w:t>4</w:t>
      </w:r>
      <w:r>
        <w:rPr>
          <w:color w:val="000000"/>
          <w:spacing w:val="0"/>
          <w:w w:val="100"/>
          <w:position w:val="0"/>
        </w:rPr>
        <w:t>、长期资产减值</w:t>
      </w:r>
      <w:bookmarkEnd w:id="1070"/>
      <w:bookmarkEnd w:id="1071"/>
      <w:bookmarkEnd w:id="1073"/>
    </w:p>
    <w:p>
      <w:pPr>
        <w:pStyle w:val="Style35"/>
        <w:keepNext w:val="0"/>
        <w:keepLines w:val="0"/>
        <w:widowControl w:val="0"/>
        <w:shd w:val="clear" w:color="auto" w:fill="auto"/>
        <w:bidi w:val="0"/>
        <w:spacing w:before="0" w:after="240" w:line="307" w:lineRule="exact"/>
        <w:ind w:left="0" w:right="0" w:firstLine="460"/>
        <w:jc w:val="both"/>
        <w:rPr>
          <w:sz w:val="22"/>
          <w:szCs w:val="22"/>
        </w:rPr>
      </w:pPr>
      <w:r>
        <w:rPr>
          <w:color w:val="000000"/>
          <w:spacing w:val="0"/>
          <w:w w:val="100"/>
          <w:position w:val="0"/>
          <w:sz w:val="22"/>
          <w:szCs w:val="22"/>
        </w:rPr>
        <w:t xml:space="preserve">本集团于每一资产负债表日对长期股权投资、采用成本模式计量的投资性房地产、固定资产、在 建工程、采用成本模式计量的生产性生物资产、使用寿命有限的无形资产等项目进行检查，当存在减 值迹象时，本集团进行减值测试。对商誉和使用寿命不确定的无形资产，无论是否存在减值迹象，每 </w:t>
      </w:r>
      <w:r>
        <w:rPr>
          <w:color w:val="000000"/>
          <w:spacing w:val="0"/>
          <w:w w:val="100"/>
          <w:position w:val="0"/>
          <w:sz w:val="22"/>
          <w:szCs w:val="22"/>
        </w:rPr>
        <w:t>年末均进行减值测试。</w:t>
      </w:r>
    </w:p>
    <w:p>
      <w:pPr>
        <w:pStyle w:val="Style35"/>
        <w:keepNext w:val="0"/>
        <w:keepLines w:val="0"/>
        <w:widowControl w:val="0"/>
        <w:shd w:val="clear" w:color="auto" w:fill="auto"/>
        <w:bidi w:val="0"/>
        <w:spacing w:before="0" w:after="600" w:line="312" w:lineRule="exact"/>
        <w:ind w:left="0" w:right="0" w:firstLine="460"/>
        <w:jc w:val="both"/>
        <w:rPr>
          <w:sz w:val="22"/>
          <w:szCs w:val="22"/>
        </w:rPr>
      </w:pPr>
      <w:r>
        <w:rPr>
          <w:color w:val="000000"/>
          <w:spacing w:val="0"/>
          <w:w w:val="100"/>
          <w:position w:val="0"/>
          <w:sz w:val="22"/>
          <w:szCs w:val="22"/>
        </w:rPr>
        <w:t>减值测试后，若该资产的账面价值超过其可收回金额，其差额确认为减值损失，上述资产的减值 损失一经确认，在以后会计期间不予转回。</w:t>
      </w:r>
    </w:p>
    <w:p>
      <w:pPr>
        <w:pStyle w:val="Style32"/>
        <w:keepNext/>
        <w:keepLines/>
        <w:widowControl w:val="0"/>
        <w:shd w:val="clear" w:color="auto" w:fill="auto"/>
        <w:bidi w:val="0"/>
        <w:spacing w:before="0" w:after="300" w:line="314" w:lineRule="exact"/>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74"/>
      <w:bookmarkEnd w:id="1075"/>
      <w:bookmarkEnd w:id="1077"/>
    </w:p>
    <w:p>
      <w:pPr>
        <w:pStyle w:val="Style35"/>
        <w:keepNext w:val="0"/>
        <w:keepLines w:val="0"/>
        <w:widowControl w:val="0"/>
        <w:shd w:val="clear" w:color="auto" w:fill="auto"/>
        <w:bidi w:val="0"/>
        <w:spacing w:before="0" w:after="600" w:line="314" w:lineRule="exact"/>
        <w:ind w:left="0" w:right="0" w:firstLine="460"/>
        <w:jc w:val="both"/>
        <w:rPr>
          <w:sz w:val="22"/>
          <w:szCs w:val="22"/>
        </w:rPr>
      </w:pPr>
      <w:r>
        <w:rPr>
          <w:color w:val="000000"/>
          <w:spacing w:val="0"/>
          <w:w w:val="100"/>
          <w:position w:val="0"/>
          <w:sz w:val="22"/>
          <w:szCs w:val="22"/>
        </w:rPr>
        <w:t>本集团的长期待摊费用是指已经支出，但应由当期及以后各期承担的摊销期限在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不含</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的各项费用，该等费用在受益期内平均摊销，如果长期待摊费用项目不能使以后会计期间受益， 则将尚未摊销的该项目的摊余价值全部转入当期损益。</w:t>
      </w:r>
    </w:p>
    <w:p>
      <w:pPr>
        <w:pStyle w:val="Style32"/>
        <w:keepNext/>
        <w:keepLines/>
        <w:widowControl w:val="0"/>
        <w:shd w:val="clear" w:color="auto" w:fill="auto"/>
        <w:bidi w:val="0"/>
        <w:spacing w:before="0" w:after="300" w:line="310" w:lineRule="exact"/>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078"/>
      <w:bookmarkEnd w:id="1079"/>
      <w:bookmarkEnd w:id="1081"/>
    </w:p>
    <w:p>
      <w:pPr>
        <w:pStyle w:val="Style35"/>
        <w:keepNext w:val="0"/>
        <w:keepLines w:val="0"/>
        <w:widowControl w:val="0"/>
        <w:shd w:val="clear" w:color="auto" w:fill="auto"/>
        <w:bidi w:val="0"/>
        <w:spacing w:before="0" w:after="600" w:line="310" w:lineRule="exact"/>
        <w:ind w:left="0" w:right="0" w:firstLine="460"/>
        <w:jc w:val="both"/>
        <w:rPr>
          <w:sz w:val="22"/>
          <w:szCs w:val="22"/>
        </w:rPr>
      </w:pPr>
      <w:r>
        <w:rPr>
          <w:color w:val="000000"/>
          <w:spacing w:val="0"/>
          <w:w w:val="100"/>
          <w:position w:val="0"/>
          <w:sz w:val="22"/>
          <w:szCs w:val="22"/>
        </w:rPr>
        <w:t>合同负债反映本集团已收或应收客户对价而应向客户转让商品的义务。本集团在向客户转让商品 之前，客户已经支付了合同对价或本集团已经取得了无条件收取合同对价权利的，在客户实际支付款 项与到期应支付款项孰早时点，按照已收或应收的金额确认合同负债。</w:t>
      </w:r>
    </w:p>
    <w:p>
      <w:pPr>
        <w:pStyle w:val="Style35"/>
        <w:keepNext w:val="0"/>
        <w:keepLines w:val="0"/>
        <w:widowControl w:val="0"/>
        <w:shd w:val="clear" w:color="auto" w:fill="auto"/>
        <w:bidi w:val="0"/>
        <w:spacing w:before="0" w:after="300" w:line="312" w:lineRule="exact"/>
        <w:ind w:left="0" w:right="0" w:firstLine="0"/>
        <w:jc w:val="left"/>
      </w:pPr>
      <w:bookmarkStart w:id="1082" w:name="bookmark1082"/>
      <w:r>
        <w:rPr>
          <w:rFonts w:ascii="Times New Roman" w:eastAsia="Times New Roman" w:hAnsi="Times New Roman" w:cs="Times New Roman"/>
          <w:b/>
          <w:bCs/>
          <w:color w:val="000000"/>
          <w:spacing w:val="0"/>
          <w:w w:val="100"/>
          <w:position w:val="0"/>
        </w:rPr>
        <w:t>2</w:t>
      </w:r>
      <w:bookmarkEnd w:id="1082"/>
      <w:r>
        <w:rPr>
          <w:rFonts w:ascii="Times New Roman" w:eastAsia="Times New Roman" w:hAnsi="Times New Roman" w:cs="Times New Roman"/>
          <w:b/>
          <w:bCs/>
          <w:color w:val="000000"/>
          <w:spacing w:val="0"/>
          <w:w w:val="100"/>
          <w:position w:val="0"/>
        </w:rPr>
        <w:t>7</w:t>
      </w:r>
      <w:r>
        <w:rPr>
          <w:b/>
          <w:bCs/>
          <w:color w:val="000000"/>
          <w:spacing w:val="0"/>
          <w:w w:val="100"/>
          <w:position w:val="0"/>
        </w:rPr>
        <w:t>、职工薪酬</w:t>
      </w:r>
    </w:p>
    <w:p>
      <w:pPr>
        <w:pStyle w:val="Style32"/>
        <w:keepNext/>
        <w:keepLines/>
        <w:widowControl w:val="0"/>
        <w:shd w:val="clear" w:color="auto" w:fill="auto"/>
        <w:bidi w:val="0"/>
        <w:spacing w:before="0" w:after="300" w:line="312" w:lineRule="exact"/>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83"/>
      <w:bookmarkEnd w:id="1084"/>
      <w:bookmarkEnd w:id="1086"/>
    </w:p>
    <w:p>
      <w:pPr>
        <w:pStyle w:val="Style35"/>
        <w:keepNext w:val="0"/>
        <w:keepLines w:val="0"/>
        <w:widowControl w:val="0"/>
        <w:shd w:val="clear" w:color="auto" w:fill="auto"/>
        <w:bidi w:val="0"/>
        <w:spacing w:before="0" w:after="600" w:line="312" w:lineRule="exact"/>
        <w:ind w:left="0" w:right="0" w:firstLine="460"/>
        <w:jc w:val="both"/>
        <w:rPr>
          <w:sz w:val="22"/>
          <w:szCs w:val="22"/>
        </w:rPr>
      </w:pPr>
      <w:r>
        <w:rPr>
          <w:color w:val="000000"/>
          <w:spacing w:val="0"/>
          <w:w w:val="100"/>
          <w:position w:val="0"/>
          <w:sz w:val="22"/>
          <w:szCs w:val="22"/>
        </w:rPr>
        <w:t>短期薪酬主要包括工资、奖金、津贴和补贴、职工福利费、医疗保险费、生育保险费、工伤保险 费、住房公积金、工会经费和职工教育经费、非货币性福利等，在职工提供服务的会计期间，将实际 发生的短期薪酬确认为负债，并按照受益对象计入当期损益或相关资产成本。</w:t>
      </w:r>
    </w:p>
    <w:p>
      <w:pPr>
        <w:pStyle w:val="Style32"/>
        <w:keepNext/>
        <w:keepLines/>
        <w:widowControl w:val="0"/>
        <w:shd w:val="clear" w:color="auto" w:fill="auto"/>
        <w:bidi w:val="0"/>
        <w:spacing w:before="0" w:after="300" w:line="312" w:lineRule="exact"/>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87"/>
      <w:bookmarkEnd w:id="1088"/>
      <w:bookmarkEnd w:id="1090"/>
    </w:p>
    <w:p>
      <w:pPr>
        <w:pStyle w:val="Style35"/>
        <w:keepNext w:val="0"/>
        <w:keepLines w:val="0"/>
        <w:widowControl w:val="0"/>
        <w:shd w:val="clear" w:color="auto" w:fill="auto"/>
        <w:bidi w:val="0"/>
        <w:spacing w:before="0" w:after="600" w:line="312" w:lineRule="exact"/>
        <w:ind w:left="0" w:right="0" w:firstLine="460"/>
        <w:jc w:val="both"/>
        <w:rPr>
          <w:sz w:val="22"/>
          <w:szCs w:val="22"/>
        </w:rPr>
      </w:pPr>
      <w:r>
        <w:rPr>
          <w:color w:val="000000"/>
          <w:spacing w:val="0"/>
          <w:w w:val="100"/>
          <w:position w:val="0"/>
          <w:sz w:val="22"/>
          <w:szCs w:val="22"/>
        </w:rPr>
        <w:t>离职后福利主要包括基本养老保险、失业保险以及年金等，按照公司承担的风险和义务，分类为 设定提存计划。对于设定提存计划在根据在资产负债表日为换取职工在会计期间提供的服务而向单独 主体缴存的提存金确认为负债，并按照受益对象计入当期损益或相关资产成本。</w:t>
      </w:r>
    </w:p>
    <w:p>
      <w:pPr>
        <w:pStyle w:val="Style32"/>
        <w:keepNext/>
        <w:keepLines/>
        <w:widowControl w:val="0"/>
        <w:shd w:val="clear" w:color="auto" w:fill="auto"/>
        <w:bidi w:val="0"/>
        <w:spacing w:before="0" w:after="300" w:line="314" w:lineRule="exact"/>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91"/>
      <w:bookmarkEnd w:id="1092"/>
      <w:bookmarkEnd w:id="1094"/>
    </w:p>
    <w:p>
      <w:pPr>
        <w:pStyle w:val="Style35"/>
        <w:keepNext w:val="0"/>
        <w:keepLines w:val="0"/>
        <w:widowControl w:val="0"/>
        <w:shd w:val="clear" w:color="auto" w:fill="auto"/>
        <w:bidi w:val="0"/>
        <w:spacing w:before="0" w:after="300" w:line="314" w:lineRule="exact"/>
        <w:ind w:left="0" w:right="0" w:firstLine="460"/>
        <w:jc w:val="both"/>
        <w:rPr>
          <w:sz w:val="22"/>
          <w:szCs w:val="22"/>
        </w:rPr>
      </w:pPr>
      <w:r>
        <w:rPr>
          <w:color w:val="000000"/>
          <w:spacing w:val="0"/>
          <w:w w:val="100"/>
          <w:position w:val="0"/>
          <w:sz w:val="22"/>
          <w:szCs w:val="22"/>
        </w:rPr>
        <w:t>职工内部退休计划采用与上述辞退福利相同的原则处理。本公司将自职工停止提供服务日至正常 退休日的期间拟支付的内退人员工资和缴纳的社会保险费等，在符合预计负债确认条件时，计入当期 损益（辞退福利）。</w:t>
      </w:r>
    </w:p>
    <w:p>
      <w:pPr>
        <w:pStyle w:val="Style35"/>
        <w:keepNext w:val="0"/>
        <w:keepLines w:val="0"/>
        <w:widowControl w:val="0"/>
        <w:numPr>
          <w:ilvl w:val="0"/>
          <w:numId w:val="33"/>
        </w:numPr>
        <w:shd w:val="clear" w:color="auto" w:fill="auto"/>
        <w:bidi w:val="0"/>
        <w:spacing w:before="0" w:after="300" w:line="310" w:lineRule="exact"/>
        <w:ind w:left="0" w:right="0" w:firstLine="0"/>
        <w:jc w:val="left"/>
      </w:pPr>
      <w:bookmarkStart w:id="1095" w:name="bookmark1095"/>
      <w:bookmarkEnd w:id="1095"/>
      <w:r>
        <w:rPr>
          <w:b/>
          <w:bCs/>
          <w:color w:val="000000"/>
          <w:spacing w:val="0"/>
          <w:w w:val="100"/>
          <w:position w:val="0"/>
        </w:rPr>
        <w:t>其他长期职工福利的会计处理方法</w:t>
      </w:r>
    </w:p>
    <w:p>
      <w:pPr>
        <w:pStyle w:val="Style32"/>
        <w:keepNext/>
        <w:keepLines/>
        <w:widowControl w:val="0"/>
        <w:shd w:val="clear" w:color="auto" w:fill="auto"/>
        <w:bidi w:val="0"/>
        <w:spacing w:before="0" w:after="300" w:line="310" w:lineRule="exact"/>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096"/>
      <w:bookmarkEnd w:id="1097"/>
      <w:bookmarkEnd w:id="1099"/>
    </w:p>
    <w:p>
      <w:pPr>
        <w:pStyle w:val="Style35"/>
        <w:keepNext w:val="0"/>
        <w:keepLines w:val="0"/>
        <w:widowControl w:val="0"/>
        <w:shd w:val="clear" w:color="auto" w:fill="auto"/>
        <w:bidi w:val="0"/>
        <w:spacing w:before="0" w:after="240" w:line="310" w:lineRule="exact"/>
        <w:ind w:left="0" w:right="0" w:firstLine="460"/>
        <w:jc w:val="both"/>
        <w:rPr>
          <w:sz w:val="22"/>
          <w:szCs w:val="22"/>
        </w:rPr>
      </w:pPr>
      <w:r>
        <w:rPr>
          <w:color w:val="000000"/>
          <w:spacing w:val="0"/>
          <w:w w:val="100"/>
          <w:position w:val="0"/>
          <w:sz w:val="22"/>
          <w:szCs w:val="22"/>
        </w:rPr>
        <w:t>当与对外担保、商业承兑汇票贴现、未决诉讼或仲裁、产品质量保证等或有事项相关的业务同时 符合以下条件时，本集团将其确认为负债：该义务是本集团承担的现时义务；该义务的履行很可能导 致经济利益流出企业；该义务的金额能够可靠地计量。</w:t>
      </w:r>
    </w:p>
    <w:p>
      <w:pPr>
        <w:pStyle w:val="Style35"/>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在资产负债表日，考虑与或有事项有关的风险、不确定性和货币时间价值等因素，按照履行相关 现时义务所需支出的最佳估计数对预计负债进行计量。</w:t>
      </w:r>
    </w:p>
    <w:p>
      <w:pPr>
        <w:pStyle w:val="Style35"/>
        <w:keepNext w:val="0"/>
        <w:keepLines w:val="0"/>
        <w:widowControl w:val="0"/>
        <w:shd w:val="clear" w:color="auto" w:fill="auto"/>
        <w:bidi w:val="0"/>
        <w:spacing w:before="0" w:after="620" w:line="274" w:lineRule="exact"/>
        <w:ind w:left="0" w:right="0" w:firstLine="460"/>
        <w:jc w:val="both"/>
        <w:rPr>
          <w:sz w:val="22"/>
          <w:szCs w:val="22"/>
        </w:rPr>
      </w:pPr>
      <w:r>
        <w:rPr>
          <w:color w:val="000000"/>
          <w:spacing w:val="0"/>
          <w:w w:val="100"/>
          <w:position w:val="0"/>
          <w:sz w:val="22"/>
          <w:szCs w:val="22"/>
        </w:rPr>
        <w:t>如果清偿预计负债所需支出全部或部分预期由第三方补偿的，补偿金额在基本确定能够收到时， 作为资产单独确认，且确认的补偿金额不超过预计负债的账面价值。</w:t>
      </w:r>
    </w:p>
    <w:p>
      <w:pPr>
        <w:pStyle w:val="Style32"/>
        <w:keepNext/>
        <w:keepLines/>
        <w:widowControl w:val="0"/>
        <w:shd w:val="clear" w:color="auto" w:fill="auto"/>
        <w:bidi w:val="0"/>
        <w:spacing w:before="0" w:after="300" w:line="312" w:lineRule="exact"/>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rFonts w:ascii="Times New Roman" w:eastAsia="Times New Roman" w:hAnsi="Times New Roman" w:cs="Times New Roman"/>
          <w:color w:val="000000"/>
          <w:spacing w:val="0"/>
          <w:w w:val="100"/>
          <w:position w:val="0"/>
        </w:rPr>
        <w:t>9</w:t>
      </w:r>
      <w:r>
        <w:rPr>
          <w:color w:val="000000"/>
          <w:spacing w:val="0"/>
          <w:w w:val="100"/>
          <w:position w:val="0"/>
        </w:rPr>
        <w:t>、股份支付</w:t>
      </w:r>
      <w:bookmarkEnd w:id="1100"/>
      <w:bookmarkEnd w:id="1101"/>
      <w:bookmarkEnd w:id="1103"/>
    </w:p>
    <w:p>
      <w:pPr>
        <w:pStyle w:val="Style35"/>
        <w:keepNext w:val="0"/>
        <w:keepLines w:val="0"/>
        <w:widowControl w:val="0"/>
        <w:shd w:val="clear" w:color="auto" w:fill="auto"/>
        <w:bidi w:val="0"/>
        <w:spacing w:before="0" w:after="240" w:line="314" w:lineRule="exact"/>
        <w:ind w:left="0" w:right="0" w:firstLine="460"/>
        <w:jc w:val="both"/>
        <w:rPr>
          <w:sz w:val="22"/>
          <w:szCs w:val="22"/>
        </w:rPr>
      </w:pPr>
      <w:r>
        <w:rPr>
          <w:color w:val="000000"/>
          <w:spacing w:val="0"/>
          <w:w w:val="100"/>
          <w:position w:val="0"/>
          <w:sz w:val="22"/>
          <w:szCs w:val="22"/>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以现金结算的股份支付，按照本集团承担的以股份或其他权益工具为基础确定的负债的公允价值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行权情况的最佳估计为基础，按照本集团承担负债的公允价值金额，将当期取得的服务计入成本或费 用，相应调整负债。</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在相关负债结算前的每个资产负债表日以及结算日，对负债的公允价值重新计量，其变动计入当 期损益。</w:t>
      </w:r>
    </w:p>
    <w:p>
      <w:pPr>
        <w:pStyle w:val="Style35"/>
        <w:keepNext w:val="0"/>
        <w:keepLines w:val="0"/>
        <w:widowControl w:val="0"/>
        <w:shd w:val="clear" w:color="auto" w:fill="auto"/>
        <w:bidi w:val="0"/>
        <w:spacing w:before="0" w:after="620" w:line="312" w:lineRule="exact"/>
        <w:ind w:left="0" w:right="0" w:firstLine="460"/>
        <w:jc w:val="both"/>
        <w:rPr>
          <w:sz w:val="22"/>
          <w:szCs w:val="22"/>
        </w:rPr>
      </w:pPr>
      <w:r>
        <w:rPr>
          <w:color w:val="000000"/>
          <w:spacing w:val="0"/>
          <w:w w:val="100"/>
          <w:position w:val="0"/>
          <w:sz w:val="22"/>
          <w:szCs w:val="22"/>
        </w:rPr>
        <w:t>本集团在等待期内取消所授予权益工具的(因未满足可行权条件而被取消的除外)，作为加速行 权处理，即视同剩余等待期内的股权支付计划已经全部满足可行权条件，在取消所授予权益工具的当 期确认剩余等待期内的所有费用。</w:t>
      </w:r>
    </w:p>
    <w:p>
      <w:pPr>
        <w:pStyle w:val="Style32"/>
        <w:keepNext/>
        <w:keepLines/>
        <w:widowControl w:val="0"/>
        <w:shd w:val="clear" w:color="auto" w:fill="auto"/>
        <w:bidi w:val="0"/>
        <w:spacing w:before="0" w:after="380" w:line="312" w:lineRule="exact"/>
        <w:ind w:left="0" w:right="0" w:firstLine="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30</w:t>
      </w:r>
      <w:r>
        <w:rPr>
          <w:color w:val="000000"/>
          <w:spacing w:val="0"/>
          <w:w w:val="100"/>
          <w:position w:val="0"/>
        </w:rPr>
        <w:t>、收入</w:t>
      </w:r>
      <w:bookmarkEnd w:id="1104"/>
      <w:bookmarkEnd w:id="1105"/>
      <w:bookmarkEnd w:id="1106"/>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numPr>
          <w:ilvl w:val="0"/>
          <w:numId w:val="35"/>
        </w:numPr>
        <w:shd w:val="clear" w:color="auto" w:fill="auto"/>
        <w:tabs>
          <w:tab w:pos="957" w:val="left"/>
        </w:tabs>
        <w:bidi w:val="0"/>
        <w:spacing w:before="0" w:after="240" w:line="312" w:lineRule="exact"/>
        <w:ind w:left="0" w:right="0" w:firstLine="460"/>
        <w:jc w:val="both"/>
        <w:rPr>
          <w:sz w:val="22"/>
          <w:szCs w:val="22"/>
        </w:rPr>
      </w:pPr>
      <w:bookmarkStart w:id="1107" w:name="bookmark1107"/>
      <w:bookmarkEnd w:id="1107"/>
      <w:r>
        <w:rPr>
          <w:color w:val="000000"/>
          <w:spacing w:val="0"/>
          <w:w w:val="100"/>
          <w:position w:val="0"/>
          <w:sz w:val="22"/>
          <w:szCs w:val="22"/>
        </w:rPr>
        <w:t>一般原则</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收入是本集团在日常活动中形成的、会导致股东权益增加且与股东投入资本无关的经济利益的总 流入。</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 xml:space="preserve">本集团在履行了合同中的履约义务，即在客户取得相关商品或服务的控制权时，确认收入。合同 中包含两项或多项履约义务的，本集团在合同开始时，按照个单项履约义务所承诺商品或服务的单独 </w:t>
      </w:r>
      <w:r>
        <w:rPr>
          <w:color w:val="000000"/>
          <w:spacing w:val="0"/>
          <w:w w:val="100"/>
          <w:position w:val="0"/>
          <w:sz w:val="22"/>
          <w:szCs w:val="22"/>
        </w:rPr>
        <w:t>售价的相对比例，将交易价格分摊至各单项履约义务，按照分摊至各单项履约义务的交易价格计量收 入。</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交易价格是本集团因向客户转让商品或服务而预期有权收取的对价金额，不包括代第三方收取的 款项。本集团确认的交易价格不超过在相关不确定性消除时累计已确认收入极可能不会发生重大转回 的金额。预期将退还给客户的款项作为负债不计入交易价格。合同中存在重大融资成分的，本集团按 照假定客户在取得商品或服务控制权时即以现金支付的应付金额确定交易价格。该交易价格与合同对 价之间的差额，在合同期间内采用实际利率法摊销。合同开始日，本集团预计客户取得商品或服务控 制权与客户支付价款间隔不超过一年的，不考虑合同中存在的重大融资成分。</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满足下列条件之一时，本集团属于在某一时段内履行履约义务；否则，属于在某一时点履行履约 义务：</w:t>
      </w:r>
    </w:p>
    <w:p>
      <w:pPr>
        <w:pStyle w:val="Style35"/>
        <w:keepNext w:val="0"/>
        <w:keepLines w:val="0"/>
        <w:widowControl w:val="0"/>
        <w:numPr>
          <w:ilvl w:val="0"/>
          <w:numId w:val="37"/>
        </w:numPr>
        <w:shd w:val="clear" w:color="auto" w:fill="auto"/>
        <w:tabs>
          <w:tab w:pos="856" w:val="left"/>
        </w:tabs>
        <w:bidi w:val="0"/>
        <w:spacing w:before="0" w:after="220" w:line="314" w:lineRule="exact"/>
        <w:ind w:left="0" w:right="0" w:firstLine="460"/>
        <w:jc w:val="both"/>
        <w:rPr>
          <w:sz w:val="22"/>
          <w:szCs w:val="22"/>
        </w:rPr>
      </w:pPr>
      <w:bookmarkStart w:id="1108" w:name="bookmark1108"/>
      <w:bookmarkEnd w:id="1108"/>
      <w:r>
        <w:rPr>
          <w:color w:val="000000"/>
          <w:spacing w:val="0"/>
          <w:w w:val="100"/>
          <w:position w:val="0"/>
          <w:sz w:val="22"/>
          <w:szCs w:val="22"/>
        </w:rPr>
        <w:t>客户在本集团履约的同时即取得并消耗本集团履约所带来的经济利益。</w:t>
      </w:r>
    </w:p>
    <w:p>
      <w:pPr>
        <w:pStyle w:val="Style35"/>
        <w:keepNext w:val="0"/>
        <w:keepLines w:val="0"/>
        <w:widowControl w:val="0"/>
        <w:numPr>
          <w:ilvl w:val="0"/>
          <w:numId w:val="37"/>
        </w:numPr>
        <w:shd w:val="clear" w:color="auto" w:fill="auto"/>
        <w:tabs>
          <w:tab w:pos="856" w:val="left"/>
        </w:tabs>
        <w:bidi w:val="0"/>
        <w:spacing w:before="0" w:after="220" w:line="314" w:lineRule="exact"/>
        <w:ind w:left="0" w:right="0" w:firstLine="460"/>
        <w:jc w:val="both"/>
        <w:rPr>
          <w:sz w:val="22"/>
          <w:szCs w:val="22"/>
        </w:rPr>
      </w:pPr>
      <w:bookmarkStart w:id="1109" w:name="bookmark1109"/>
      <w:bookmarkEnd w:id="1109"/>
      <w:r>
        <w:rPr>
          <w:color w:val="000000"/>
          <w:spacing w:val="0"/>
          <w:w w:val="100"/>
          <w:position w:val="0"/>
          <w:sz w:val="22"/>
          <w:szCs w:val="22"/>
        </w:rPr>
        <w:t>客户能够控制本集团履约过程中在建的商品。</w:t>
      </w:r>
    </w:p>
    <w:p>
      <w:pPr>
        <w:pStyle w:val="Style35"/>
        <w:keepNext w:val="0"/>
        <w:keepLines w:val="0"/>
        <w:widowControl w:val="0"/>
        <w:numPr>
          <w:ilvl w:val="0"/>
          <w:numId w:val="37"/>
        </w:numPr>
        <w:shd w:val="clear" w:color="auto" w:fill="auto"/>
        <w:tabs>
          <w:tab w:pos="833" w:val="left"/>
        </w:tabs>
        <w:bidi w:val="0"/>
        <w:spacing w:before="0" w:after="220" w:line="307" w:lineRule="exact"/>
        <w:ind w:left="0" w:right="0" w:firstLine="460"/>
        <w:jc w:val="both"/>
        <w:rPr>
          <w:sz w:val="22"/>
          <w:szCs w:val="22"/>
        </w:rPr>
      </w:pPr>
      <w:bookmarkStart w:id="1110" w:name="bookmark1110"/>
      <w:bookmarkEnd w:id="1110"/>
      <w:r>
        <w:rPr>
          <w:color w:val="000000"/>
          <w:spacing w:val="0"/>
          <w:w w:val="100"/>
          <w:position w:val="0"/>
          <w:sz w:val="22"/>
          <w:szCs w:val="22"/>
        </w:rPr>
        <w:t>在本集团履约过程中所产出的商品具有不可替代用途，且本集团在整个合同期间内有权就累计 至今已完成的履约部分收取款项。</w:t>
      </w:r>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对于在某一时段内履行的履约义务，本集团在该段时间内按照履约进度确认收入，并按照产出法 法确定履约进度。履约进度不能合理确定时，本集团已经发生的成本预计能够得到补偿的，按照已经 发生的成本金额确认收入，直到履约进度能够合理确定为止。</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对于在某一时点履行的履约义务，本集团在客户取得相关商品或服务控制权时点确认收入。在判 断客户是否已取得商品或服务控制权时，本集团考虑下列迹象：</w:t>
      </w:r>
    </w:p>
    <w:p>
      <w:pPr>
        <w:pStyle w:val="Style35"/>
        <w:keepNext w:val="0"/>
        <w:keepLines w:val="0"/>
        <w:widowControl w:val="0"/>
        <w:numPr>
          <w:ilvl w:val="0"/>
          <w:numId w:val="39"/>
        </w:numPr>
        <w:shd w:val="clear" w:color="auto" w:fill="auto"/>
        <w:tabs>
          <w:tab w:pos="856" w:val="left"/>
        </w:tabs>
        <w:bidi w:val="0"/>
        <w:spacing w:before="0" w:after="220" w:line="314" w:lineRule="exact"/>
        <w:ind w:left="0" w:right="0" w:firstLine="460"/>
        <w:jc w:val="both"/>
        <w:rPr>
          <w:sz w:val="22"/>
          <w:szCs w:val="22"/>
        </w:rPr>
      </w:pPr>
      <w:bookmarkStart w:id="1111" w:name="bookmark1111"/>
      <w:bookmarkEnd w:id="1111"/>
      <w:r>
        <w:rPr>
          <w:color w:val="000000"/>
          <w:spacing w:val="0"/>
          <w:w w:val="100"/>
          <w:position w:val="0"/>
          <w:sz w:val="22"/>
          <w:szCs w:val="22"/>
        </w:rPr>
        <w:t>本集团就该商品或服务享有现时收款权利。</w:t>
      </w:r>
    </w:p>
    <w:p>
      <w:pPr>
        <w:pStyle w:val="Style35"/>
        <w:keepNext w:val="0"/>
        <w:keepLines w:val="0"/>
        <w:widowControl w:val="0"/>
        <w:numPr>
          <w:ilvl w:val="0"/>
          <w:numId w:val="39"/>
        </w:numPr>
        <w:shd w:val="clear" w:color="auto" w:fill="auto"/>
        <w:tabs>
          <w:tab w:pos="856" w:val="left"/>
        </w:tabs>
        <w:bidi w:val="0"/>
        <w:spacing w:before="0" w:after="220" w:line="314" w:lineRule="exact"/>
        <w:ind w:left="0" w:right="0" w:firstLine="460"/>
        <w:jc w:val="both"/>
        <w:rPr>
          <w:sz w:val="22"/>
          <w:szCs w:val="22"/>
        </w:rPr>
      </w:pPr>
      <w:bookmarkStart w:id="1112" w:name="bookmark1112"/>
      <w:bookmarkEnd w:id="1112"/>
      <w:r>
        <w:rPr>
          <w:color w:val="000000"/>
          <w:spacing w:val="0"/>
          <w:w w:val="100"/>
          <w:position w:val="0"/>
          <w:sz w:val="22"/>
          <w:szCs w:val="22"/>
        </w:rPr>
        <w:t>本集团已将该商品的法定所有权转移给客户。</w:t>
      </w:r>
    </w:p>
    <w:p>
      <w:pPr>
        <w:pStyle w:val="Style35"/>
        <w:keepNext w:val="0"/>
        <w:keepLines w:val="0"/>
        <w:widowControl w:val="0"/>
        <w:numPr>
          <w:ilvl w:val="0"/>
          <w:numId w:val="39"/>
        </w:numPr>
        <w:shd w:val="clear" w:color="auto" w:fill="auto"/>
        <w:tabs>
          <w:tab w:pos="856" w:val="left"/>
        </w:tabs>
        <w:bidi w:val="0"/>
        <w:spacing w:before="0" w:after="220" w:line="314" w:lineRule="exact"/>
        <w:ind w:left="0" w:right="0" w:firstLine="460"/>
        <w:jc w:val="both"/>
        <w:rPr>
          <w:sz w:val="22"/>
          <w:szCs w:val="22"/>
        </w:rPr>
      </w:pPr>
      <w:bookmarkStart w:id="1113" w:name="bookmark1113"/>
      <w:bookmarkEnd w:id="1113"/>
      <w:r>
        <w:rPr>
          <w:color w:val="000000"/>
          <w:spacing w:val="0"/>
          <w:w w:val="100"/>
          <w:position w:val="0"/>
          <w:sz w:val="22"/>
          <w:szCs w:val="22"/>
        </w:rPr>
        <w:t>本集团已将该商品的实物转移给客户。</w:t>
      </w:r>
    </w:p>
    <w:p>
      <w:pPr>
        <w:pStyle w:val="Style35"/>
        <w:keepNext w:val="0"/>
        <w:keepLines w:val="0"/>
        <w:widowControl w:val="0"/>
        <w:numPr>
          <w:ilvl w:val="0"/>
          <w:numId w:val="39"/>
        </w:numPr>
        <w:shd w:val="clear" w:color="auto" w:fill="auto"/>
        <w:tabs>
          <w:tab w:pos="856" w:val="left"/>
        </w:tabs>
        <w:bidi w:val="0"/>
        <w:spacing w:before="0" w:after="220" w:line="314" w:lineRule="exact"/>
        <w:ind w:left="0" w:right="0" w:firstLine="460"/>
        <w:jc w:val="left"/>
        <w:rPr>
          <w:sz w:val="22"/>
          <w:szCs w:val="22"/>
        </w:rPr>
      </w:pPr>
      <w:bookmarkStart w:id="1114" w:name="bookmark1114"/>
      <w:bookmarkEnd w:id="1114"/>
      <w:r>
        <w:rPr>
          <w:color w:val="000000"/>
          <w:spacing w:val="0"/>
          <w:w w:val="100"/>
          <w:position w:val="0"/>
          <w:sz w:val="22"/>
          <w:szCs w:val="22"/>
        </w:rPr>
        <w:t>本集团已将该商品所有权上的主要风险和报酬转移给客户。</w:t>
      </w:r>
    </w:p>
    <w:p>
      <w:pPr>
        <w:pStyle w:val="Style35"/>
        <w:keepNext w:val="0"/>
        <w:keepLines w:val="0"/>
        <w:widowControl w:val="0"/>
        <w:numPr>
          <w:ilvl w:val="0"/>
          <w:numId w:val="39"/>
        </w:numPr>
        <w:shd w:val="clear" w:color="auto" w:fill="auto"/>
        <w:tabs>
          <w:tab w:pos="856" w:val="left"/>
        </w:tabs>
        <w:bidi w:val="0"/>
        <w:spacing w:before="0" w:after="220" w:line="314" w:lineRule="exact"/>
        <w:ind w:left="0" w:right="0" w:firstLine="460"/>
        <w:jc w:val="both"/>
        <w:rPr>
          <w:sz w:val="22"/>
          <w:szCs w:val="22"/>
        </w:rPr>
      </w:pPr>
      <w:bookmarkStart w:id="1115" w:name="bookmark1115"/>
      <w:bookmarkEnd w:id="1115"/>
      <w:r>
        <w:rPr>
          <w:color w:val="000000"/>
          <w:spacing w:val="0"/>
          <w:w w:val="100"/>
          <w:position w:val="0"/>
          <w:sz w:val="22"/>
          <w:szCs w:val="22"/>
        </w:rPr>
        <w:t>客户已接受该商品或服务等。</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本集团已向客户转让商品或服务而有权收取对价的权利作为合同资产列示，合同资产以预期信用 损失为基础计提减值。本集团拥有的无条件向客户收取对价的权利作为应收款项列示。本集团已收货 应收客户对价而应向客户转让商品或服务的义务作为合同负债列示。</w:t>
      </w:r>
    </w:p>
    <w:p>
      <w:pPr>
        <w:pStyle w:val="Style35"/>
        <w:keepNext w:val="0"/>
        <w:keepLines w:val="0"/>
        <w:widowControl w:val="0"/>
        <w:numPr>
          <w:ilvl w:val="0"/>
          <w:numId w:val="35"/>
        </w:numPr>
        <w:shd w:val="clear" w:color="auto" w:fill="auto"/>
        <w:bidi w:val="0"/>
        <w:spacing w:before="0" w:after="220" w:line="314" w:lineRule="exact"/>
        <w:ind w:left="0" w:right="0" w:firstLine="460"/>
        <w:jc w:val="both"/>
        <w:rPr>
          <w:sz w:val="22"/>
          <w:szCs w:val="22"/>
        </w:rPr>
      </w:pPr>
      <w:bookmarkStart w:id="1116" w:name="bookmark1116"/>
      <w:bookmarkEnd w:id="1116"/>
      <w:r>
        <w:rPr>
          <w:color w:val="000000"/>
          <w:spacing w:val="0"/>
          <w:w w:val="100"/>
          <w:position w:val="0"/>
          <w:sz w:val="22"/>
          <w:szCs w:val="22"/>
        </w:rPr>
        <w:t>收入确认的具体方法：</w:t>
      </w:r>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在公司与客户订立了合同，并且合同满足如下条款：①合同各方已批准该合同并承诺履行各自义 务、②该合同明确了合同各方与所转让的商品(或提供的服务)相关的权利和义务、③该合同有明确 的与所转让的商品相关的支付条款、④该合同具有商业实质，即履行该合同将改变企业未来现金流量 的风险、时间分布或金额、⑤企业因向客户转让商品而有权取得的对价很可能收回的情况下，按照如 下原则确认：</w:t>
      </w:r>
    </w:p>
    <w:p>
      <w:pPr>
        <w:pStyle w:val="Style35"/>
        <w:keepNext w:val="0"/>
        <w:keepLines w:val="0"/>
        <w:widowControl w:val="0"/>
        <w:numPr>
          <w:ilvl w:val="0"/>
          <w:numId w:val="41"/>
        </w:numPr>
        <w:shd w:val="clear" w:color="auto" w:fill="auto"/>
        <w:tabs>
          <w:tab w:pos="781" w:val="left"/>
        </w:tabs>
        <w:bidi w:val="0"/>
        <w:spacing w:before="0" w:after="220" w:line="314" w:lineRule="exact"/>
        <w:ind w:left="0" w:right="0" w:firstLine="460"/>
        <w:jc w:val="both"/>
        <w:rPr>
          <w:sz w:val="22"/>
          <w:szCs w:val="22"/>
        </w:rPr>
      </w:pPr>
      <w:bookmarkStart w:id="1117" w:name="bookmark1117"/>
      <w:bookmarkEnd w:id="1117"/>
      <w:r>
        <w:rPr>
          <w:color w:val="000000"/>
          <w:spacing w:val="0"/>
          <w:w w:val="100"/>
          <w:position w:val="0"/>
          <w:sz w:val="22"/>
          <w:szCs w:val="22"/>
        </w:rPr>
        <w:t>销售自行开发研制的软件产品收入，是指销售时不转让所有权的软件产品。对于不需要安装就 可以使用的软件产品，公司在客户取得相关商品控制权时确认收入；对于需要提供安装服务的软件产 品，在相关软件安装在客户提供的设备上安装完成并在客户验收后确认收入；对于系统集成中的销售 自行开发软件收入，按系统集成收入确认的原则确认。</w:t>
      </w:r>
    </w:p>
    <w:p>
      <w:pPr>
        <w:pStyle w:val="Style35"/>
        <w:keepNext w:val="0"/>
        <w:keepLines w:val="0"/>
        <w:widowControl w:val="0"/>
        <w:numPr>
          <w:ilvl w:val="0"/>
          <w:numId w:val="41"/>
        </w:numPr>
        <w:shd w:val="clear" w:color="auto" w:fill="auto"/>
        <w:tabs>
          <w:tab w:pos="781" w:val="left"/>
        </w:tabs>
        <w:bidi w:val="0"/>
        <w:spacing w:before="0" w:after="220" w:line="312" w:lineRule="exact"/>
        <w:ind w:left="0" w:right="0" w:firstLine="460"/>
        <w:jc w:val="both"/>
        <w:rPr>
          <w:sz w:val="22"/>
          <w:szCs w:val="22"/>
        </w:rPr>
      </w:pPr>
      <w:bookmarkStart w:id="1118" w:name="bookmark1118"/>
      <w:bookmarkEnd w:id="1118"/>
      <w:r>
        <w:rPr>
          <w:color w:val="000000"/>
          <w:spacing w:val="0"/>
          <w:w w:val="100"/>
          <w:position w:val="0"/>
          <w:sz w:val="22"/>
          <w:szCs w:val="22"/>
        </w:rPr>
        <w:t>自行开发研制的云架构软件产品，是指公司以数据平台为依托，向客户提供固定期限的软件许 可、维护及技术支持服务，公司在客户已经接受服务，收到价款或取得收款的依据后，根据与用户签 订的服务期间及合同总金额，按提供服务的进度确收入。</w:t>
      </w:r>
    </w:p>
    <w:p>
      <w:pPr>
        <w:pStyle w:val="Style35"/>
        <w:keepNext w:val="0"/>
        <w:keepLines w:val="0"/>
        <w:widowControl w:val="0"/>
        <w:numPr>
          <w:ilvl w:val="0"/>
          <w:numId w:val="41"/>
        </w:numPr>
        <w:shd w:val="clear" w:color="auto" w:fill="auto"/>
        <w:tabs>
          <w:tab w:pos="781" w:val="left"/>
        </w:tabs>
        <w:bidi w:val="0"/>
        <w:spacing w:before="0" w:after="220" w:line="317" w:lineRule="exact"/>
        <w:ind w:left="0" w:right="0" w:firstLine="460"/>
        <w:jc w:val="both"/>
        <w:rPr>
          <w:sz w:val="22"/>
          <w:szCs w:val="22"/>
        </w:rPr>
      </w:pPr>
      <w:bookmarkStart w:id="1119" w:name="bookmark1119"/>
      <w:bookmarkEnd w:id="1119"/>
      <w:r>
        <w:rPr>
          <w:color w:val="000000"/>
          <w:spacing w:val="0"/>
          <w:w w:val="100"/>
          <w:position w:val="0"/>
          <w:sz w:val="20"/>
          <w:szCs w:val="20"/>
        </w:rPr>
        <w:t>销售商品收入，</w:t>
      </w:r>
      <w:r>
        <w:rPr>
          <w:color w:val="000000"/>
          <w:spacing w:val="0"/>
          <w:w w:val="100"/>
          <w:position w:val="0"/>
          <w:sz w:val="22"/>
          <w:szCs w:val="22"/>
        </w:rPr>
        <w:t>公司在客户取得相关商品控制权时确认收入。对于系统集成中的外购商品收入, 按系统集成收入确认的原则确认。</w:t>
      </w:r>
    </w:p>
    <w:p>
      <w:pPr>
        <w:pStyle w:val="Style35"/>
        <w:keepNext w:val="0"/>
        <w:keepLines w:val="0"/>
        <w:widowControl w:val="0"/>
        <w:numPr>
          <w:ilvl w:val="0"/>
          <w:numId w:val="41"/>
        </w:numPr>
        <w:shd w:val="clear" w:color="auto" w:fill="auto"/>
        <w:tabs>
          <w:tab w:pos="785" w:val="left"/>
        </w:tabs>
        <w:bidi w:val="0"/>
        <w:spacing w:before="0" w:after="220" w:line="313" w:lineRule="exact"/>
        <w:ind w:left="0" w:right="0" w:firstLine="460"/>
        <w:jc w:val="both"/>
        <w:rPr>
          <w:sz w:val="22"/>
          <w:szCs w:val="22"/>
        </w:rPr>
      </w:pPr>
      <w:bookmarkStart w:id="1120" w:name="bookmark1120"/>
      <w:bookmarkEnd w:id="1120"/>
      <w:r>
        <w:rPr>
          <w:color w:val="000000"/>
          <w:spacing w:val="0"/>
          <w:w w:val="100"/>
          <w:position w:val="0"/>
          <w:sz w:val="22"/>
          <w:szCs w:val="22"/>
        </w:rPr>
        <w:t>系统集成收入，是指系统集成包括外购商品、自行开发软件产品的销售及安装。公司在将系统 集成中外购商品的所有权、自行开发研制的软件产品使用权上满足如下前提来确认收入实现：如果在 合同开始日，软件收入与设备配件及安装服务收入能分开核算，则硬件收入按上述商品销售的原则进 行确认，软件收入按上述软件产品销售的原则进行确认。如果软件收入与设备配件及安装服务收入不 能分开核算，则将其一并核算，待系统集成于安装完成并经客户验收通过后确认收入。</w:t>
      </w:r>
    </w:p>
    <w:p>
      <w:pPr>
        <w:pStyle w:val="Style35"/>
        <w:keepNext w:val="0"/>
        <w:keepLines w:val="0"/>
        <w:widowControl w:val="0"/>
        <w:numPr>
          <w:ilvl w:val="0"/>
          <w:numId w:val="41"/>
        </w:numPr>
        <w:shd w:val="clear" w:color="auto" w:fill="auto"/>
        <w:tabs>
          <w:tab w:pos="785" w:val="left"/>
        </w:tabs>
        <w:bidi w:val="0"/>
        <w:spacing w:before="0" w:after="220" w:line="312" w:lineRule="exact"/>
        <w:ind w:left="0" w:right="0" w:firstLine="460"/>
        <w:jc w:val="both"/>
        <w:rPr>
          <w:sz w:val="22"/>
          <w:szCs w:val="22"/>
        </w:rPr>
      </w:pPr>
      <w:bookmarkStart w:id="1121" w:name="bookmark1121"/>
      <w:bookmarkEnd w:id="1121"/>
      <w:r>
        <w:rPr>
          <w:color w:val="000000"/>
          <w:spacing w:val="0"/>
          <w:w w:val="100"/>
          <w:position w:val="0"/>
          <w:sz w:val="22"/>
          <w:szCs w:val="22"/>
        </w:rPr>
        <w:t>技术支持与维护收入，主要是指根据合同规定向用户提供的后续服务，后续服务包括系统维护、 技术与应用咨询、产品升级等。公司在客户已接受服务，收到价款或取得收款的依据后，根据与用户 签订的技术支持与维护合同规定的维护期间及合同总金额，按提供技术支持与维护的进度确认技术与 维护收入。</w:t>
      </w:r>
    </w:p>
    <w:p>
      <w:pPr>
        <w:pStyle w:val="Style35"/>
        <w:keepNext w:val="0"/>
        <w:keepLines w:val="0"/>
        <w:widowControl w:val="0"/>
        <w:numPr>
          <w:ilvl w:val="0"/>
          <w:numId w:val="41"/>
        </w:numPr>
        <w:shd w:val="clear" w:color="auto" w:fill="auto"/>
        <w:tabs>
          <w:tab w:pos="785" w:val="left"/>
        </w:tabs>
        <w:bidi w:val="0"/>
        <w:spacing w:before="0" w:after="220" w:line="314" w:lineRule="exact"/>
        <w:ind w:left="0" w:right="0" w:firstLine="460"/>
        <w:jc w:val="both"/>
        <w:rPr>
          <w:sz w:val="22"/>
          <w:szCs w:val="22"/>
        </w:rPr>
      </w:pPr>
      <w:bookmarkStart w:id="1122" w:name="bookmark1122"/>
      <w:bookmarkEnd w:id="1122"/>
      <w:r>
        <w:rPr>
          <w:color w:val="000000"/>
          <w:spacing w:val="0"/>
          <w:w w:val="100"/>
          <w:position w:val="0"/>
          <w:sz w:val="22"/>
          <w:szCs w:val="22"/>
        </w:rPr>
        <w:t>一次性技术开发收入，主要是指根据公司客户的要求对自行开发研究的软件进行再次进行定制 化开发，向客户一次性收取的技术开发费。公司提供一次性技术开发服务是在相关软件提供给客户， 并在客户验收确认接受相关服务时确认收入。</w:t>
      </w:r>
    </w:p>
    <w:p>
      <w:pPr>
        <w:pStyle w:val="Style35"/>
        <w:keepNext w:val="0"/>
        <w:keepLines w:val="0"/>
        <w:widowControl w:val="0"/>
        <w:numPr>
          <w:ilvl w:val="0"/>
          <w:numId w:val="41"/>
        </w:numPr>
        <w:shd w:val="clear" w:color="auto" w:fill="auto"/>
        <w:tabs>
          <w:tab w:pos="785" w:val="left"/>
        </w:tabs>
        <w:bidi w:val="0"/>
        <w:spacing w:before="0" w:after="220" w:line="317" w:lineRule="exact"/>
        <w:ind w:left="0" w:right="0" w:firstLine="460"/>
        <w:jc w:val="both"/>
        <w:rPr>
          <w:sz w:val="22"/>
          <w:szCs w:val="22"/>
        </w:rPr>
      </w:pPr>
      <w:bookmarkStart w:id="1123" w:name="bookmark1123"/>
      <w:bookmarkEnd w:id="1123"/>
      <w:r>
        <w:rPr>
          <w:color w:val="000000"/>
          <w:spacing w:val="0"/>
          <w:w w:val="100"/>
          <w:position w:val="0"/>
          <w:sz w:val="22"/>
          <w:szCs w:val="22"/>
        </w:rPr>
        <w:t>让渡资产使用权收入，主要包括资金使用费收入等，公司按照提供资金服务的期间，在收益金 额可确定时确认收入。</w:t>
      </w:r>
    </w:p>
    <w:p>
      <w:pPr>
        <w:pStyle w:val="Style35"/>
        <w:keepNext w:val="0"/>
        <w:keepLines w:val="0"/>
        <w:widowControl w:val="0"/>
        <w:numPr>
          <w:ilvl w:val="0"/>
          <w:numId w:val="41"/>
        </w:numPr>
        <w:shd w:val="clear" w:color="auto" w:fill="auto"/>
        <w:tabs>
          <w:tab w:pos="785" w:val="left"/>
        </w:tabs>
        <w:bidi w:val="0"/>
        <w:spacing w:before="0" w:after="220" w:line="317" w:lineRule="exact"/>
        <w:ind w:left="0" w:right="0" w:firstLine="460"/>
        <w:jc w:val="both"/>
        <w:rPr>
          <w:sz w:val="22"/>
          <w:szCs w:val="22"/>
        </w:rPr>
      </w:pPr>
      <w:bookmarkStart w:id="1124" w:name="bookmark1124"/>
      <w:bookmarkEnd w:id="1124"/>
      <w:r>
        <w:rPr>
          <w:color w:val="000000"/>
          <w:spacing w:val="0"/>
          <w:w w:val="100"/>
          <w:position w:val="0"/>
          <w:sz w:val="22"/>
          <w:szCs w:val="22"/>
        </w:rPr>
        <w:t>业务推广费收入，主要是指在使用本公司产品的商户系统中安装架设第三方支付平台的通道， 为第三方平台提供推广和安装服务，第三方平台按照协议约定的资金流水比例向公司支付一定的推广 和服务费；即在公司架设收费通道后，通过通道实际产生资金流水时确认收入。</w:t>
      </w:r>
    </w:p>
    <w:p>
      <w:pPr>
        <w:pStyle w:val="Style35"/>
        <w:keepNext w:val="0"/>
        <w:keepLines w:val="0"/>
        <w:widowControl w:val="0"/>
        <w:numPr>
          <w:ilvl w:val="0"/>
          <w:numId w:val="41"/>
        </w:numPr>
        <w:shd w:val="clear" w:color="auto" w:fill="auto"/>
        <w:tabs>
          <w:tab w:pos="781" w:val="left"/>
        </w:tabs>
        <w:bidi w:val="0"/>
        <w:spacing w:before="0" w:after="600" w:line="317" w:lineRule="exact"/>
        <w:ind w:left="0" w:right="0" w:firstLine="460"/>
        <w:jc w:val="both"/>
        <w:rPr>
          <w:sz w:val="22"/>
          <w:szCs w:val="22"/>
        </w:rPr>
      </w:pPr>
      <w:bookmarkStart w:id="1125" w:name="bookmark1125"/>
      <w:bookmarkEnd w:id="1125"/>
      <w:r>
        <w:rPr>
          <w:color w:val="000000"/>
          <w:spacing w:val="0"/>
          <w:w w:val="100"/>
          <w:position w:val="0"/>
          <w:sz w:val="22"/>
          <w:szCs w:val="22"/>
        </w:rPr>
        <w:t>支付业务手续费收入，主要是指独立的第三方支付平台，应用本公司的支付系统建立商户、银 行、消费者的支付通道，为交易提供资金代收代付服务；即在客户已经接受支付服务时确认收入。</w:t>
      </w:r>
    </w:p>
    <w:p>
      <w:pPr>
        <w:pStyle w:val="Style32"/>
        <w:keepNext/>
        <w:keepLines/>
        <w:widowControl w:val="0"/>
        <w:shd w:val="clear" w:color="auto" w:fill="auto"/>
        <w:bidi w:val="0"/>
        <w:spacing w:before="0" w:after="280" w:line="312" w:lineRule="exact"/>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126"/>
      <w:bookmarkEnd w:id="1127"/>
      <w:bookmarkEnd w:id="1129"/>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本集团的政府补助包括从政府无偿取得货币性资产或非货币性资产。其中，与资产相关的政府补 助，是指本集团取得的、用于购建或以其他方式形成长期资产的政府补助；与收益相关的政府补助， 是指除与资产相关的政府补助之外的政府补助。如果政府文件中未明确规定补助对象，本集团按照上 述区分原则进行判断，难以区分的，整体归类为与收益相关的政府补助。</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 xml:space="preserve">政府补助为货币性资产的，按照实际收到的金额计量，对于按照固定的定额标准拨付的补助，或 </w:t>
      </w:r>
      <w:r>
        <w:rPr>
          <w:color w:val="000000"/>
          <w:spacing w:val="0"/>
          <w:w w:val="100"/>
          <w:position w:val="0"/>
          <w:sz w:val="22"/>
          <w:szCs w:val="22"/>
        </w:rPr>
        <w:t>对年末有确凿证据表明能够符合财政扶持政策规定的相关条件且预计能够收到财政扶持资金时，按照 应收的金额计量；政府补助为非货币性资产的，按照公允价值计量，公允价值不能可靠取得的，按照 名义金额</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计量。</w:t>
      </w:r>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与资产相关的政府补助确认为递延收益，在相关资产使用寿命内按照系统、合理的方法计入当期 损益。相关资产在使用寿命结束前被出售、转让、报废或发生毁损的，将尚未分配的相关递延收益余 额转入资产处置当期的损益。</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与收益相关的政府补助，用于补偿以后期间的相关成本费用或损失的，确认为递延收益，并在确 认相关成本费用或损失的期间计入当期损益。与日常活动相关的政府补助，按照经济业务实质，计入 其他收益或冲减相关成本费用。与日常活动无关的政府补助，计入营业外收支。</w:t>
      </w:r>
    </w:p>
    <w:p>
      <w:pPr>
        <w:pStyle w:val="Style35"/>
        <w:keepNext w:val="0"/>
        <w:keepLines w:val="0"/>
        <w:widowControl w:val="0"/>
        <w:shd w:val="clear" w:color="auto" w:fill="auto"/>
        <w:bidi w:val="0"/>
        <w:spacing w:before="0" w:after="300" w:line="313" w:lineRule="exact"/>
        <w:ind w:left="0" w:right="0" w:firstLine="460"/>
        <w:jc w:val="both"/>
        <w:rPr>
          <w:sz w:val="22"/>
          <w:szCs w:val="22"/>
        </w:rPr>
      </w:pPr>
      <w:r>
        <w:rPr>
          <w:color w:val="000000"/>
          <w:spacing w:val="0"/>
          <w:w w:val="100"/>
          <w:position w:val="0"/>
          <w:sz w:val="22"/>
          <w:szCs w:val="22"/>
        </w:rPr>
        <w:t>本集团已确认的政府补助需要退回的，在需要退回的当期分情况按照以下规定进行会计处理：</w:t>
      </w:r>
    </w:p>
    <w:p>
      <w:pPr>
        <w:pStyle w:val="Style35"/>
        <w:keepNext w:val="0"/>
        <w:keepLines w:val="0"/>
        <w:widowControl w:val="0"/>
        <w:shd w:val="clear" w:color="auto" w:fill="auto"/>
        <w:tabs>
          <w:tab w:pos="830" w:val="left"/>
        </w:tabs>
        <w:bidi w:val="0"/>
        <w:spacing w:before="0" w:after="220" w:line="298" w:lineRule="auto"/>
        <w:ind w:left="0" w:right="0" w:firstLine="460"/>
        <w:jc w:val="both"/>
        <w:rPr>
          <w:sz w:val="22"/>
          <w:szCs w:val="22"/>
        </w:rPr>
      </w:pPr>
      <w:bookmarkStart w:id="1130" w:name="bookmark1130"/>
      <w:r>
        <w:rPr>
          <w:rFonts w:ascii="Times New Roman" w:eastAsia="Times New Roman" w:hAnsi="Times New Roman" w:cs="Times New Roman"/>
          <w:color w:val="000000"/>
          <w:spacing w:val="0"/>
          <w:w w:val="100"/>
          <w:position w:val="0"/>
          <w:sz w:val="22"/>
          <w:szCs w:val="22"/>
        </w:rPr>
        <w:t>1</w:t>
      </w:r>
      <w:bookmarkEnd w:id="1130"/>
      <w:r>
        <w:rPr>
          <w:color w:val="000000"/>
          <w:spacing w:val="0"/>
          <w:w w:val="100"/>
          <w:position w:val="0"/>
          <w:sz w:val="22"/>
          <w:szCs w:val="22"/>
        </w:rPr>
        <w:t>）</w:t>
        <w:tab/>
        <w:t>初始确认时冲减相关资产账面价值的，调整资产账面价值。</w:t>
      </w:r>
    </w:p>
    <w:p>
      <w:pPr>
        <w:pStyle w:val="Style35"/>
        <w:keepNext w:val="0"/>
        <w:keepLines w:val="0"/>
        <w:widowControl w:val="0"/>
        <w:shd w:val="clear" w:color="auto" w:fill="auto"/>
        <w:tabs>
          <w:tab w:pos="854" w:val="left"/>
        </w:tabs>
        <w:bidi w:val="0"/>
        <w:spacing w:before="0" w:after="220" w:line="298" w:lineRule="auto"/>
        <w:ind w:left="0" w:right="0" w:firstLine="460"/>
        <w:jc w:val="both"/>
        <w:rPr>
          <w:sz w:val="22"/>
          <w:szCs w:val="22"/>
        </w:rPr>
      </w:pPr>
      <w:bookmarkStart w:id="1131" w:name="bookmark1131"/>
      <w:r>
        <w:rPr>
          <w:rFonts w:ascii="Times New Roman" w:eastAsia="Times New Roman" w:hAnsi="Times New Roman" w:cs="Times New Roman"/>
          <w:color w:val="000000"/>
          <w:spacing w:val="0"/>
          <w:w w:val="100"/>
          <w:position w:val="0"/>
          <w:sz w:val="22"/>
          <w:szCs w:val="22"/>
        </w:rPr>
        <w:t>2</w:t>
      </w:r>
      <w:bookmarkEnd w:id="1131"/>
      <w:r>
        <w:rPr>
          <w:color w:val="000000"/>
          <w:spacing w:val="0"/>
          <w:w w:val="100"/>
          <w:position w:val="0"/>
          <w:sz w:val="22"/>
          <w:szCs w:val="22"/>
        </w:rPr>
        <w:t>）</w:t>
        <w:tab/>
        <w:t>存在相关递延收益的，冲减相关递延收益账面余额，超出部分计入当期损益。</w:t>
      </w:r>
    </w:p>
    <w:p>
      <w:pPr>
        <w:pStyle w:val="Style35"/>
        <w:keepNext w:val="0"/>
        <w:keepLines w:val="0"/>
        <w:widowControl w:val="0"/>
        <w:shd w:val="clear" w:color="auto" w:fill="auto"/>
        <w:bidi w:val="0"/>
        <w:spacing w:before="0" w:after="300" w:line="298" w:lineRule="auto"/>
        <w:ind w:left="0" w:right="0" w:firstLine="460"/>
        <w:jc w:val="both"/>
        <w:rPr>
          <w:sz w:val="22"/>
          <w:szCs w:val="22"/>
        </w:rPr>
      </w:pPr>
      <w:bookmarkStart w:id="1132" w:name="bookmark1132"/>
      <w:r>
        <w:rPr>
          <w:rFonts w:ascii="Times New Roman" w:eastAsia="Times New Roman" w:hAnsi="Times New Roman" w:cs="Times New Roman"/>
          <w:color w:val="000000"/>
          <w:spacing w:val="0"/>
          <w:w w:val="100"/>
          <w:position w:val="0"/>
          <w:sz w:val="22"/>
          <w:szCs w:val="22"/>
        </w:rPr>
        <w:t>3</w:t>
      </w:r>
      <w:bookmarkEnd w:id="1132"/>
      <w:r>
        <w:rPr>
          <w:color w:val="000000"/>
          <w:spacing w:val="0"/>
          <w:w w:val="100"/>
          <w:position w:val="0"/>
          <w:sz w:val="22"/>
          <w:szCs w:val="22"/>
        </w:rPr>
        <w:t>） 属于其他情况的，直接计入当期损益。</w:t>
      </w:r>
    </w:p>
    <w:p>
      <w:pPr>
        <w:pStyle w:val="Style32"/>
        <w:keepNext/>
        <w:keepLines/>
        <w:widowControl w:val="0"/>
        <w:shd w:val="clear" w:color="auto" w:fill="auto"/>
        <w:tabs>
          <w:tab w:pos="475" w:val="left"/>
        </w:tabs>
        <w:bidi w:val="0"/>
        <w:spacing w:before="0" w:after="220" w:line="326"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3</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3"/>
      <w:bookmarkEnd w:id="1134"/>
      <w:bookmarkEnd w:id="1136"/>
    </w:p>
    <w:p>
      <w:pPr>
        <w:pStyle w:val="Style35"/>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暂时 性差异</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计算确认。对于按照税法规定能够于以后年度抵减应纳税所得额的可抵扣亏损，确认相应的 递延所得税资产。对于商誉的初始确认产生的暂时性差异，不确认相应的递延所得税负债。对于既不 影响会计利润也不影响应纳税所得额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或可抵扣亏损</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的非企业合并的交易中产生的资产或负债的初始 确认形成的暂时性差异，不确认相应的递延所得税资产和递延所得税负债。于资产负债表日，递延所 得税资产和递延所得税负债，按照预期收回该资产或清偿该负债期间的适用税率计量。</w:t>
      </w:r>
    </w:p>
    <w:p>
      <w:pPr>
        <w:pStyle w:val="Style35"/>
        <w:keepNext w:val="0"/>
        <w:keepLines w:val="0"/>
        <w:widowControl w:val="0"/>
        <w:shd w:val="clear" w:color="auto" w:fill="auto"/>
        <w:bidi w:val="0"/>
        <w:spacing w:before="0" w:after="360" w:line="307" w:lineRule="exact"/>
        <w:ind w:left="0" w:right="0" w:firstLine="460"/>
        <w:jc w:val="both"/>
        <w:rPr>
          <w:sz w:val="22"/>
          <w:szCs w:val="22"/>
        </w:rPr>
      </w:pPr>
      <w:r>
        <w:rPr>
          <w:color w:val="000000"/>
          <w:spacing w:val="0"/>
          <w:w w:val="100"/>
          <w:position w:val="0"/>
          <w:sz w:val="22"/>
          <w:szCs w:val="22"/>
        </w:rPr>
        <w:t>本集团以很可能取得用来抵扣可抵扣暂时性差异、可抵扣亏损和税款抵减的未来应纳税所得额为 限，确认递延所得税资产。</w:t>
      </w:r>
    </w:p>
    <w:p>
      <w:pPr>
        <w:pStyle w:val="Style35"/>
        <w:keepNext w:val="0"/>
        <w:keepLines w:val="0"/>
        <w:widowControl w:val="0"/>
        <w:shd w:val="clear" w:color="auto" w:fill="auto"/>
        <w:tabs>
          <w:tab w:pos="475" w:val="left"/>
        </w:tabs>
        <w:bidi w:val="0"/>
        <w:spacing w:before="0" w:after="220"/>
        <w:ind w:left="0" w:right="0" w:firstLine="0"/>
        <w:jc w:val="left"/>
      </w:pPr>
      <w:bookmarkStart w:id="1137" w:name="bookmark1137"/>
      <w:r>
        <w:rPr>
          <w:rFonts w:ascii="Times New Roman" w:eastAsia="Times New Roman" w:hAnsi="Times New Roman" w:cs="Times New Roman"/>
          <w:b/>
          <w:bCs/>
          <w:color w:val="000000"/>
          <w:spacing w:val="0"/>
          <w:w w:val="100"/>
          <w:position w:val="0"/>
        </w:rPr>
        <w:t>3</w:t>
      </w:r>
      <w:bookmarkEnd w:id="113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租赁</w:t>
      </w:r>
    </w:p>
    <w:p>
      <w:pPr>
        <w:pStyle w:val="Style32"/>
        <w:keepNext/>
        <w:keepLines/>
        <w:widowControl w:val="0"/>
        <w:shd w:val="clear" w:color="auto" w:fill="auto"/>
        <w:bidi w:val="0"/>
        <w:spacing w:before="0" w:after="300" w:line="313" w:lineRule="exact"/>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38"/>
      <w:bookmarkEnd w:id="1139"/>
      <w:bookmarkEnd w:id="1141"/>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本集团作为融资租赁承租方时，在租赁开始日，按租赁开始日租赁资产的公允价值与最低租赁付 款额的现值两者中较低者，作为融资租入固定资产的入账价值，将最低租赁付款额作为长期应付款的 入账价值，将两者的差额记录为未确认融资费用。</w:t>
      </w:r>
    </w:p>
    <w:p>
      <w:pPr>
        <w:pStyle w:val="Style35"/>
        <w:keepNext w:val="0"/>
        <w:keepLines w:val="0"/>
        <w:widowControl w:val="0"/>
        <w:shd w:val="clear" w:color="auto" w:fill="auto"/>
        <w:bidi w:val="0"/>
        <w:spacing w:before="0" w:after="220" w:line="298" w:lineRule="exact"/>
        <w:ind w:left="0" w:right="0" w:firstLine="460"/>
        <w:jc w:val="both"/>
        <w:rPr>
          <w:sz w:val="22"/>
          <w:szCs w:val="22"/>
        </w:rPr>
      </w:pPr>
      <w:r>
        <w:rPr>
          <w:color w:val="000000"/>
          <w:spacing w:val="0"/>
          <w:w w:val="100"/>
          <w:position w:val="0"/>
          <w:sz w:val="22"/>
          <w:szCs w:val="22"/>
        </w:rPr>
        <w:t>本集团作为经营租赁承租方的租金在租赁期内的各个期间按直线法计入相关资产成本或当期损 益。</w:t>
      </w:r>
      <w:r>
        <w:br w:type="page"/>
      </w:r>
    </w:p>
    <w:p>
      <w:pPr>
        <w:pStyle w:val="Style32"/>
        <w:keepNext/>
        <w:keepLines/>
        <w:widowControl w:val="0"/>
        <w:shd w:val="clear" w:color="auto" w:fill="auto"/>
        <w:bidi w:val="0"/>
        <w:spacing w:before="0" w:after="300" w:line="240" w:lineRule="auto"/>
        <w:ind w:left="0" w:right="0" w:firstLine="14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42"/>
      <w:bookmarkEnd w:id="1143"/>
      <w:bookmarkEnd w:id="1145"/>
    </w:p>
    <w:p>
      <w:pPr>
        <w:pStyle w:val="Style35"/>
        <w:keepNext w:val="0"/>
        <w:keepLines w:val="0"/>
        <w:widowControl w:val="0"/>
        <w:shd w:val="clear" w:color="auto" w:fill="auto"/>
        <w:bidi w:val="0"/>
        <w:spacing w:before="0" w:after="380" w:line="314" w:lineRule="exact"/>
        <w:ind w:left="0" w:right="0" w:firstLine="460"/>
        <w:jc w:val="both"/>
        <w:rPr>
          <w:sz w:val="22"/>
          <w:szCs w:val="22"/>
        </w:rPr>
      </w:pPr>
      <w:r>
        <w:rPr>
          <w:color w:val="000000"/>
          <w:spacing w:val="0"/>
          <w:w w:val="100"/>
          <w:position w:val="0"/>
          <w:sz w:val="22"/>
          <w:szCs w:val="22"/>
        </w:rPr>
        <w:t>本集团作为融资租赁承租方时，在租赁开始日，按租赁开始日租赁资产的公允价值与最低租赁付 款额的现值两者中较低者，作为融资租入固定资产的入账价值，将最低租赁付款额作为长期应付款的 入账价值，将两者的差额记录为未确认融资费用。</w:t>
      </w:r>
    </w:p>
    <w:p>
      <w:pPr>
        <w:pStyle w:val="Style32"/>
        <w:keepNext/>
        <w:keepLines/>
        <w:widowControl w:val="0"/>
        <w:shd w:val="clear" w:color="auto" w:fill="auto"/>
        <w:bidi w:val="0"/>
        <w:spacing w:before="0" w:after="200" w:line="329"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46"/>
      <w:bookmarkEnd w:id="1147"/>
      <w:bookmarkEnd w:id="1149"/>
    </w:p>
    <w:p>
      <w:pPr>
        <w:pStyle w:val="Style32"/>
        <w:keepNext/>
        <w:keepLines/>
        <w:widowControl w:val="0"/>
        <w:shd w:val="clear" w:color="auto" w:fill="auto"/>
        <w:bidi w:val="0"/>
        <w:spacing w:before="0" w:after="380" w:line="314" w:lineRule="exact"/>
        <w:ind w:left="0" w:right="0" w:firstLine="0"/>
        <w:jc w:val="left"/>
      </w:pPr>
      <w:bookmarkStart w:id="1146" w:name="bookmark1146"/>
      <w:bookmarkStart w:id="1147" w:name="bookmark1147"/>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46"/>
      <w:bookmarkEnd w:id="1147"/>
      <w:bookmarkEnd w:id="115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52"/>
        <w:gridCol w:w="1843"/>
        <w:gridCol w:w="419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根据财政部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日发布的《企业会 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sz w:val="17"/>
                <w:szCs w:val="17"/>
              </w:rPr>
              <w:t>号）要 求自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日起施行新收入准则。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第七届董事会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第一次临时会议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根据新旧准则转换的衔接规定，公司自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日执行新收入准则，无需重述前期可比数据，但应 当对首次执行该准则的累积影响数调整期初留存收 益及财务报表其他相关项目金额。</w:t>
            </w:r>
          </w:p>
        </w:tc>
      </w:tr>
    </w:tbl>
    <w:p>
      <w:pPr>
        <w:widowControl w:val="0"/>
        <w:spacing w:after="2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432" w:right="0" w:firstLine="0"/>
        <w:jc w:val="left"/>
        <w:rPr>
          <w:sz w:val="22"/>
          <w:szCs w:val="22"/>
        </w:rPr>
      </w:pPr>
      <w:r>
        <w:rPr>
          <w:color w:val="000000"/>
          <w:spacing w:val="0"/>
          <w:w w:val="100"/>
          <w:position w:val="0"/>
          <w:sz w:val="22"/>
          <w:szCs w:val="22"/>
        </w:rPr>
        <w:t>执行新收入准则对公司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日合并财务报表的主要影响如下:</w:t>
      </w:r>
    </w:p>
    <w:tbl>
      <w:tblPr>
        <w:tblOverlap w:val="never"/>
        <w:jc w:val="center"/>
        <w:tblLayout w:type="fixed"/>
      </w:tblPr>
      <w:tblGrid>
        <w:gridCol w:w="2275"/>
        <w:gridCol w:w="2213"/>
        <w:gridCol w:w="2606"/>
        <w:gridCol w:w="2280"/>
      </w:tblGrid>
      <w:tr>
        <w:trPr>
          <w:trHeight w:val="35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2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rPr>
              <w:t>调整前金额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调整金额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22"/>
                <w:szCs w:val="22"/>
              </w:rPr>
            </w:pPr>
            <w:r>
              <w:rPr>
                <w:b/>
                <w:bCs/>
                <w:color w:val="000000"/>
                <w:spacing w:val="0"/>
                <w:w w:val="100"/>
                <w:position w:val="0"/>
                <w:sz w:val="22"/>
                <w:szCs w:val="22"/>
              </w:rPr>
              <w:t>调整后金额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527,525,507.65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22"/>
                <w:szCs w:val="22"/>
              </w:rPr>
            </w:pPr>
            <w:r>
              <w:rPr>
                <w:rFonts w:ascii="Times New Roman" w:eastAsia="Times New Roman" w:hAnsi="Times New Roman" w:cs="Times New Roman"/>
                <w:color w:val="000000"/>
                <w:spacing w:val="0"/>
                <w:w w:val="100"/>
                <w:position w:val="0"/>
                <w:sz w:val="22"/>
                <w:szCs w:val="22"/>
              </w:rPr>
              <w:t>-527,525,507.65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481,171,870.70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22"/>
                <w:szCs w:val="22"/>
              </w:rPr>
            </w:pPr>
            <w:r>
              <w:rPr>
                <w:rFonts w:ascii="Times New Roman" w:eastAsia="Times New Roman" w:hAnsi="Times New Roman" w:cs="Times New Roman"/>
                <w:color w:val="000000"/>
                <w:spacing w:val="0"/>
                <w:w w:val="100"/>
                <w:position w:val="0"/>
                <w:sz w:val="22"/>
                <w:szCs w:val="22"/>
              </w:rPr>
              <w:t>481,171,870.70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其他流动负债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46,353,636.95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22"/>
                <w:szCs w:val="22"/>
              </w:rPr>
            </w:pPr>
            <w:r>
              <w:rPr>
                <w:rFonts w:ascii="Times New Roman" w:eastAsia="Times New Roman" w:hAnsi="Times New Roman" w:cs="Times New Roman"/>
                <w:color w:val="000000"/>
                <w:spacing w:val="0"/>
                <w:w w:val="100"/>
                <w:position w:val="0"/>
                <w:sz w:val="22"/>
                <w:szCs w:val="22"/>
              </w:rPr>
              <w:t>46,353,636.95</w:t>
            </w:r>
          </w:p>
        </w:tc>
      </w:tr>
    </w:tbl>
    <w:p>
      <w:pPr>
        <w:widowControl w:val="0"/>
        <w:spacing w:after="2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432" w:right="0" w:firstLine="0"/>
        <w:jc w:val="left"/>
        <w:rPr>
          <w:sz w:val="22"/>
          <w:szCs w:val="22"/>
        </w:rPr>
      </w:pPr>
      <w:r>
        <w:rPr>
          <w:color w:val="000000"/>
          <w:spacing w:val="0"/>
          <w:w w:val="100"/>
          <w:position w:val="0"/>
          <w:sz w:val="22"/>
          <w:szCs w:val="22"/>
        </w:rPr>
        <w:t>执行新收入准则对公司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日母公司财务报表的主要影响如下:</w:t>
      </w:r>
    </w:p>
    <w:tbl>
      <w:tblPr>
        <w:tblOverlap w:val="never"/>
        <w:jc w:val="center"/>
        <w:tblLayout w:type="fixed"/>
      </w:tblPr>
      <w:tblGrid>
        <w:gridCol w:w="2275"/>
        <w:gridCol w:w="2213"/>
        <w:gridCol w:w="2606"/>
        <w:gridCol w:w="2280"/>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2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40"/>
              <w:jc w:val="left"/>
              <w:rPr>
                <w:sz w:val="22"/>
                <w:szCs w:val="22"/>
              </w:rPr>
            </w:pPr>
            <w:r>
              <w:rPr>
                <w:b/>
                <w:bCs/>
                <w:color w:val="000000"/>
                <w:spacing w:val="0"/>
                <w:w w:val="100"/>
                <w:position w:val="0"/>
                <w:sz w:val="22"/>
                <w:szCs w:val="22"/>
              </w:rPr>
              <w:t>调整前金额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调整金额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22"/>
                <w:szCs w:val="22"/>
              </w:rPr>
            </w:pPr>
            <w:r>
              <w:rPr>
                <w:b/>
                <w:bCs/>
                <w:color w:val="000000"/>
                <w:spacing w:val="0"/>
                <w:w w:val="100"/>
                <w:position w:val="0"/>
                <w:sz w:val="22"/>
                <w:szCs w:val="22"/>
              </w:rPr>
              <w:t>调整后金额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121,542,317.88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22"/>
                <w:szCs w:val="22"/>
              </w:rPr>
            </w:pPr>
            <w:r>
              <w:rPr>
                <w:rFonts w:ascii="Times New Roman" w:eastAsia="Times New Roman" w:hAnsi="Times New Roman" w:cs="Times New Roman"/>
                <w:color w:val="000000"/>
                <w:spacing w:val="0"/>
                <w:w w:val="100"/>
                <w:position w:val="0"/>
                <w:sz w:val="22"/>
                <w:szCs w:val="22"/>
              </w:rPr>
              <w:t>-121,542,317.88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106,592,612.78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22"/>
                <w:szCs w:val="22"/>
              </w:rPr>
            </w:pPr>
            <w:r>
              <w:rPr>
                <w:rFonts w:ascii="Times New Roman" w:eastAsia="Times New Roman" w:hAnsi="Times New Roman" w:cs="Times New Roman"/>
                <w:color w:val="000000"/>
                <w:spacing w:val="0"/>
                <w:w w:val="100"/>
                <w:position w:val="0"/>
                <w:sz w:val="22"/>
                <w:szCs w:val="22"/>
              </w:rPr>
              <w:t>106,592,612.78</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333333"/>
                <w:spacing w:val="0"/>
                <w:w w:val="100"/>
                <w:position w:val="0"/>
                <w:sz w:val="22"/>
                <w:szCs w:val="22"/>
              </w:rPr>
              <w:t>其他流动负债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14,949,705.10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22"/>
                <w:szCs w:val="22"/>
              </w:rPr>
            </w:pPr>
            <w:r>
              <w:rPr>
                <w:rFonts w:ascii="Times New Roman" w:eastAsia="Times New Roman" w:hAnsi="Times New Roman" w:cs="Times New Roman"/>
                <w:color w:val="000000"/>
                <w:spacing w:val="0"/>
                <w:w w:val="100"/>
                <w:position w:val="0"/>
                <w:sz w:val="22"/>
                <w:szCs w:val="22"/>
              </w:rPr>
              <w:t>14,949,705.10</w:t>
            </w:r>
          </w:p>
        </w:tc>
      </w:tr>
    </w:tbl>
    <w:p>
      <w:pPr>
        <w:widowControl w:val="0"/>
        <w:spacing w:after="299" w:line="1" w:lineRule="exact"/>
      </w:pPr>
    </w:p>
    <w:p>
      <w:pPr>
        <w:pStyle w:val="Style32"/>
        <w:keepNext/>
        <w:keepLines/>
        <w:widowControl w:val="0"/>
        <w:shd w:val="clear" w:color="auto" w:fill="auto"/>
        <w:tabs>
          <w:tab w:pos="493" w:val="left"/>
        </w:tabs>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52"/>
      <w:bookmarkEnd w:id="1153"/>
      <w:bookmarkEnd w:id="115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56"/>
      <w:bookmarkEnd w:id="1157"/>
      <w:bookmarkEnd w:id="115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2410"/>
        <w:gridCol w:w="1982"/>
        <w:gridCol w:w="206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410"/>
        <w:gridCol w:w="1982"/>
        <w:gridCol w:w="2064"/>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5,210,811,357.28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5,210,811,357.28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57,201,377.72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57,201,377.72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633,550,699.14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633,550,699.14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3,352,860.49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3,352,860.49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61,756,071.44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61,756,071.44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193,888,486.21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193,888,486.21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118,501,059.86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118,501,059.86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382,458,302.48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382,458,302.48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104,125,590.22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104,125,590.22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6,647,344,744.98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6,647,344,744.98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329,117,638.50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329,117,638.50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3,259,166.95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3,259,166.95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52,083,686.00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52,083,686.00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314,750,501.46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314,750,501.46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125,554,516.83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125,554,516.83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130"/>
        <w:gridCol w:w="2410"/>
        <w:gridCol w:w="1982"/>
        <w:gridCol w:w="2064"/>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925,304,312.84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925,304,312.84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162,612,106.07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162,612,106.07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2,192,582,934.01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2,192,582,934.01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1,375,498.56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1,375,498.56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87,335,744.51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87,335,744.51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4,259,476,105.73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4,259,476,105.73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10,906,820,850.71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10,906,820,850.71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15,486,807.62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15,486,807.62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280,887,261.82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280,887,261.82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527,525,507.65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-527,525,507.65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481,171,870.70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481,171,870.70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176,305,349.01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176,305,349.01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170,428,305.68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170,428,305.68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375,406,923.59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375,406,923.59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46,353,636.95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46,353,636.95</w:t>
            </w:r>
          </w:p>
        </w:tc>
      </w:tr>
    </w:tbl>
    <w:p>
      <w:pPr>
        <w:widowControl w:val="0"/>
        <w:spacing w:line="1" w:lineRule="exact"/>
      </w:pPr>
      <w:r>
        <w:br w:type="page"/>
      </w:r>
    </w:p>
    <w:tbl>
      <w:tblPr>
        <w:tblOverlap w:val="never"/>
        <w:jc w:val="center"/>
        <w:tblLayout w:type="fixed"/>
      </w:tblPr>
      <w:tblGrid>
        <w:gridCol w:w="3130"/>
        <w:gridCol w:w="2410"/>
        <w:gridCol w:w="1982"/>
        <w:gridCol w:w="2064"/>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1,546,040,155.37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1,546,040,155.37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1,476,664.33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1,476,664.33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37,872,465.10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37,872,465.10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39,432,465.20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39,432,465.20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1,585,472,620.57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1,585,472,620.57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1,069,604,219.00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1,069,604,219.00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4,119,234,927.70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4,119,234,927.70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299,226,363.81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299,226,363.81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77,227,700.23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77,227,700.23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3,048,666,428.87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3,048,666,428.87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8,613,959,639.61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8,613,959,639.61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707,388,590.53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707,388,590.53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9,321,348,230.14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9,321,348,230.14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10,906,820,850.71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10,906,820,850.71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无 </w:t>
      </w:r>
      <w:r>
        <w:rPr>
          <w:color w:val="000000"/>
          <w:spacing w:val="0"/>
          <w:w w:val="100"/>
          <w:position w:val="0"/>
        </w:rPr>
        <w:t>母公司资产负债表</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2410"/>
        <w:gridCol w:w="1982"/>
        <w:gridCol w:w="206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511,443,782.17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511,443,782.17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37,835,129.33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37,835,129.33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2,354,323.76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2,354,323.76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2,491,530,436.40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2,491,530,436.40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51,998,479.31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51,998,479.31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117,434,297.46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117,434,297.46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12,559,747.51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12,559,747.51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3,173,157,716.63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3,173,157,716.63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2,342,363,489.58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2,342,363,489.58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85,628,995.54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85,628,995.54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57,905,656.15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57,905,656.15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410"/>
        <w:gridCol w:w="1982"/>
        <w:gridCol w:w="2064"/>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2,997,846.30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2,997,846.30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2,506,395,987.57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2,506,395,987.57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5,679,553,704.20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5,679,553,704.20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308,561,573.51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308,561,573.51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121,542,317.88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-121,542,317.88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106,592,612.78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106,592,612.78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35,826,806.54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35,826,806.54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1,370,808.46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1,370,808.46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1,483,953,059.39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1,483,953,059.39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14,949,705.10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14,949,705.10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1,951,254,565.78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1,951,254,565.78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410"/>
        <w:gridCol w:w="1982"/>
        <w:gridCol w:w="2064"/>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1,951,254,565.78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1,951,254,565.78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1,069,604,219.00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1,069,604,219.00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1,775,566,852.22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1,775,566,852.22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164,865,552.96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164,865,552.96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718,262,514.24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718,262,514.24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3,728,299,138.42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3,728,299,138.42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5,679,553,704.20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5,679,553,704.20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60"/>
      <w:bookmarkEnd w:id="1161"/>
      <w:bookmarkEnd w:id="116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六</w:t>
      </w:r>
      <w:bookmarkEnd w:id="1166"/>
      <w:r>
        <w:rPr>
          <w:color w:val="000000"/>
          <w:spacing w:val="0"/>
          <w:w w:val="100"/>
          <w:position w:val="0"/>
        </w:rPr>
        <w:t>、税项</w:t>
      </w:r>
      <w:bookmarkEnd w:id="1164"/>
      <w:bookmarkEnd w:id="1165"/>
      <w:bookmarkEnd w:id="1167"/>
    </w:p>
    <w:p>
      <w:pPr>
        <w:pStyle w:val="Style32"/>
        <w:keepNext/>
        <w:keepLines/>
        <w:widowControl w:val="0"/>
        <w:shd w:val="clear" w:color="auto" w:fill="auto"/>
        <w:bidi w:val="0"/>
        <w:spacing w:before="0" w:after="300" w:line="240" w:lineRule="auto"/>
        <w:ind w:left="0" w:right="0" w:firstLine="0"/>
        <w:jc w:val="left"/>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68"/>
      <w:bookmarkEnd w:id="1169"/>
      <w:bookmarkEnd w:id="117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注：存在不同企业所得税税率纳税主体 披露情况说明</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实际缴纳的流转税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北京中长石基信息技术股份有限公司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(Australia) Pty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(Canada) Inc.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India LLP</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北京中长石基软件有限公司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南京银石电脑系统工程有限公司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北京绿行者旅行社有限公司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北海环企软件科技有限公司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长沙石基软件有限公司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敏付科技有限公司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南宁敏付科技有限公司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广西自贸区敏付科技发展有限公司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上海石基信息技术有限公司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现化电脑系统（北京）有限公司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北京现化信息技术有限公司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浩华管理顾问（北京）有限公司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广州合光信息科技有限公司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Korea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GmbH</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Informantion Technology Spain, S.A</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青岛海石智能系统有限公司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青岛海石信息技术有限公司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北京航信华仪软件技术有限公司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中国电子器件工业有限公司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北京中长商通科技有限公司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北京阳光物业管理有限公司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Malaysia Sdn Bhd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Plc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Shiji Japan</w:t>
            </w:r>
            <w:r>
              <w:rPr>
                <w:color w:val="000000"/>
                <w:spacing w:val="0"/>
                <w:w w:val="100"/>
                <w:position w:val="0"/>
                <w:sz w:val="17"/>
                <w:szCs w:val="17"/>
              </w:rPr>
              <w:t>株式会社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Quick Check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 i Denmark ApS</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CONCEPTEK-SISTEMA SDEINFORMA ??O S.A.</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My Check LLC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Slovakia s.r.o</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(US) Inc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(Thailand)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Vietnam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(UK)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Poland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Technologies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Singapore Pte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Horwath Asia Pacific (Singapore) Pre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(Singapore) Pte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(HongKong)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(HK)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 Master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Horwath Consulting Services Asia Pacific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Technologies (HK)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香港精密模具有限公司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Deutschland GmbH</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南京银石计算机系统有限公司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南京银石支付系统科技有限公司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北京石基昆仑软件有限公司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广州万迅电脑软件有限公司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北京石基大商信息技术有限公司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北京长京益康信息科技有限公司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上海时运信息技术有限公司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石基环企软件（苏州）有限公司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上海正品贵德软件有限公司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青岛海信智能商用系统股份有限公司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深圳市思迅软件股份有限公司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南京客至软件有限公司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北京宝库在线网络技术有限公司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北京富基融通信息技术有限公司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北京商用星联信息科技有限公司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(Macau) Limited</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北京长益联合信息科技有限公司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深圳市奥凯软件有限公司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浩华管理顾问（深圳）有限公司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百望金税科技有限公司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银石科技有限公司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石基商用信息技术有限公司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北海乐宿国际旅行社有限公司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北京银科环企旅行社有限公司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杭州连边科技有限公司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杭州西湖软件有限公司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北京中长元点科技有限公司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深圳市思迅网络科技有限公司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Retail Information Technology Co.Ltd.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Holdings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ShijiMex Information Technology S.A. De C.V</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(Philippines) Inc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Middle East-FZ LLC</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不征税</w:t>
            </w:r>
          </w:p>
        </w:tc>
      </w:tr>
    </w:tbl>
    <w:p>
      <w:pPr>
        <w:widowControl w:val="0"/>
        <w:spacing w:after="239" w:line="1" w:lineRule="exact"/>
      </w:pPr>
    </w:p>
    <w:p>
      <w:pPr>
        <w:pStyle w:val="Style32"/>
        <w:keepNext/>
        <w:keepLines/>
        <w:widowControl w:val="0"/>
        <w:shd w:val="clear" w:color="auto" w:fill="auto"/>
        <w:bidi w:val="0"/>
        <w:spacing w:before="0" w:after="320" w:line="313" w:lineRule="exact"/>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bookmarkEnd w:id="1173"/>
      <w:r>
        <w:rPr>
          <w:color w:val="000000"/>
          <w:spacing w:val="0"/>
          <w:w w:val="100"/>
          <w:position w:val="0"/>
        </w:rPr>
        <w:t>、税收优惠</w:t>
      </w:r>
      <w:bookmarkEnd w:id="1171"/>
      <w:bookmarkEnd w:id="1172"/>
      <w:bookmarkEnd w:id="1174"/>
    </w:p>
    <w:p>
      <w:pPr>
        <w:pStyle w:val="Style35"/>
        <w:keepNext w:val="0"/>
        <w:keepLines w:val="0"/>
        <w:widowControl w:val="0"/>
        <w:shd w:val="clear" w:color="auto" w:fill="auto"/>
        <w:bidi w:val="0"/>
        <w:spacing w:before="0" w:after="240" w:line="313" w:lineRule="exact"/>
        <w:ind w:left="0" w:right="0" w:firstLine="460"/>
        <w:jc w:val="both"/>
        <w:rPr>
          <w:sz w:val="22"/>
          <w:szCs w:val="22"/>
        </w:rPr>
      </w:pPr>
      <w:bookmarkStart w:id="1175" w:name="bookmark1175"/>
      <w:r>
        <w:rPr>
          <w:color w:val="000000"/>
          <w:spacing w:val="0"/>
          <w:w w:val="100"/>
          <w:position w:val="0"/>
          <w:sz w:val="22"/>
          <w:szCs w:val="22"/>
        </w:rPr>
        <w:t>（</w:t>
      </w:r>
      <w:bookmarkEnd w:id="1175"/>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）享受的企业所得税优惠政策</w:t>
      </w:r>
    </w:p>
    <w:p>
      <w:pPr>
        <w:pStyle w:val="Style35"/>
        <w:keepNext w:val="0"/>
        <w:keepLines w:val="0"/>
        <w:widowControl w:val="0"/>
        <w:shd w:val="clear" w:color="auto" w:fill="auto"/>
        <w:tabs>
          <w:tab w:pos="793" w:val="left"/>
        </w:tabs>
        <w:bidi w:val="0"/>
        <w:spacing w:before="0" w:after="240" w:line="313" w:lineRule="exact"/>
        <w:ind w:left="0" w:right="0" w:firstLine="460"/>
        <w:jc w:val="both"/>
        <w:rPr>
          <w:sz w:val="22"/>
          <w:szCs w:val="22"/>
        </w:rPr>
      </w:pPr>
      <w:bookmarkStart w:id="1176" w:name="bookmark1176"/>
      <w:r>
        <w:rPr>
          <w:rFonts w:ascii="Times New Roman" w:eastAsia="Times New Roman" w:hAnsi="Times New Roman" w:cs="Times New Roman"/>
          <w:color w:val="000000"/>
          <w:spacing w:val="0"/>
          <w:w w:val="100"/>
          <w:position w:val="0"/>
          <w:sz w:val="22"/>
          <w:szCs w:val="22"/>
        </w:rPr>
        <w:t>1</w:t>
      </w:r>
      <w:bookmarkEnd w:id="1176"/>
      <w:r>
        <w:rPr>
          <w:color w:val="000000"/>
          <w:spacing w:val="0"/>
          <w:w w:val="100"/>
          <w:position w:val="0"/>
          <w:sz w:val="22"/>
          <w:szCs w:val="22"/>
        </w:rPr>
        <w:t>）</w:t>
        <w:tab/>
        <w:t>享受所得税税率</w:t>
      </w:r>
      <w:r>
        <w:rPr>
          <w:rFonts w:ascii="Times New Roman" w:eastAsia="Times New Roman" w:hAnsi="Times New Roman" w:cs="Times New Roman"/>
          <w:color w:val="000000"/>
          <w:spacing w:val="0"/>
          <w:w w:val="100"/>
          <w:position w:val="0"/>
          <w:sz w:val="22"/>
          <w:szCs w:val="22"/>
        </w:rPr>
        <w:t>15.00%</w:t>
      </w:r>
      <w:r>
        <w:rPr>
          <w:color w:val="000000"/>
          <w:spacing w:val="0"/>
          <w:w w:val="100"/>
          <w:position w:val="0"/>
          <w:sz w:val="22"/>
          <w:szCs w:val="22"/>
        </w:rPr>
        <w:t>的优惠企业情况</w:t>
      </w:r>
    </w:p>
    <w:p>
      <w:pPr>
        <w:pStyle w:val="Style35"/>
        <w:keepNext w:val="0"/>
        <w:keepLines w:val="0"/>
        <w:widowControl w:val="0"/>
        <w:shd w:val="clear" w:color="auto" w:fill="auto"/>
        <w:bidi w:val="0"/>
        <w:spacing w:before="0" w:after="240" w:line="310" w:lineRule="exact"/>
        <w:ind w:left="0" w:right="0" w:firstLine="460"/>
        <w:jc w:val="both"/>
        <w:rPr>
          <w:sz w:val="22"/>
          <w:szCs w:val="22"/>
        </w:rPr>
      </w:pPr>
      <w:r>
        <w:rPr>
          <w:color w:val="000000"/>
          <w:spacing w:val="0"/>
          <w:w w:val="100"/>
          <w:position w:val="0"/>
          <w:sz w:val="22"/>
          <w:szCs w:val="22"/>
        </w:rPr>
        <w:t>本公司及石基大商、石基昆仑、长益科技、广州万迅、西软信息、南京客至、银石计算机、银石 支付、青岛海信、上海时运、上海正品、思迅软件、苏州环企、宝库在线为高新技术企业，享受企业 所得税税率为</w:t>
      </w:r>
      <w:r>
        <w:rPr>
          <w:rFonts w:ascii="Times New Roman" w:eastAsia="Times New Roman" w:hAnsi="Times New Roman" w:cs="Times New Roman"/>
          <w:color w:val="000000"/>
          <w:spacing w:val="0"/>
          <w:w w:val="100"/>
          <w:position w:val="0"/>
          <w:sz w:val="22"/>
          <w:szCs w:val="22"/>
        </w:rPr>
        <w:t>15.00%</w:t>
      </w:r>
      <w:r>
        <w:rPr>
          <w:color w:val="000000"/>
          <w:spacing w:val="0"/>
          <w:w w:val="100"/>
          <w:position w:val="0"/>
          <w:sz w:val="22"/>
          <w:szCs w:val="22"/>
        </w:rPr>
        <w:t>的优惠。</w:t>
      </w:r>
    </w:p>
    <w:p>
      <w:pPr>
        <w:pStyle w:val="Style35"/>
        <w:keepNext w:val="0"/>
        <w:keepLines w:val="0"/>
        <w:widowControl w:val="0"/>
        <w:shd w:val="clear" w:color="auto" w:fill="auto"/>
        <w:tabs>
          <w:tab w:pos="817" w:val="left"/>
        </w:tabs>
        <w:bidi w:val="0"/>
        <w:spacing w:before="0" w:after="240" w:line="313" w:lineRule="exact"/>
        <w:ind w:left="0" w:right="0" w:firstLine="460"/>
        <w:jc w:val="both"/>
        <w:rPr>
          <w:sz w:val="22"/>
          <w:szCs w:val="22"/>
        </w:rPr>
      </w:pPr>
      <w:bookmarkStart w:id="1177" w:name="bookmark1177"/>
      <w:r>
        <w:rPr>
          <w:rFonts w:ascii="Times New Roman" w:eastAsia="Times New Roman" w:hAnsi="Times New Roman" w:cs="Times New Roman"/>
          <w:color w:val="000000"/>
          <w:spacing w:val="0"/>
          <w:w w:val="100"/>
          <w:position w:val="0"/>
          <w:sz w:val="22"/>
          <w:szCs w:val="22"/>
        </w:rPr>
        <w:t>2</w:t>
      </w:r>
      <w:bookmarkEnd w:id="1177"/>
      <w:r>
        <w:rPr>
          <w:color w:val="000000"/>
          <w:spacing w:val="0"/>
          <w:w w:val="100"/>
          <w:position w:val="0"/>
          <w:sz w:val="22"/>
          <w:szCs w:val="22"/>
        </w:rPr>
        <w:t>）</w:t>
        <w:tab/>
        <w:t>实际执行所得税税率</w:t>
      </w:r>
      <w:r>
        <w:rPr>
          <w:rFonts w:ascii="Times New Roman" w:eastAsia="Times New Roman" w:hAnsi="Times New Roman" w:cs="Times New Roman"/>
          <w:color w:val="000000"/>
          <w:spacing w:val="0"/>
          <w:w w:val="100"/>
          <w:position w:val="0"/>
          <w:sz w:val="22"/>
          <w:szCs w:val="22"/>
        </w:rPr>
        <w:t>0.00%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7.50%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12.50%</w:t>
      </w:r>
      <w:r>
        <w:rPr>
          <w:color w:val="000000"/>
          <w:spacing w:val="0"/>
          <w:w w:val="100"/>
          <w:position w:val="0"/>
          <w:sz w:val="22"/>
          <w:szCs w:val="22"/>
        </w:rPr>
        <w:t>的情况</w:t>
      </w:r>
    </w:p>
    <w:p>
      <w:pPr>
        <w:pStyle w:val="Style35"/>
        <w:keepNext w:val="0"/>
        <w:keepLines w:val="0"/>
        <w:widowControl w:val="0"/>
        <w:shd w:val="clear" w:color="auto" w:fill="auto"/>
        <w:bidi w:val="0"/>
        <w:spacing w:before="0" w:after="240" w:line="313" w:lineRule="exact"/>
        <w:ind w:left="0" w:right="0" w:firstLine="460"/>
        <w:jc w:val="both"/>
        <w:rPr>
          <w:sz w:val="22"/>
          <w:szCs w:val="22"/>
        </w:rPr>
      </w:pPr>
      <w:r>
        <w:rPr>
          <w:color w:val="000000"/>
          <w:spacing w:val="0"/>
          <w:w w:val="100"/>
          <w:position w:val="0"/>
          <w:sz w:val="22"/>
          <w:szCs w:val="22"/>
        </w:rPr>
        <w:t>思迅网络、北京富基、银石科技、石基商用、商用星联系软件企业，根据</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财税</w:t>
      </w:r>
      <w:r>
        <w:rPr>
          <w:rFonts w:ascii="Times New Roman" w:eastAsia="Times New Roman" w:hAnsi="Times New Roman" w:cs="Times New Roman"/>
          <w:color w:val="000000"/>
          <w:spacing w:val="0"/>
          <w:w w:val="100"/>
          <w:position w:val="0"/>
          <w:sz w:val="22"/>
          <w:szCs w:val="22"/>
        </w:rPr>
        <w:t>[2012]27</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文《关 于进一步鼓励软件产业和集成电路产业发展企业所得税政策的通知》的规定：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在</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0</w:t>
      </w:r>
      <w:r>
        <w:rPr>
          <w:color w:val="000000"/>
          <w:spacing w:val="0"/>
          <w:w w:val="100"/>
          <w:position w:val="0"/>
          <w:sz w:val="22"/>
          <w:szCs w:val="22"/>
        </w:rPr>
        <w:t>前 自获利年度起计算优惠期，第一年至第二年免征企业所得税，第三年至第五年按照</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的法定税率减 半征收企业所得税，并享受至期满为止。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；思迅网络本年属于获利年度第一年，实际执行的企业所 得税税率为</w:t>
      </w:r>
      <w:r>
        <w:rPr>
          <w:rFonts w:ascii="Times New Roman" w:eastAsia="Times New Roman" w:hAnsi="Times New Roman" w:cs="Times New Roman"/>
          <w:color w:val="000000"/>
          <w:spacing w:val="0"/>
          <w:w w:val="100"/>
          <w:position w:val="0"/>
          <w:sz w:val="22"/>
          <w:szCs w:val="22"/>
        </w:rPr>
        <w:t>0.00%</w:t>
      </w:r>
      <w:r>
        <w:rPr>
          <w:color w:val="000000"/>
          <w:spacing w:val="0"/>
          <w:w w:val="100"/>
          <w:position w:val="0"/>
          <w:sz w:val="22"/>
          <w:szCs w:val="22"/>
        </w:rPr>
        <w:t>；北京富基本年属于减半征收期的第一年、商用星联本年属于减半征收期的第三年, 实际执行的企业所得税税率为</w:t>
      </w:r>
      <w:r>
        <w:rPr>
          <w:rFonts w:ascii="Times New Roman" w:eastAsia="Times New Roman" w:hAnsi="Times New Roman" w:cs="Times New Roman"/>
          <w:color w:val="000000"/>
          <w:spacing w:val="0"/>
          <w:w w:val="100"/>
          <w:position w:val="0"/>
          <w:sz w:val="22"/>
          <w:szCs w:val="22"/>
        </w:rPr>
        <w:t>12.50%</w:t>
      </w:r>
      <w:r>
        <w:rPr>
          <w:color w:val="000000"/>
          <w:spacing w:val="0"/>
          <w:w w:val="100"/>
          <w:position w:val="0"/>
          <w:sz w:val="22"/>
          <w:szCs w:val="22"/>
        </w:rPr>
        <w:t xml:space="preserve">；银石科技、石基商用本年属于减半征收期的第二年，同时根据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北银国税函</w:t>
      </w:r>
      <w:r>
        <w:rPr>
          <w:rFonts w:ascii="Times New Roman" w:eastAsia="Times New Roman" w:hAnsi="Times New Roman" w:cs="Times New Roman"/>
          <w:color w:val="000000"/>
          <w:spacing w:val="0"/>
          <w:w w:val="100"/>
          <w:position w:val="0"/>
          <w:sz w:val="22"/>
          <w:szCs w:val="22"/>
        </w:rPr>
        <w:t>{2015}</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文减免公司</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年度至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年度地方分享企业所得税部分，实际执行的企业 所得税税率为</w:t>
      </w:r>
      <w:r>
        <w:rPr>
          <w:rFonts w:ascii="Times New Roman" w:eastAsia="Times New Roman" w:hAnsi="Times New Roman" w:cs="Times New Roman"/>
          <w:color w:val="000000"/>
          <w:spacing w:val="0"/>
          <w:w w:val="100"/>
          <w:position w:val="0"/>
          <w:sz w:val="22"/>
          <w:szCs w:val="22"/>
        </w:rPr>
        <w:t>7.5%</w:t>
      </w:r>
      <w:r>
        <w:rPr>
          <w:color w:val="000000"/>
          <w:spacing w:val="0"/>
          <w:w w:val="100"/>
          <w:position w:val="0"/>
          <w:sz w:val="22"/>
          <w:szCs w:val="22"/>
        </w:rPr>
        <w:t>。</w:t>
      </w:r>
    </w:p>
    <w:p>
      <w:pPr>
        <w:pStyle w:val="Style35"/>
        <w:keepNext w:val="0"/>
        <w:keepLines w:val="0"/>
        <w:widowControl w:val="0"/>
        <w:shd w:val="clear" w:color="auto" w:fill="auto"/>
        <w:bidi w:val="0"/>
        <w:spacing w:before="0" w:after="300" w:line="317"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Shiji Retail</w:t>
      </w:r>
      <w:r>
        <w:rPr>
          <w:color w:val="000000"/>
          <w:spacing w:val="0"/>
          <w:w w:val="100"/>
          <w:position w:val="0"/>
          <w:sz w:val="22"/>
          <w:szCs w:val="22"/>
        </w:rPr>
        <w:t>系在英属开曼群岛注册的公司，</w:t>
      </w:r>
      <w:r>
        <w:rPr>
          <w:rFonts w:ascii="Times New Roman" w:eastAsia="Times New Roman" w:hAnsi="Times New Roman" w:cs="Times New Roman"/>
          <w:color w:val="000000"/>
          <w:spacing w:val="0"/>
          <w:w w:val="100"/>
          <w:position w:val="0"/>
          <w:sz w:val="22"/>
          <w:szCs w:val="22"/>
        </w:rPr>
        <w:t>Galasys Holdings</w:t>
      </w:r>
      <w:r>
        <w:rPr>
          <w:color w:val="000000"/>
          <w:spacing w:val="0"/>
          <w:w w:val="100"/>
          <w:position w:val="0"/>
          <w:sz w:val="22"/>
          <w:szCs w:val="22"/>
        </w:rPr>
        <w:t>系在英属维尔京群岛注册的公司，依 据当地政策</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年度收益免征所得税，实际执行的所得税税率为</w:t>
      </w:r>
      <w:r>
        <w:rPr>
          <w:rFonts w:ascii="Times New Roman" w:eastAsia="Times New Roman" w:hAnsi="Times New Roman" w:cs="Times New Roman"/>
          <w:color w:val="000000"/>
          <w:spacing w:val="0"/>
          <w:w w:val="100"/>
          <w:position w:val="0"/>
          <w:sz w:val="22"/>
          <w:szCs w:val="22"/>
        </w:rPr>
        <w:t>0.00%</w:t>
      </w:r>
      <w:r>
        <w:rPr>
          <w:color w:val="000000"/>
          <w:spacing w:val="0"/>
          <w:w w:val="100"/>
          <w:position w:val="0"/>
          <w:sz w:val="22"/>
          <w:szCs w:val="22"/>
        </w:rPr>
        <w:t>。</w:t>
      </w:r>
    </w:p>
    <w:p>
      <w:pPr>
        <w:pStyle w:val="Style35"/>
        <w:keepNext w:val="0"/>
        <w:keepLines w:val="0"/>
        <w:widowControl w:val="0"/>
        <w:shd w:val="clear" w:color="auto" w:fill="auto"/>
        <w:tabs>
          <w:tab w:pos="797" w:val="left"/>
        </w:tabs>
        <w:bidi w:val="0"/>
        <w:spacing w:before="0" w:after="180" w:line="295" w:lineRule="auto"/>
        <w:ind w:left="0" w:right="0" w:firstLine="460"/>
        <w:jc w:val="both"/>
        <w:rPr>
          <w:sz w:val="22"/>
          <w:szCs w:val="22"/>
        </w:rPr>
      </w:pPr>
      <w:bookmarkStart w:id="1178" w:name="bookmark1178"/>
      <w:r>
        <w:rPr>
          <w:rFonts w:ascii="Times New Roman" w:eastAsia="Times New Roman" w:hAnsi="Times New Roman" w:cs="Times New Roman"/>
          <w:color w:val="000000"/>
          <w:spacing w:val="0"/>
          <w:w w:val="100"/>
          <w:position w:val="0"/>
          <w:sz w:val="22"/>
          <w:szCs w:val="22"/>
        </w:rPr>
        <w:t>3</w:t>
      </w:r>
      <w:bookmarkEnd w:id="1178"/>
      <w:r>
        <w:rPr>
          <w:color w:val="000000"/>
          <w:spacing w:val="0"/>
          <w:w w:val="100"/>
          <w:position w:val="0"/>
          <w:sz w:val="22"/>
          <w:szCs w:val="22"/>
        </w:rPr>
        <w:t>）</w:t>
        <w:tab/>
        <w:t>实际执行所得税税率</w:t>
      </w:r>
      <w:r>
        <w:rPr>
          <w:rFonts w:ascii="Times New Roman" w:eastAsia="Times New Roman" w:hAnsi="Times New Roman" w:cs="Times New Roman"/>
          <w:color w:val="000000"/>
          <w:spacing w:val="0"/>
          <w:w w:val="100"/>
          <w:position w:val="0"/>
          <w:sz w:val="22"/>
          <w:szCs w:val="22"/>
        </w:rPr>
        <w:t>5.00%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9.00%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sz w:val="22"/>
          <w:szCs w:val="22"/>
        </w:rPr>
        <w:t>的情况</w:t>
      </w:r>
    </w:p>
    <w:p>
      <w:pPr>
        <w:pStyle w:val="Style35"/>
        <w:keepNext w:val="0"/>
        <w:keepLines w:val="0"/>
        <w:widowControl w:val="0"/>
        <w:shd w:val="clear" w:color="auto" w:fill="auto"/>
        <w:bidi w:val="0"/>
        <w:spacing w:before="0" w:after="300" w:line="311" w:lineRule="exact"/>
        <w:ind w:left="0" w:right="0" w:firstLine="460"/>
        <w:jc w:val="both"/>
        <w:rPr>
          <w:sz w:val="22"/>
          <w:szCs w:val="22"/>
        </w:rPr>
      </w:pPr>
      <w:r>
        <w:rPr>
          <w:color w:val="000000"/>
          <w:spacing w:val="0"/>
          <w:w w:val="100"/>
          <w:position w:val="0"/>
          <w:sz w:val="22"/>
          <w:szCs w:val="22"/>
        </w:rPr>
        <w:t>北海乐宿、北京环企、长益联合、奥凯软件、浩华管理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深圳</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、连边科技、中长元点、百望金税 系小型微利企业，根据</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财税</w:t>
      </w:r>
      <w:r>
        <w:rPr>
          <w:rFonts w:ascii="Times New Roman" w:eastAsia="Times New Roman" w:hAnsi="Times New Roman" w:cs="Times New Roman"/>
          <w:color w:val="000000"/>
          <w:spacing w:val="0"/>
          <w:w w:val="100"/>
          <w:position w:val="0"/>
          <w:sz w:val="22"/>
          <w:szCs w:val="22"/>
        </w:rPr>
        <w:t>[2019]13</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《财政部、税务总局关于实施小微企业普惠性税收减免政策 的通知》规定：对小型微利企业年应纳税所得额不超过</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2"/>
          <w:szCs w:val="22"/>
        </w:rPr>
        <w:t>万元的部分，减按</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计入应纳税所得额, 按</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的税率缴纳企业所得税；对年应纳税所得额超过</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2"/>
          <w:szCs w:val="22"/>
        </w:rPr>
        <w:t>万元但不超过</w:t>
      </w:r>
      <w:r>
        <w:rPr>
          <w:rFonts w:ascii="Times New Roman" w:eastAsia="Times New Roman" w:hAnsi="Times New Roman" w:cs="Times New Roman"/>
          <w:color w:val="000000"/>
          <w:spacing w:val="0"/>
          <w:w w:val="100"/>
          <w:position w:val="0"/>
          <w:sz w:val="22"/>
          <w:szCs w:val="22"/>
        </w:rPr>
        <w:t>300</w:t>
      </w:r>
      <w:r>
        <w:rPr>
          <w:color w:val="000000"/>
          <w:spacing w:val="0"/>
          <w:w w:val="100"/>
          <w:position w:val="0"/>
          <w:sz w:val="22"/>
          <w:szCs w:val="22"/>
        </w:rPr>
        <w:t>万元的部分，减按</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计 入应纳税所得额，按</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的税率缴纳企业所得税，长益联合、奥凯软件、浩华管理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深圳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年实际 执行的企业所得税税率为</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，北海乐宿、北京环企、中长元点、连边科技、西湖软件</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年实际执 行的企业所得税税率为</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；其中百望金税根据根据《财政部海关总署国家税务总局关于深入实施西 部大开发战略有关税收政策问题的通知》</w:t>
      </w:r>
      <w:r>
        <w:rPr>
          <w:color w:val="000000"/>
          <w:spacing w:val="0"/>
          <w:w w:val="100"/>
          <w:position w:val="0"/>
          <w:sz w:val="22"/>
          <w:szCs w:val="22"/>
        </w:rPr>
        <w:t>（</w:t>
      </w:r>
      <w:r>
        <w:rPr>
          <w:color w:val="000000"/>
          <w:spacing w:val="0"/>
          <w:w w:val="100"/>
          <w:position w:val="0"/>
          <w:sz w:val="22"/>
          <w:szCs w:val="22"/>
        </w:rPr>
        <w:t>财税</w:t>
      </w:r>
      <w:r>
        <w:rPr>
          <w:rFonts w:ascii="Times New Roman" w:eastAsia="Times New Roman" w:hAnsi="Times New Roman" w:cs="Times New Roman"/>
          <w:color w:val="000000"/>
          <w:spacing w:val="0"/>
          <w:w w:val="100"/>
          <w:position w:val="0"/>
          <w:sz w:val="22"/>
          <w:szCs w:val="22"/>
        </w:rPr>
        <w:t>[2011]58</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，自</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日，对 设在西部地区的鼓励类产业企业减按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的税率征收企业所得税。根据《关于延续和修订促进广西北 部湾经济区开放开发若干政策规定的通知》（桂政发</w:t>
      </w:r>
      <w:r>
        <w:rPr>
          <w:rFonts w:ascii="Times New Roman" w:eastAsia="Times New Roman" w:hAnsi="Times New Roman" w:cs="Times New Roman"/>
          <w:color w:val="000000"/>
          <w:spacing w:val="0"/>
          <w:w w:val="100"/>
          <w:position w:val="0"/>
          <w:sz w:val="22"/>
          <w:szCs w:val="22"/>
        </w:rPr>
        <w:t>[2014]5</w:t>
      </w:r>
      <w:r>
        <w:rPr>
          <w:color w:val="000000"/>
          <w:spacing w:val="0"/>
          <w:w w:val="100"/>
          <w:position w:val="0"/>
          <w:sz w:val="22"/>
          <w:szCs w:val="22"/>
        </w:rPr>
        <w:t>号），新办的从事国家非限制和禁止行业 的小型微利企业，从开办之日所属纳税年度起，免征</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年属于地方分享部分的企业所得税</w:t>
      </w:r>
      <w:r>
        <w:rPr>
          <w:rFonts w:ascii="Times New Roman" w:eastAsia="Times New Roman" w:hAnsi="Times New Roman" w:cs="Times New Roman"/>
          <w:color w:val="000000"/>
          <w:spacing w:val="0"/>
          <w:w w:val="100"/>
          <w:position w:val="0"/>
          <w:sz w:val="22"/>
          <w:szCs w:val="22"/>
        </w:rPr>
        <w:t>40%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2"/>
          <w:szCs w:val="22"/>
        </w:rPr>
        <w:t>年实际执行的企业所得税税率为</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w:t>
      </w:r>
    </w:p>
    <w:p>
      <w:pPr>
        <w:pStyle w:val="Style35"/>
        <w:keepNext w:val="0"/>
        <w:keepLines w:val="0"/>
        <w:widowControl w:val="0"/>
        <w:shd w:val="clear" w:color="auto" w:fill="auto"/>
        <w:tabs>
          <w:tab w:pos="802" w:val="left"/>
        </w:tabs>
        <w:bidi w:val="0"/>
        <w:spacing w:before="0" w:after="180" w:line="295" w:lineRule="auto"/>
        <w:ind w:left="0" w:right="0" w:firstLine="460"/>
        <w:jc w:val="both"/>
        <w:rPr>
          <w:sz w:val="22"/>
          <w:szCs w:val="22"/>
        </w:rPr>
      </w:pPr>
      <w:bookmarkStart w:id="1179" w:name="bookmark1179"/>
      <w:r>
        <w:rPr>
          <w:rFonts w:ascii="Times New Roman" w:eastAsia="Times New Roman" w:hAnsi="Times New Roman" w:cs="Times New Roman"/>
          <w:color w:val="000000"/>
          <w:spacing w:val="0"/>
          <w:w w:val="100"/>
          <w:position w:val="0"/>
          <w:sz w:val="22"/>
          <w:szCs w:val="22"/>
        </w:rPr>
        <w:t>4</w:t>
      </w:r>
      <w:bookmarkEnd w:id="1179"/>
      <w:r>
        <w:rPr>
          <w:color w:val="000000"/>
          <w:spacing w:val="0"/>
          <w:w w:val="100"/>
          <w:position w:val="0"/>
          <w:sz w:val="22"/>
          <w:szCs w:val="22"/>
        </w:rPr>
        <w:t>）</w:t>
        <w:tab/>
        <w:t>所得税税率实际执行</w:t>
      </w:r>
      <w:r>
        <w:rPr>
          <w:rFonts w:ascii="Times New Roman" w:eastAsia="Times New Roman" w:hAnsi="Times New Roman" w:cs="Times New Roman"/>
          <w:color w:val="000000"/>
          <w:spacing w:val="0"/>
          <w:w w:val="100"/>
          <w:position w:val="0"/>
          <w:sz w:val="22"/>
          <w:szCs w:val="22"/>
        </w:rPr>
        <w:t>6.00%</w:t>
      </w:r>
      <w:r>
        <w:rPr>
          <w:color w:val="000000"/>
          <w:spacing w:val="0"/>
          <w:w w:val="100"/>
          <w:position w:val="0"/>
          <w:sz w:val="22"/>
          <w:szCs w:val="22"/>
        </w:rPr>
        <w:t>的情况</w:t>
      </w:r>
    </w:p>
    <w:p>
      <w:pPr>
        <w:pStyle w:val="Style35"/>
        <w:keepNext w:val="0"/>
        <w:keepLines w:val="0"/>
        <w:widowControl w:val="0"/>
        <w:shd w:val="clear" w:color="auto" w:fill="auto"/>
        <w:bidi w:val="0"/>
        <w:spacing w:before="0" w:after="420" w:line="311" w:lineRule="exact"/>
        <w:ind w:left="0" w:right="0" w:firstLine="460"/>
        <w:jc w:val="both"/>
        <w:rPr>
          <w:sz w:val="22"/>
          <w:szCs w:val="22"/>
        </w:rPr>
      </w:pPr>
      <w:r>
        <w:rPr>
          <w:color w:val="000000"/>
          <w:spacing w:val="0"/>
          <w:w w:val="100"/>
          <w:position w:val="0"/>
          <w:sz w:val="22"/>
          <w:szCs w:val="22"/>
        </w:rPr>
        <w:t>北海石基为国家重点软件企业，根据</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财税</w:t>
      </w:r>
      <w:r>
        <w:rPr>
          <w:rFonts w:ascii="Times New Roman" w:eastAsia="Times New Roman" w:hAnsi="Times New Roman" w:cs="Times New Roman"/>
          <w:color w:val="000000"/>
          <w:spacing w:val="0"/>
          <w:w w:val="100"/>
          <w:position w:val="0"/>
          <w:sz w:val="22"/>
          <w:szCs w:val="22"/>
        </w:rPr>
        <w:t>[2012]27</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文《关于进一步鼓励软件产业和集成电路 产业发展企业所得税政策的通知》第四条的规定，减按</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征收企业所得税，同时根据</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桂政发</w:t>
      </w:r>
      <w:r>
        <w:rPr>
          <w:rFonts w:ascii="Times New Roman" w:eastAsia="Times New Roman" w:hAnsi="Times New Roman" w:cs="Times New Roman"/>
          <w:color w:val="000000"/>
          <w:spacing w:val="0"/>
          <w:w w:val="100"/>
          <w:position w:val="0"/>
          <w:sz w:val="22"/>
          <w:szCs w:val="22"/>
        </w:rPr>
        <w:t xml:space="preserve">[2014]5 </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文《广西壮族自治区人民政府关于延续和修订促进广西北部湾经济区开放开发若干政策规定的通 知》第六条第二项，减免北海石基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年度地方分享企业所得税部分，北海石基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年度实际执行的 企业所得税税率为</w:t>
      </w:r>
      <w:r>
        <w:rPr>
          <w:rFonts w:ascii="Times New Roman" w:eastAsia="Times New Roman" w:hAnsi="Times New Roman" w:cs="Times New Roman"/>
          <w:color w:val="000000"/>
          <w:spacing w:val="0"/>
          <w:w w:val="100"/>
          <w:position w:val="0"/>
          <w:sz w:val="22"/>
          <w:szCs w:val="22"/>
        </w:rPr>
        <w:t>6.00%</w:t>
      </w:r>
      <w:r>
        <w:rPr>
          <w:color w:val="000000"/>
          <w:spacing w:val="0"/>
          <w:w w:val="100"/>
          <w:position w:val="0"/>
          <w:sz w:val="22"/>
          <w:szCs w:val="22"/>
        </w:rPr>
        <w:t>。</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240" w:line="311" w:lineRule="exact"/>
        <w:ind w:left="0" w:right="0" w:firstLine="460"/>
        <w:jc w:val="both"/>
        <w:rPr>
          <w:sz w:val="22"/>
          <w:szCs w:val="22"/>
        </w:rPr>
      </w:pPr>
      <w:bookmarkStart w:id="1180" w:name="bookmark1180"/>
      <w:r>
        <w:rPr>
          <w:color w:val="000000"/>
          <w:spacing w:val="0"/>
          <w:w w:val="100"/>
          <w:position w:val="0"/>
          <w:sz w:val="22"/>
          <w:szCs w:val="22"/>
        </w:rPr>
        <w:t>（</w:t>
      </w:r>
      <w:bookmarkEnd w:id="1180"/>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）增值税优惠政策</w:t>
      </w:r>
    </w:p>
    <w:p>
      <w:pPr>
        <w:pStyle w:val="Style35"/>
        <w:keepNext w:val="0"/>
        <w:keepLines w:val="0"/>
        <w:widowControl w:val="0"/>
        <w:shd w:val="clear" w:color="auto" w:fill="auto"/>
        <w:bidi w:val="0"/>
        <w:spacing w:before="0" w:after="240" w:line="317" w:lineRule="exact"/>
        <w:ind w:left="0" w:right="0" w:firstLine="460"/>
        <w:jc w:val="both"/>
        <w:rPr>
          <w:sz w:val="22"/>
          <w:szCs w:val="22"/>
        </w:rPr>
      </w:pPr>
      <w:bookmarkStart w:id="1181" w:name="bookmark1181"/>
      <w:r>
        <w:rPr>
          <w:rFonts w:ascii="Times New Roman" w:eastAsia="Times New Roman" w:hAnsi="Times New Roman" w:cs="Times New Roman"/>
          <w:color w:val="000000"/>
          <w:spacing w:val="0"/>
          <w:w w:val="100"/>
          <w:position w:val="0"/>
          <w:sz w:val="22"/>
          <w:szCs w:val="22"/>
        </w:rPr>
        <w:t>1</w:t>
      </w:r>
      <w:bookmarkEnd w:id="1181"/>
      <w:r>
        <w:rPr>
          <w:color w:val="000000"/>
          <w:spacing w:val="0"/>
          <w:w w:val="100"/>
          <w:position w:val="0"/>
          <w:sz w:val="22"/>
          <w:szCs w:val="22"/>
        </w:rPr>
        <w:t>） 根据财政部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税务总局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海关总署公告</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年第</w:t>
      </w:r>
      <w:r>
        <w:rPr>
          <w:rFonts w:ascii="Times New Roman" w:eastAsia="Times New Roman" w:hAnsi="Times New Roman" w:cs="Times New Roman"/>
          <w:color w:val="000000"/>
          <w:spacing w:val="0"/>
          <w:w w:val="100"/>
          <w:position w:val="0"/>
          <w:sz w:val="22"/>
          <w:szCs w:val="22"/>
        </w:rPr>
        <w:t>39</w:t>
      </w:r>
      <w:r>
        <w:rPr>
          <w:color w:val="000000"/>
          <w:spacing w:val="0"/>
          <w:w w:val="100"/>
          <w:position w:val="0"/>
          <w:sz w:val="22"/>
          <w:szCs w:val="22"/>
        </w:rPr>
        <w:t>号文的规定，自</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31 </w:t>
      </w:r>
      <w:r>
        <w:rPr>
          <w:color w:val="000000"/>
          <w:spacing w:val="0"/>
          <w:w w:val="100"/>
          <w:position w:val="0"/>
          <w:sz w:val="22"/>
          <w:szCs w:val="22"/>
        </w:rPr>
        <w:t>日，允许生产、生活性服务业纳税人按照当期可抵扣进项税额加计</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，抵减应纳税额。</w:t>
      </w:r>
    </w:p>
    <w:p>
      <w:pPr>
        <w:pStyle w:val="Style35"/>
        <w:keepNext w:val="0"/>
        <w:keepLines w:val="0"/>
        <w:widowControl w:val="0"/>
        <w:shd w:val="clear" w:color="auto" w:fill="auto"/>
        <w:tabs>
          <w:tab w:pos="668" w:val="left"/>
        </w:tabs>
        <w:bidi w:val="0"/>
        <w:spacing w:before="0" w:after="0" w:line="320" w:lineRule="exact"/>
        <w:ind w:left="0" w:right="0" w:firstLine="460"/>
        <w:jc w:val="both"/>
        <w:rPr>
          <w:sz w:val="22"/>
          <w:szCs w:val="22"/>
        </w:rPr>
      </w:pPr>
      <w:bookmarkStart w:id="1182" w:name="bookmark1182"/>
      <w:r>
        <w:rPr>
          <w:rFonts w:ascii="Times New Roman" w:eastAsia="Times New Roman" w:hAnsi="Times New Roman" w:cs="Times New Roman"/>
          <w:color w:val="000000"/>
          <w:spacing w:val="0"/>
          <w:w w:val="100"/>
          <w:position w:val="0"/>
          <w:sz w:val="22"/>
          <w:szCs w:val="22"/>
        </w:rPr>
        <w:t>2</w:t>
      </w:r>
      <w:bookmarkEnd w:id="1182"/>
      <w:r>
        <w:rPr>
          <w:color w:val="000000"/>
          <w:spacing w:val="0"/>
          <w:w w:val="100"/>
          <w:position w:val="0"/>
          <w:sz w:val="22"/>
          <w:szCs w:val="22"/>
        </w:rPr>
        <w:t>）</w:t>
        <w:tab/>
        <w:t>根据</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国发</w:t>
      </w:r>
      <w:r>
        <w:rPr>
          <w:rFonts w:ascii="Times New Roman" w:eastAsia="Times New Roman" w:hAnsi="Times New Roman" w:cs="Times New Roman"/>
          <w:color w:val="000000"/>
          <w:spacing w:val="0"/>
          <w:w w:val="100"/>
          <w:position w:val="0"/>
          <w:sz w:val="22"/>
          <w:szCs w:val="22"/>
        </w:rPr>
        <w:t>[2000]18</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文《鼓励软件产业和集成电路产业发展的若干政策》及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国发</w:t>
      </w:r>
      <w:r>
        <w:rPr>
          <w:rFonts w:ascii="Times New Roman" w:eastAsia="Times New Roman" w:hAnsi="Times New Roman" w:cs="Times New Roman"/>
          <w:color w:val="000000"/>
          <w:spacing w:val="0"/>
          <w:w w:val="100"/>
          <w:position w:val="0"/>
          <w:sz w:val="22"/>
          <w:szCs w:val="22"/>
        </w:rPr>
        <w:t>[2011]4</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2"/>
          <w:szCs w:val="22"/>
        </w:rPr>
        <w:t>《关于印发进一步鼓励软件产业和集成电路产业发展若干政策的通知》的规定，对增值税一般纳税人</w:t>
      </w:r>
    </w:p>
    <w:p>
      <w:pPr>
        <w:pStyle w:val="Style35"/>
        <w:keepNext w:val="0"/>
        <w:keepLines w:val="0"/>
        <w:widowControl w:val="0"/>
        <w:shd w:val="clear" w:color="auto" w:fill="auto"/>
        <w:bidi w:val="0"/>
        <w:spacing w:before="0" w:after="240" w:line="320" w:lineRule="exact"/>
        <w:ind w:left="0" w:right="0" w:firstLine="0"/>
        <w:jc w:val="both"/>
        <w:rPr>
          <w:sz w:val="22"/>
          <w:szCs w:val="22"/>
        </w:rPr>
      </w:pPr>
      <w:r>
        <w:rPr>
          <w:color w:val="000000"/>
          <w:spacing w:val="0"/>
          <w:w w:val="100"/>
          <w:position w:val="0"/>
          <w:sz w:val="22"/>
          <w:szCs w:val="22"/>
        </w:rPr>
        <w:t>销售其自行开发生产的软件产品，在</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日按</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 xml:space="preserve">的法定税率征收增值税， </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日之后按</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的法定税率征收增值税，以实际超过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的部分即征即退，自行开发软件产品 销售实际税负为</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r>
    </w:p>
    <w:p>
      <w:pPr>
        <w:pStyle w:val="Style35"/>
        <w:keepNext w:val="0"/>
        <w:keepLines w:val="0"/>
        <w:widowControl w:val="0"/>
        <w:shd w:val="clear" w:color="auto" w:fill="auto"/>
        <w:tabs>
          <w:tab w:pos="783" w:val="left"/>
        </w:tabs>
        <w:bidi w:val="0"/>
        <w:spacing w:before="0" w:after="240" w:line="311" w:lineRule="exact"/>
        <w:ind w:left="0" w:right="0" w:firstLine="460"/>
        <w:jc w:val="both"/>
        <w:rPr>
          <w:sz w:val="22"/>
          <w:szCs w:val="22"/>
        </w:rPr>
      </w:pPr>
      <w:bookmarkStart w:id="1183" w:name="bookmark1183"/>
      <w:r>
        <w:rPr>
          <w:rFonts w:ascii="Times New Roman" w:eastAsia="Times New Roman" w:hAnsi="Times New Roman" w:cs="Times New Roman"/>
          <w:color w:val="000000"/>
          <w:spacing w:val="0"/>
          <w:w w:val="100"/>
          <w:position w:val="0"/>
          <w:sz w:val="22"/>
          <w:szCs w:val="22"/>
        </w:rPr>
        <w:t>3</w:t>
      </w:r>
      <w:bookmarkEnd w:id="1183"/>
      <w:r>
        <w:rPr>
          <w:color w:val="000000"/>
          <w:spacing w:val="0"/>
          <w:w w:val="100"/>
          <w:position w:val="0"/>
          <w:sz w:val="22"/>
          <w:szCs w:val="22"/>
        </w:rPr>
        <w:t>）</w:t>
        <w:tab/>
        <w:t>连边科技、北京环企为增值税小规模纳税人，根据《财政部税务总局关于支持个体工商户复 工复业增值税政策的公告》（财政部税务总局公告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号）及《财政部税务总局延长小规模 纳税人减免增值税政策执行期限的公告》（财政部税务总局公告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年第</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号）的规定，自</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日，除湖北省外的小规模增值税纳税人，适用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征收率的应税销售收入，减按</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征收 率征收增值税；适用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预征率的预缴增值税项目，减按</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预征率预缴增值税。</w:t>
      </w:r>
    </w:p>
    <w:p>
      <w:pPr>
        <w:pStyle w:val="Style35"/>
        <w:keepNext w:val="0"/>
        <w:keepLines w:val="0"/>
        <w:widowControl w:val="0"/>
        <w:shd w:val="clear" w:color="auto" w:fill="auto"/>
        <w:tabs>
          <w:tab w:pos="802" w:val="left"/>
        </w:tabs>
        <w:bidi w:val="0"/>
        <w:spacing w:before="0" w:after="240" w:line="311" w:lineRule="exact"/>
        <w:ind w:left="0" w:right="0" w:firstLine="460"/>
        <w:jc w:val="both"/>
        <w:rPr>
          <w:sz w:val="22"/>
          <w:szCs w:val="22"/>
        </w:rPr>
      </w:pPr>
      <w:bookmarkStart w:id="1184" w:name="bookmark1184"/>
      <w:r>
        <w:rPr>
          <w:rFonts w:ascii="Times New Roman" w:eastAsia="Times New Roman" w:hAnsi="Times New Roman" w:cs="Times New Roman"/>
          <w:color w:val="000000"/>
          <w:spacing w:val="0"/>
          <w:w w:val="100"/>
          <w:position w:val="0"/>
          <w:sz w:val="22"/>
          <w:szCs w:val="22"/>
        </w:rPr>
        <w:t>4</w:t>
      </w:r>
      <w:bookmarkEnd w:id="1184"/>
      <w:r>
        <w:rPr>
          <w:color w:val="000000"/>
          <w:spacing w:val="0"/>
          <w:w w:val="100"/>
          <w:position w:val="0"/>
          <w:sz w:val="22"/>
          <w:szCs w:val="22"/>
        </w:rPr>
        <w:t>）</w:t>
        <w:tab/>
        <w:t>相关软件增值税退税税收优惠政策对公司当期损益的影响为:增加</w:t>
      </w:r>
      <w:r>
        <w:rPr>
          <w:rFonts w:ascii="Times New Roman" w:eastAsia="Times New Roman" w:hAnsi="Times New Roman" w:cs="Times New Roman"/>
          <w:color w:val="000000"/>
          <w:spacing w:val="0"/>
          <w:w w:val="100"/>
          <w:position w:val="0"/>
          <w:sz w:val="22"/>
          <w:szCs w:val="22"/>
        </w:rPr>
        <w:t>49,205,340.39</w:t>
      </w:r>
      <w:r>
        <w:rPr>
          <w:color w:val="000000"/>
          <w:spacing w:val="0"/>
          <w:w w:val="100"/>
          <w:position w:val="0"/>
          <w:sz w:val="22"/>
          <w:szCs w:val="22"/>
        </w:rPr>
        <w:t>元的其他收益。</w:t>
      </w:r>
    </w:p>
    <w:p>
      <w:pPr>
        <w:pStyle w:val="Style32"/>
        <w:keepNext/>
        <w:keepLines/>
        <w:widowControl w:val="0"/>
        <w:shd w:val="clear" w:color="auto" w:fill="auto"/>
        <w:bidi w:val="0"/>
        <w:spacing w:before="0" w:line="313" w:lineRule="exact"/>
        <w:ind w:left="0" w:right="0" w:firstLine="0"/>
        <w:jc w:val="both"/>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w:t>
      </w:r>
      <w:bookmarkEnd w:id="1187"/>
      <w:r>
        <w:rPr>
          <w:color w:val="000000"/>
          <w:spacing w:val="0"/>
          <w:w w:val="100"/>
          <w:position w:val="0"/>
        </w:rPr>
        <w:t>、其他</w:t>
      </w:r>
      <w:bookmarkEnd w:id="1185"/>
      <w:bookmarkEnd w:id="1186"/>
      <w:bookmarkEnd w:id="1188"/>
    </w:p>
    <w:p>
      <w:pPr>
        <w:pStyle w:val="Style35"/>
        <w:keepNext w:val="0"/>
        <w:keepLines w:val="0"/>
        <w:widowControl w:val="0"/>
        <w:shd w:val="clear" w:color="auto" w:fill="auto"/>
        <w:bidi w:val="0"/>
        <w:spacing w:before="0" w:after="260" w:line="313"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：安装及技术支持与维护收入增值税销项税税率为</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 xml:space="preserve">，不动产租赁业务增值税销项税税率为 </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，连边科技为小规模纳税人增值税税率</w:t>
      </w:r>
      <w:r>
        <w:rPr>
          <w:rFonts w:ascii="Times New Roman" w:eastAsia="Times New Roman" w:hAnsi="Times New Roman" w:cs="Times New Roman"/>
          <w:color w:val="000000"/>
          <w:spacing w:val="0"/>
          <w:w w:val="100"/>
          <w:position w:val="0"/>
          <w:sz w:val="22"/>
          <w:szCs w:val="22"/>
        </w:rPr>
        <w:t>1 %/3%</w:t>
      </w:r>
      <w:r>
        <w:rPr>
          <w:color w:val="000000"/>
          <w:spacing w:val="0"/>
          <w:w w:val="100"/>
          <w:position w:val="0"/>
          <w:sz w:val="22"/>
          <w:szCs w:val="22"/>
        </w:rPr>
        <w:t>，其他增值税销项税税率均为</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；本集团根据增值 税不同业务适用的税率计算的增值税销项税额，扣除可抵扣的进项税后的差额计算缴纳增值税，当销 项税额小于可抵扣的进项税额时结转至留底税额，并根据预计的可留底税额及预交的增值税可抵扣的 时间长短重分类至</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其他流动资产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或</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其他非流动资产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列报。</w:t>
      </w:r>
    </w:p>
    <w:p>
      <w:pPr>
        <w:pStyle w:val="Style35"/>
        <w:keepNext w:val="0"/>
        <w:keepLines w:val="0"/>
        <w:widowControl w:val="0"/>
        <w:shd w:val="clear" w:color="auto" w:fill="auto"/>
        <w:bidi w:val="0"/>
        <w:spacing w:before="0" w:after="34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：上海石基按照</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的税率缴纳城市建设维护税，上海正品按照</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的税率缴纳城市建设维护税, 其他境内子公司按照</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的税率缴纳城市建设维护税。</w:t>
      </w:r>
    </w:p>
    <w:p>
      <w:pPr>
        <w:pStyle w:val="Style24"/>
        <w:keepNext/>
        <w:keepLines/>
        <w:widowControl w:val="0"/>
        <w:shd w:val="clear" w:color="auto" w:fill="auto"/>
        <w:bidi w:val="0"/>
        <w:spacing w:before="0" w:after="260" w:line="240" w:lineRule="auto"/>
        <w:ind w:left="0" w:right="0" w:firstLine="0"/>
        <w:jc w:val="both"/>
      </w:pPr>
      <w:bookmarkStart w:id="1189" w:name="bookmark1189"/>
      <w:bookmarkStart w:id="1190" w:name="bookmark1190"/>
      <w:bookmarkStart w:id="1191" w:name="bookmark1191"/>
      <w:bookmarkStart w:id="1192" w:name="bookmark1192"/>
      <w:r>
        <w:rPr>
          <w:color w:val="000000"/>
          <w:spacing w:val="0"/>
          <w:w w:val="100"/>
          <w:position w:val="0"/>
        </w:rPr>
        <w:t>七</w:t>
      </w:r>
      <w:bookmarkEnd w:id="1191"/>
      <w:r>
        <w:rPr>
          <w:color w:val="000000"/>
          <w:spacing w:val="0"/>
          <w:w w:val="100"/>
          <w:position w:val="0"/>
        </w:rPr>
        <w:t>、合并财务报表项目注释</w:t>
      </w:r>
      <w:bookmarkEnd w:id="1189"/>
      <w:bookmarkEnd w:id="1190"/>
      <w:bookmarkEnd w:id="1192"/>
    </w:p>
    <w:p>
      <w:pPr>
        <w:pStyle w:val="Style32"/>
        <w:keepNext/>
        <w:keepLines/>
        <w:widowControl w:val="0"/>
        <w:shd w:val="clear" w:color="auto" w:fill="auto"/>
        <w:bidi w:val="0"/>
        <w:spacing w:before="0" w:line="313" w:lineRule="exact"/>
        <w:ind w:left="0" w:right="0" w:firstLine="0"/>
        <w:jc w:val="both"/>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93"/>
      <w:bookmarkEnd w:id="1194"/>
      <w:bookmarkEnd w:id="11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7,276,625.94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179,984.07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5,098,910,240.34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5,193,395,374.50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11,549,033.80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17,235,998.71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5,117,735,900.08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5,210,811,357.28</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186,000,295.70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201,324,601.17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5"/>
        <w:keepNext w:val="0"/>
        <w:keepLines w:val="0"/>
        <w:widowControl w:val="0"/>
        <w:shd w:val="clear" w:color="auto" w:fill="auto"/>
        <w:bidi w:val="0"/>
        <w:spacing w:before="0" w:after="260" w:line="240" w:lineRule="auto"/>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：年末所有权或使用权受到限制的货币资金余额为</w:t>
      </w:r>
      <w:r>
        <w:rPr>
          <w:rFonts w:ascii="Times New Roman" w:eastAsia="Times New Roman" w:hAnsi="Times New Roman" w:cs="Times New Roman"/>
          <w:color w:val="000000"/>
          <w:spacing w:val="0"/>
          <w:w w:val="100"/>
          <w:position w:val="0"/>
          <w:sz w:val="22"/>
          <w:szCs w:val="22"/>
        </w:rPr>
        <w:t>2,746,353,889.35</w:t>
      </w:r>
      <w:r>
        <w:rPr>
          <w:color w:val="000000"/>
          <w:spacing w:val="0"/>
          <w:w w:val="100"/>
          <w:position w:val="0"/>
          <w:sz w:val="22"/>
          <w:szCs w:val="22"/>
        </w:rPr>
        <w:t>元，其中：</w:t>
      </w:r>
    </w:p>
    <w:p>
      <w:pPr>
        <w:pStyle w:val="Style38"/>
        <w:keepNext w:val="0"/>
        <w:keepLines w:val="0"/>
        <w:widowControl w:val="0"/>
        <w:numPr>
          <w:ilvl w:val="0"/>
          <w:numId w:val="43"/>
        </w:numPr>
        <w:shd w:val="clear" w:color="auto" w:fill="auto"/>
        <w:tabs>
          <w:tab w:pos="1059" w:val="left"/>
        </w:tabs>
        <w:bidi w:val="0"/>
        <w:spacing w:before="0" w:after="260" w:line="310" w:lineRule="exact"/>
        <w:ind w:left="0" w:right="0" w:firstLine="460"/>
        <w:jc w:val="both"/>
        <w:rPr>
          <w:sz w:val="22"/>
          <w:szCs w:val="22"/>
        </w:rPr>
      </w:pPr>
      <w:bookmarkStart w:id="1196" w:name="bookmark1196"/>
      <w:bookmarkEnd w:id="1196"/>
      <w:r>
        <w:rPr>
          <w:rFonts w:ascii="SimSun" w:eastAsia="SimSun" w:hAnsi="SimSun" w:cs="SimSun"/>
          <w:color w:val="000000"/>
          <w:spacing w:val="0"/>
          <w:w w:val="100"/>
          <w:position w:val="0"/>
          <w:sz w:val="22"/>
          <w:szCs w:val="22"/>
        </w:rPr>
        <w:t>因诉讼财产冻结资金</w:t>
      </w:r>
      <w:r>
        <w:rPr>
          <w:color w:val="000000"/>
          <w:spacing w:val="0"/>
          <w:w w:val="100"/>
          <w:position w:val="0"/>
          <w:sz w:val="22"/>
          <w:szCs w:val="22"/>
        </w:rPr>
        <w:t>15,764,726.76</w:t>
      </w:r>
      <w:r>
        <w:rPr>
          <w:rFonts w:ascii="SimSun" w:eastAsia="SimSun" w:hAnsi="SimSun" w:cs="SimSun"/>
          <w:color w:val="000000"/>
          <w:spacing w:val="0"/>
          <w:w w:val="100"/>
          <w:position w:val="0"/>
          <w:sz w:val="22"/>
          <w:szCs w:val="22"/>
        </w:rPr>
        <w:t>元、房屋维修基金账户</w:t>
      </w:r>
      <w:r>
        <w:rPr>
          <w:color w:val="000000"/>
          <w:spacing w:val="0"/>
          <w:w w:val="100"/>
          <w:position w:val="0"/>
          <w:sz w:val="22"/>
          <w:szCs w:val="22"/>
        </w:rPr>
        <w:t>3,483,053.23</w:t>
      </w:r>
      <w:r>
        <w:rPr>
          <w:rFonts w:ascii="SimSun" w:eastAsia="SimSun" w:hAnsi="SimSun" w:cs="SimSun"/>
          <w:color w:val="000000"/>
          <w:spacing w:val="0"/>
          <w:w w:val="100"/>
          <w:position w:val="0"/>
          <w:sz w:val="22"/>
          <w:szCs w:val="22"/>
        </w:rPr>
        <w:t>元、银行承兑汇票保 证金</w:t>
      </w:r>
      <w:r>
        <w:rPr>
          <w:color w:val="000000"/>
          <w:spacing w:val="0"/>
          <w:w w:val="100"/>
          <w:position w:val="0"/>
          <w:sz w:val="22"/>
          <w:szCs w:val="22"/>
        </w:rPr>
        <w:t>3,125,349.92</w:t>
      </w:r>
      <w:r>
        <w:rPr>
          <w:rFonts w:ascii="SimSun" w:eastAsia="SimSun" w:hAnsi="SimSun" w:cs="SimSun"/>
          <w:color w:val="000000"/>
          <w:spacing w:val="0"/>
          <w:w w:val="100"/>
          <w:position w:val="0"/>
          <w:sz w:val="22"/>
          <w:szCs w:val="22"/>
        </w:rPr>
        <w:t>元、履约保函保证金</w:t>
      </w:r>
      <w:r>
        <w:rPr>
          <w:color w:val="000000"/>
          <w:spacing w:val="0"/>
          <w:w w:val="100"/>
          <w:position w:val="0"/>
          <w:sz w:val="22"/>
          <w:szCs w:val="22"/>
        </w:rPr>
        <w:t>1,789,637.74</w:t>
      </w:r>
      <w:r>
        <w:rPr>
          <w:rFonts w:ascii="SimSun" w:eastAsia="SimSun" w:hAnsi="SimSun" w:cs="SimSun"/>
          <w:color w:val="000000"/>
          <w:spacing w:val="0"/>
          <w:w w:val="100"/>
          <w:position w:val="0"/>
          <w:sz w:val="22"/>
          <w:szCs w:val="22"/>
        </w:rPr>
        <w:t>元、支付业务保证金</w:t>
      </w:r>
      <w:r>
        <w:rPr>
          <w:color w:val="000000"/>
          <w:spacing w:val="0"/>
          <w:w w:val="100"/>
          <w:position w:val="0"/>
          <w:sz w:val="22"/>
          <w:szCs w:val="22"/>
        </w:rPr>
        <w:t>1,509,118.87</w:t>
      </w:r>
      <w:r>
        <w:rPr>
          <w:rFonts w:ascii="SimSun" w:eastAsia="SimSun" w:hAnsi="SimSun" w:cs="SimSun"/>
          <w:color w:val="000000"/>
          <w:spacing w:val="0"/>
          <w:w w:val="100"/>
          <w:position w:val="0"/>
          <w:sz w:val="22"/>
          <w:szCs w:val="22"/>
        </w:rPr>
        <w:t>元、旅行业资质保 证金</w:t>
      </w:r>
      <w:r>
        <w:rPr>
          <w:color w:val="000000"/>
          <w:spacing w:val="0"/>
          <w:w w:val="100"/>
          <w:position w:val="0"/>
          <w:sz w:val="22"/>
          <w:szCs w:val="22"/>
        </w:rPr>
        <w:t>240,000.00</w:t>
      </w:r>
      <w:r>
        <w:rPr>
          <w:rFonts w:ascii="SimSun" w:eastAsia="SimSun" w:hAnsi="SimSun" w:cs="SimSun"/>
          <w:color w:val="000000"/>
          <w:spacing w:val="0"/>
          <w:w w:val="100"/>
          <w:position w:val="0"/>
          <w:sz w:val="22"/>
          <w:szCs w:val="22"/>
        </w:rPr>
        <w:t>元。</w:t>
      </w:r>
    </w:p>
    <w:p>
      <w:pPr>
        <w:pStyle w:val="Style35"/>
        <w:keepNext w:val="0"/>
        <w:keepLines w:val="0"/>
        <w:widowControl w:val="0"/>
        <w:numPr>
          <w:ilvl w:val="0"/>
          <w:numId w:val="43"/>
        </w:numPr>
        <w:shd w:val="clear" w:color="auto" w:fill="auto"/>
        <w:tabs>
          <w:tab w:pos="967" w:val="left"/>
        </w:tabs>
        <w:bidi w:val="0"/>
        <w:spacing w:before="0" w:after="260" w:line="240" w:lineRule="auto"/>
        <w:ind w:left="0" w:right="0" w:firstLine="460"/>
        <w:jc w:val="both"/>
        <w:rPr>
          <w:sz w:val="22"/>
          <w:szCs w:val="22"/>
        </w:rPr>
      </w:pPr>
      <w:bookmarkStart w:id="1197" w:name="bookmark1197"/>
      <w:bookmarkEnd w:id="1197"/>
      <w:r>
        <w:rPr>
          <w:color w:val="000000"/>
          <w:spacing w:val="0"/>
          <w:w w:val="100"/>
          <w:position w:val="0"/>
          <w:sz w:val="22"/>
          <w:szCs w:val="22"/>
        </w:rPr>
        <w:t>银行存款中包含三个月以上定期存款</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,720,442,002.83</w:t>
      </w:r>
      <w:r>
        <w:rPr>
          <w:color w:val="000000"/>
          <w:spacing w:val="0"/>
          <w:w w:val="100"/>
          <w:position w:val="0"/>
          <w:sz w:val="22"/>
          <w:szCs w:val="22"/>
        </w:rPr>
        <w:t>元。</w:t>
      </w:r>
    </w:p>
    <w:p>
      <w:pPr>
        <w:pStyle w:val="Style35"/>
        <w:keepNext w:val="0"/>
        <w:keepLines w:val="0"/>
        <w:widowControl w:val="0"/>
        <w:shd w:val="clear" w:color="auto" w:fill="auto"/>
        <w:bidi w:val="0"/>
        <w:spacing w:before="0" w:after="340" w:line="240" w:lineRule="auto"/>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：其他货币资金系存放与支付宝账户余额，使用不受限制。</w:t>
      </w:r>
    </w:p>
    <w:p>
      <w:pPr>
        <w:pStyle w:val="Style32"/>
        <w:keepNext/>
        <w:keepLines/>
        <w:widowControl w:val="0"/>
        <w:shd w:val="clear" w:color="auto" w:fill="auto"/>
        <w:bidi w:val="0"/>
        <w:spacing w:before="0" w:line="240" w:lineRule="auto"/>
        <w:ind w:left="0" w:right="0" w:firstLine="0"/>
        <w:jc w:val="both"/>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98"/>
      <w:bookmarkEnd w:id="1199"/>
      <w:bookmarkEnd w:id="1200"/>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57,201,377.72</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57,201,377.72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111,849,076.92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57,201,377.72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color w:val="000000"/>
          <w:spacing w:val="0"/>
          <w:w w:val="100"/>
          <w:position w:val="0"/>
        </w:rPr>
        <w:t>、应收票据</w:t>
      </w:r>
      <w:bookmarkEnd w:id="1201"/>
      <w:bookmarkEnd w:id="1202"/>
      <w:bookmarkEnd w:id="1204"/>
    </w:p>
    <w:p>
      <w:pPr>
        <w:pStyle w:val="Style32"/>
        <w:keepNext/>
        <w:keepLines/>
        <w:widowControl w:val="0"/>
        <w:shd w:val="clear" w:color="auto" w:fill="auto"/>
        <w:bidi w:val="0"/>
        <w:spacing w:before="0" w:after="380" w:line="240" w:lineRule="auto"/>
        <w:ind w:left="0" w:right="0" w:firstLine="0"/>
        <w:jc w:val="both"/>
      </w:pPr>
      <w:bookmarkStart w:id="1201" w:name="bookmark1201"/>
      <w:bookmarkStart w:id="1202" w:name="bookmark1202"/>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01"/>
      <w:bookmarkEnd w:id="1202"/>
      <w:bookmarkEnd w:id="120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347,396.57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447,396.57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979"/>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447,396.57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447,396.57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200,000.0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单项认定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447,396.57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447,396.57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200,000.0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447,396.57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447,396.57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200,000.0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单项认定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低风险</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447,396.57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本期计提、收回或转回的坏账准备情况</w:t>
      </w:r>
      <w:bookmarkEnd w:id="1206"/>
      <w:bookmarkEnd w:id="1207"/>
      <w:bookmarkEnd w:id="120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w:t>
      </w:r>
      <w:bookmarkEnd w:id="1212"/>
      <w:r>
        <w:rPr>
          <w:color w:val="000000"/>
          <w:spacing w:val="0"/>
          <w:w w:val="100"/>
          <w:position w:val="0"/>
        </w:rPr>
        <w:t>、应收账款</w:t>
      </w:r>
      <w:bookmarkEnd w:id="1210"/>
      <w:bookmarkEnd w:id="1211"/>
      <w:bookmarkEnd w:id="1213"/>
    </w:p>
    <w:p>
      <w:pPr>
        <w:pStyle w:val="Style32"/>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4" w:name="bookmark12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10"/>
      <w:bookmarkEnd w:id="1211"/>
      <w:bookmarkEnd w:id="121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03"/>
        <w:gridCol w:w="946"/>
        <w:gridCol w:w="595"/>
        <w:gridCol w:w="946"/>
        <w:gridCol w:w="763"/>
        <w:gridCol w:w="955"/>
        <w:gridCol w:w="974"/>
        <w:gridCol w:w="797"/>
        <w:gridCol w:w="1099"/>
        <w:gridCol w:w="792"/>
        <w:gridCol w:w="965"/>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按单项计提坏账 准备的应账款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73,888,590.20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54,901,442.16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74.30%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18,987,148.04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79,512,832.92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52,618,145.49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66.18%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26,894,687.43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单项计提损失准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73,888,590.20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54,901,442.16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74.30%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18,987,148.04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79,512,832.92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52,618,145.49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66.18%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26,894,687.43</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按</w:t>
            </w:r>
            <w:r>
              <w:rPr>
                <w:rFonts w:ascii="Times New Roman" w:eastAsia="Times New Roman" w:hAnsi="Times New Roman" w:cs="Times New Roman"/>
                <w:color w:val="000000"/>
                <w:spacing w:val="0"/>
                <w:w w:val="100"/>
                <w:position w:val="0"/>
                <w:sz w:val="16"/>
                <w:szCs w:val="16"/>
              </w:rPr>
              <w:t>O</w:t>
            </w:r>
            <w:r>
              <w:rPr>
                <w:color w:val="000000"/>
                <w:spacing w:val="0"/>
                <w:w w:val="100"/>
                <w:position w:val="0"/>
                <w:sz w:val="16"/>
                <w:szCs w:val="16"/>
              </w:rPr>
              <w:t>提账 准备的应账款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770,583,373.8</w:t>
            </w:r>
          </w:p>
          <w:p>
            <w:pPr>
              <w:pStyle w:val="Style20"/>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119,106,254.0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651,477,119.84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701,117,896.32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94,461,884.61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606,656,011.71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697,942,117.6</w:t>
            </w:r>
          </w:p>
          <w:p>
            <w:pPr>
              <w:pStyle w:val="Style20"/>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106,033,247.0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591,908,870.54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626,908,462.23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84,337,983.86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13.45%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542,570,478.37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72,641,256.24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13,073,006.94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59,568,249.30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74,209,434.09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10,123,900.75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13.64%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64,085,533.34</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844,471,964.0</w:t>
            </w:r>
          </w:p>
          <w:p>
            <w:pPr>
              <w:pStyle w:val="Style20"/>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174,007,696.1</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670,464,267.88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780,630,729.24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147,080,030.10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633,550,699.14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按单项计提坏账准备：单项计提损失准备的应收账款</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复华文商产业有限公司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3,103,136.00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3,103,136.00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预计不能收回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河北远泰网络科技有限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预计不能收回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山东澳青置业有限公司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1,276,290.00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1,276,290.00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预计不能收回</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中迪禾邦集团有限公司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预计不能收回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66,875,164.20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47,888,016.16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预计不能全部回收</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73,888,590.20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54,901,442.16</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计算机应用及服务行业按账龄分析法计提损失准备的应收账款</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431,274,767.76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16,603,693.08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119,580,740.32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11,958,074.04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62,903,635.70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12,580,727.21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29,708,685.36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14,854,342.70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14,826,383.18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10,388,504.75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39,647,905.28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39,647,905.28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697,942,117.60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106,033,247.06</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219" w:line="1" w:lineRule="exact"/>
      </w:pPr>
    </w:p>
    <w:p>
      <w:pPr>
        <w:pStyle w:val="Style35"/>
        <w:keepNext w:val="0"/>
        <w:keepLines w:val="0"/>
        <w:widowControl w:val="0"/>
        <w:shd w:val="clear" w:color="auto" w:fill="auto"/>
        <w:bidi w:val="0"/>
        <w:spacing w:before="0" w:after="280" w:line="317" w:lineRule="exact"/>
        <w:ind w:left="0" w:right="0" w:firstLine="480"/>
        <w:jc w:val="both"/>
        <w:rPr>
          <w:sz w:val="22"/>
          <w:szCs w:val="22"/>
        </w:rPr>
      </w:pPr>
      <w:r>
        <w:rPr>
          <w:color w:val="000000"/>
          <w:spacing w:val="0"/>
          <w:w w:val="100"/>
          <w:position w:val="0"/>
          <w:sz w:val="22"/>
          <w:szCs w:val="22"/>
        </w:rPr>
        <w:t>本集团根据以前年度的实际信用损失，并考虑本年的前瞻性信息进行测算，本集团按以下方法确 认预期信用减值损失：</w:t>
      </w:r>
    </w:p>
    <w:p>
      <w:pPr>
        <w:pStyle w:val="Style35"/>
        <w:keepNext w:val="0"/>
        <w:keepLines w:val="0"/>
        <w:widowControl w:val="0"/>
        <w:shd w:val="clear" w:color="auto" w:fill="auto"/>
        <w:bidi w:val="0"/>
        <w:spacing w:before="0" w:after="140" w:line="240" w:lineRule="auto"/>
        <w:ind w:left="0" w:right="0" w:firstLine="460"/>
        <w:jc w:val="left"/>
        <w:rPr>
          <w:sz w:val="22"/>
          <w:szCs w:val="22"/>
        </w:rPr>
      </w:pPr>
      <w:r>
        <w:rPr>
          <w:color w:val="000000"/>
          <w:spacing w:val="0"/>
          <w:w w:val="100"/>
          <w:position w:val="0"/>
          <w:sz w:val="22"/>
          <w:szCs w:val="22"/>
        </w:rPr>
        <w:t>（1）</w:t>
      </w:r>
      <w:r>
        <w:rPr>
          <w:color w:val="000000"/>
          <w:spacing w:val="0"/>
          <w:w w:val="100"/>
          <w:position w:val="0"/>
          <w:sz w:val="22"/>
          <w:szCs w:val="22"/>
        </w:rPr>
        <w:t>单项金额重大并单独计提损失准备的应收款项</w:t>
      </w:r>
    </w:p>
    <w:tbl>
      <w:tblPr>
        <w:tblOverlap w:val="never"/>
        <w:jc w:val="center"/>
        <w:tblLayout w:type="fixed"/>
      </w:tblPr>
      <w:tblGrid>
        <w:gridCol w:w="3110"/>
        <w:gridCol w:w="6557"/>
      </w:tblGrid>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单项金额重大的判断依据或金额 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本集团将占应收款项比重超过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的单个客户应收款项确认为单项 金额重大的应收款项。</w:t>
            </w:r>
          </w:p>
        </w:tc>
      </w:tr>
      <w:tr>
        <w:trPr>
          <w:trHeight w:val="129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单项金额重大并单项计提损失准</w:t>
            </w:r>
          </w:p>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本集团对单项金额重大的应收款项单独进行减值测试，单独测试信用 风险未显著增加的应收款项，包括在具有类似信用风险特征的组合中 进行减值测试。单项测试已确认减值损失的应收款项，不再包括在具 有类似信用风险特征的应收款项组合中进行减值测试。</w:t>
            </w:r>
          </w:p>
        </w:tc>
      </w:tr>
    </w:tbl>
    <w:p>
      <w:pPr>
        <w:widowControl w:val="0"/>
        <w:spacing w:after="219" w:line="1" w:lineRule="exact"/>
      </w:pPr>
    </w:p>
    <w:p>
      <w:pPr>
        <w:pStyle w:val="Style35"/>
        <w:keepNext w:val="0"/>
        <w:keepLines w:val="0"/>
        <w:widowControl w:val="0"/>
        <w:shd w:val="clear" w:color="auto" w:fill="auto"/>
        <w:bidi w:val="0"/>
        <w:spacing w:before="0" w:after="140" w:line="240" w:lineRule="auto"/>
        <w:ind w:left="0" w:right="0" w:firstLine="460"/>
        <w:jc w:val="left"/>
        <w:rPr>
          <w:sz w:val="22"/>
          <w:szCs w:val="22"/>
        </w:rPr>
      </w:pPr>
      <w:r>
        <w:rPr>
          <w:color w:val="000000"/>
          <w:spacing w:val="0"/>
          <w:w w:val="100"/>
          <w:position w:val="0"/>
          <w:sz w:val="22"/>
          <w:szCs w:val="22"/>
        </w:rPr>
        <w:t>（2）</w:t>
      </w:r>
      <w:r>
        <w:rPr>
          <w:color w:val="000000"/>
          <w:spacing w:val="0"/>
          <w:w w:val="100"/>
          <w:position w:val="0"/>
          <w:sz w:val="22"/>
          <w:szCs w:val="22"/>
        </w:rPr>
        <w:t>按信用风险特征组合计提损失准备的应收款项</w:t>
      </w:r>
    </w:p>
    <w:tbl>
      <w:tblPr>
        <w:tblOverlap w:val="never"/>
        <w:jc w:val="center"/>
        <w:tblLayout w:type="fixed"/>
      </w:tblPr>
      <w:tblGrid>
        <w:gridCol w:w="3125"/>
        <w:gridCol w:w="6542"/>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组合名称</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损失准备计提方法</w:t>
            </w:r>
          </w:p>
        </w:tc>
      </w:tr>
      <w:tr>
        <w:trPr>
          <w:trHeight w:val="9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sz w:val="22"/>
                <w:szCs w:val="22"/>
              </w:rPr>
              <w:t>（计算机及服务行业） 组合</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（商品批发行业）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22"/>
                <w:szCs w:val="22"/>
              </w:rPr>
            </w:pPr>
            <w:r>
              <w:rPr>
                <w:color w:val="000000"/>
                <w:spacing w:val="0"/>
                <w:w w:val="100"/>
                <w:position w:val="0"/>
                <w:sz w:val="22"/>
                <w:szCs w:val="22"/>
              </w:rPr>
              <w:t>参考历史信用损失经验，结合当前状况以及对未来经济状况的预测， 编制应收款项账龄与整个存续期预期信用损失率对照表，计算预期信 用损失。</w:t>
            </w:r>
          </w:p>
        </w:tc>
      </w:tr>
      <w:tr>
        <w:trPr>
          <w:trHeight w:val="66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（备用金组合）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2"/>
                <w:szCs w:val="22"/>
              </w:rPr>
            </w:pPr>
            <w:r>
              <w:rPr>
                <w:color w:val="000000"/>
                <w:spacing w:val="0"/>
                <w:w w:val="100"/>
                <w:position w:val="0"/>
                <w:sz w:val="22"/>
                <w:szCs w:val="22"/>
              </w:rPr>
              <w:t>预期信用风险较小，不计提减值准备；当有证据表明信用风险显著增 加时，则单项认定考虑预期信用风险减值损失。</w:t>
            </w:r>
          </w:p>
        </w:tc>
      </w:tr>
    </w:tbl>
    <w:p>
      <w:pPr>
        <w:widowControl w:val="0"/>
        <w:spacing w:after="219" w:line="1" w:lineRule="exact"/>
      </w:pPr>
    </w:p>
    <w:p>
      <w:pPr>
        <w:pStyle w:val="Style28"/>
        <w:keepNext w:val="0"/>
        <w:keepLines w:val="0"/>
        <w:widowControl w:val="0"/>
        <w:shd w:val="clear" w:color="auto" w:fill="auto"/>
        <w:bidi w:val="0"/>
        <w:spacing w:before="0" w:after="0" w:line="398" w:lineRule="exact"/>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商品批发行业按账龄分析法计提损失准备的应收账款</w:t>
      </w:r>
    </w:p>
    <w:p>
      <w:pPr>
        <w:pStyle w:val="Style28"/>
        <w:keepNext w:val="0"/>
        <w:keepLines w:val="0"/>
        <w:widowControl w:val="0"/>
        <w:shd w:val="clear" w:color="auto" w:fill="auto"/>
        <w:tabs>
          <w:tab w:pos="5618" w:val="left"/>
        </w:tabs>
        <w:bidi w:val="0"/>
        <w:spacing w:before="0" w:after="180" w:line="398" w:lineRule="exact"/>
        <w:ind w:left="1020" w:right="0" w:firstLine="7900"/>
        <w:jc w:val="both"/>
        <w:sectPr>
          <w:headerReference w:type="default" r:id="rId21"/>
          <w:footerReference w:type="default" r:id="rId22"/>
          <w:footnotePr>
            <w:pos w:val="pageBottom"/>
            <w:numFmt w:val="decimal"/>
            <w:numRestart w:val="continuous"/>
          </w:footnotePr>
          <w:pgSz w:w="11900" w:h="16840"/>
          <w:pgMar w:top="1383" w:right="1024" w:bottom="1446" w:left="1012" w:header="0" w:footer="3" w:gutter="0"/>
          <w:cols w:space="720"/>
          <w:noEndnote/>
          <w:rtlGutter w:val="0"/>
          <w:docGrid w:linePitch="360"/>
        </w:sectPr>
      </w:pPr>
      <w:r>
        <mc:AlternateContent>
          <mc:Choice Requires="wps">
            <w:drawing>
              <wp:anchor distT="0" distB="0" distL="0" distR="0" simplePos="0" relativeHeight="125829424" behindDoc="0" locked="0" layoutInCell="1" allowOverlap="1">
                <wp:simplePos x="0" y="0"/>
                <wp:positionH relativeFrom="page">
                  <wp:posOffset>706755</wp:posOffset>
                </wp:positionH>
                <wp:positionV relativeFrom="paragraph">
                  <wp:posOffset>317500</wp:posOffset>
                </wp:positionV>
                <wp:extent cx="6087110" cy="262255"/>
                <wp:wrapTopAndBottom/>
                <wp:docPr id="88" name="Shape 88"/>
                <a:graphic xmlns:a="http://schemas.openxmlformats.org/drawingml/2006/main">
                  <a:graphicData uri="http://schemas.microsoft.com/office/word/2010/wordprocessingShape">
                    <wps:wsp>
                      <wps:cNvSpPr txBox="1"/>
                      <wps:spPr>
                        <a:xfrm>
                          <a:ext cx="6087110" cy="262255"/>
                        </a:xfrm>
                        <a:prstGeom prst="rect"/>
                        <a:noFill/>
                      </wps:spPr>
                      <wps:txbx>
                        <w:txbxContent>
                          <w:tbl>
                            <w:tblPr>
                              <w:tblOverlap w:val="never"/>
                              <w:jc w:val="left"/>
                              <w:tblLayout w:type="fixed"/>
                            </w:tblPr>
                            <w:tblGrid>
                              <w:gridCol w:w="2400"/>
                              <w:gridCol w:w="7186"/>
                            </w:tblGrid>
                            <w:tr>
                              <w:trPr>
                                <w:tblHeade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p>
                        </w:txbxContent>
                      </wps:txbx>
                      <wps:bodyPr lIns="0" tIns="0" rIns="0" bIns="0">
                        <a:noAutoFit/>
                      </wps:bodyPr>
                    </wps:wsp>
                  </a:graphicData>
                </a:graphic>
              </wp:anchor>
            </w:drawing>
          </mc:Choice>
          <mc:Fallback>
            <w:pict>
              <v:shape id="_x0000_s1114" type="#_x0000_t202" style="position:absolute;margin-left:55.649999999999999pt;margin-top:25.pt;width:479.30000000000001pt;height:20.650000000000002pt;z-index:-125829329;mso-wrap-distance-left:0;mso-wrap-distance-right:0;mso-position-horizontal-relative:page" filled="f" stroked="f">
                <v:textbox inset="0,0,0,0">
                  <w:txbxContent>
                    <w:tbl>
                      <w:tblPr>
                        <w:tblOverlap w:val="never"/>
                        <w:jc w:val="left"/>
                        <w:tblLayout w:type="fixed"/>
                      </w:tblPr>
                      <w:tblGrid>
                        <w:gridCol w:w="2400"/>
                        <w:gridCol w:w="7186"/>
                      </w:tblGrid>
                      <w:tr>
                        <w:trPr>
                          <w:tblHeade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p>
                  </w:txbxContent>
                </v:textbox>
                <w10:wrap type="topAndBottom" anchorx="page"/>
              </v:shape>
            </w:pict>
          </mc:Fallback>
        </mc:AlternateContent>
      </w:r>
      <w:r>
        <w:rPr>
          <w:color w:val="000000"/>
          <w:spacing w:val="0"/>
          <w:w w:val="100"/>
          <w:position w:val="0"/>
        </w:rPr>
        <w:t>单位：元 名称</w:t>
        <w:tab/>
        <w:t>期末余额</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52,714,084.88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527,140.80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10,540,807.02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3,162,242.10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9,380,883.73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9,380,883.73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72,641,256.24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13,073,006.94</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240" w:line="240" w:lineRule="auto"/>
        <w:ind w:left="0" w:right="0" w:firstLine="0"/>
        <w:jc w:val="both"/>
      </w:pPr>
      <w:r>
        <w:rPr>
          <w:color w:val="000000"/>
          <w:spacing w:val="0"/>
          <w:w w:val="100"/>
          <w:position w:val="0"/>
        </w:rPr>
        <w:t>确定该组合依据的说明：</w:t>
      </w:r>
    </w:p>
    <w:p>
      <w:pPr>
        <w:pStyle w:val="Style35"/>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本集团根据以前年度的实际信用损失，并考虑本年的前瞻性信息进行测算，本集团按以下方法确 认预期信用减值损失：</w:t>
      </w:r>
    </w:p>
    <w:p>
      <w:pPr>
        <w:pStyle w:val="Style35"/>
        <w:keepNext w:val="0"/>
        <w:keepLines w:val="0"/>
        <w:widowControl w:val="0"/>
        <w:shd w:val="clear" w:color="auto" w:fill="auto"/>
        <w:bidi w:val="0"/>
        <w:spacing w:before="0" w:after="140" w:line="317" w:lineRule="exact"/>
        <w:ind w:left="0" w:right="0" w:firstLine="360"/>
        <w:jc w:val="left"/>
        <w:rPr>
          <w:sz w:val="22"/>
          <w:szCs w:val="22"/>
        </w:rPr>
      </w:pPr>
      <w:r>
        <w:rPr>
          <w:color w:val="000000"/>
          <w:spacing w:val="0"/>
          <w:w w:val="100"/>
          <w:position w:val="0"/>
          <w:sz w:val="22"/>
          <w:szCs w:val="22"/>
        </w:rPr>
        <w:t>（1）</w:t>
      </w:r>
      <w:r>
        <w:rPr>
          <w:color w:val="000000"/>
          <w:spacing w:val="0"/>
          <w:w w:val="100"/>
          <w:position w:val="0"/>
          <w:sz w:val="22"/>
          <w:szCs w:val="22"/>
        </w:rPr>
        <w:t>按信用风险特征组合计提损失准备的应收款项</w:t>
      </w:r>
    </w:p>
    <w:tbl>
      <w:tblPr>
        <w:tblOverlap w:val="never"/>
        <w:jc w:val="center"/>
        <w:tblLayout w:type="fixed"/>
      </w:tblPr>
      <w:tblGrid>
        <w:gridCol w:w="2957"/>
        <w:gridCol w:w="6710"/>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组合名称</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损失准备计提方法</w:t>
            </w:r>
          </w:p>
        </w:tc>
      </w:tr>
      <w:tr>
        <w:trPr>
          <w:trHeight w:val="9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sz w:val="22"/>
                <w:szCs w:val="22"/>
              </w:rPr>
              <w:t>（计算机及服务行业） 组合</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（商品批发行业）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参考历史信用损失经验，结合当前状况以及对未来经济状况的预测， 编制应收款项账龄与整个存续期预期信用损失率对照表，计算预期信 用损失。</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（备用金组合）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2"/>
                <w:szCs w:val="22"/>
              </w:rPr>
            </w:pPr>
            <w:r>
              <w:rPr>
                <w:color w:val="000000"/>
                <w:spacing w:val="0"/>
                <w:w w:val="100"/>
                <w:position w:val="0"/>
                <w:sz w:val="22"/>
                <w:szCs w:val="22"/>
              </w:rPr>
              <w:t>预期信用风险较小，不计提减值准备；当有证据表明信用风险显著增 加时，则单项认定考虑预期信用风险减值损失。</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513,934,155.85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131,961,319.25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69,797,934.90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128,778,554.04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34,837,019.14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21,650,804.30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72,290,730.60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844,471,964.04</w:t>
            </w:r>
          </w:p>
        </w:tc>
      </w:tr>
    </w:tbl>
    <w:p>
      <w:pPr>
        <w:pStyle w:val="Style28"/>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不适用</w:t>
      </w:r>
    </w:p>
    <w:p>
      <w:pPr>
        <w:pStyle w:val="Style32"/>
        <w:keepNext/>
        <w:keepLines/>
        <w:widowControl w:val="0"/>
        <w:shd w:val="clear" w:color="auto" w:fill="auto"/>
        <w:bidi w:val="0"/>
        <w:spacing w:before="0" w:after="400" w:line="240" w:lineRule="auto"/>
        <w:ind w:left="0" w:right="0" w:firstLine="0"/>
        <w:jc w:val="left"/>
      </w:pPr>
      <w:bookmarkStart w:id="1215" w:name="bookmark1215"/>
      <w:bookmarkStart w:id="1216" w:name="bookmark1216"/>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5"/>
      <w:bookmarkEnd w:id="1216"/>
      <w:bookmarkEnd w:id="121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84,337,983.86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24,482,938.52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2,767,985.32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106,033,247.06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10,123,900.75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3,427,114.82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13,073,006.94</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单项计提损失准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52,618,145.49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4,134,450.27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720,225.60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1,130,928.00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54,901,442.16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147,080,030.10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32,044,503.61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739,915.60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4,376,921.95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174,007,696.16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18"/>
      <w:bookmarkEnd w:id="1219"/>
      <w:bookmarkEnd w:id="1221"/>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1,131,274.65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石基商用信息技术有限公司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1,052,668.67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729,970.00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中国电子器件工业有限公司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478,008.63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4,376,921.95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5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382"/>
        <w:gridCol w:w="1277"/>
        <w:gridCol w:w="2693"/>
        <w:gridCol w:w="1277"/>
        <w:gridCol w:w="1354"/>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应收账款性质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履行的核销程 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咖啡陪你（上海）投</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1,052,668.67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客户已破产清算，无可执行资产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总裁办审批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常州凯纳豪生大酒 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859,737.00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客户已于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月已停止营业， 已做破产清算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总裁办审批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沈阳九龙港商业管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客户倒闭注销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总裁办审批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2,612,405.67</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10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383" w:right="1024" w:bottom="1446" w:left="1012" w:header="0" w:footer="3" w:gutter="0"/>
          <w:cols w:space="720"/>
          <w:noEndnote/>
          <w:rtlGutter w:val="0"/>
          <w:docGrid w:linePitch="360"/>
        </w:sectPr>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22"/>
      <w:bookmarkEnd w:id="1223"/>
      <w:bookmarkEnd w:id="1225"/>
    </w:p>
    <w:tbl>
      <w:tblPr>
        <w:tblOverlap w:val="never"/>
        <w:jc w:val="center"/>
        <w:tblLayout w:type="fixed"/>
      </w:tblPr>
      <w:tblGrid>
        <w:gridCol w:w="2986"/>
        <w:gridCol w:w="1987"/>
        <w:gridCol w:w="2074"/>
        <w:gridCol w:w="2539"/>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占应收账款期末余额合计</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数的比例</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广州映山信息科技有限公司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12,011,111.40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120,111.11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台山核电合营有限公司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11,871,700.66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3,012,738.42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上海富友支付服务股份有限公司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11,234,910.32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561,745.52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8,045,728.64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402,286.43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银座集团股份有限公司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7,495,189.47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1,746,529.47</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50,658,640.49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5</w:t>
      </w:r>
      <w:bookmarkEnd w:id="1228"/>
      <w:r>
        <w:rPr>
          <w:color w:val="000000"/>
          <w:spacing w:val="0"/>
          <w:w w:val="100"/>
          <w:position w:val="0"/>
        </w:rPr>
        <w:t>、应收款项融资</w:t>
      </w:r>
      <w:bookmarkEnd w:id="1226"/>
      <w:bookmarkEnd w:id="1227"/>
      <w:bookmarkEnd w:id="12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2,490,744.61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1,740,228.00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1,612,632.49</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2,490,744.61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3,352,860.49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6</w:t>
      </w:r>
      <w:bookmarkEnd w:id="1232"/>
      <w:r>
        <w:rPr>
          <w:color w:val="000000"/>
          <w:spacing w:val="0"/>
          <w:w w:val="100"/>
          <w:position w:val="0"/>
        </w:rPr>
        <w:t>、预付款项</w:t>
      </w:r>
      <w:bookmarkEnd w:id="1230"/>
      <w:bookmarkEnd w:id="1231"/>
      <w:bookmarkEnd w:id="1233"/>
    </w:p>
    <w:p>
      <w:pPr>
        <w:pStyle w:val="Style32"/>
        <w:keepNext/>
        <w:keepLines/>
        <w:widowControl w:val="0"/>
        <w:shd w:val="clear" w:color="auto" w:fill="auto"/>
        <w:bidi w:val="0"/>
        <w:spacing w:before="0" w:after="320" w:line="240" w:lineRule="auto"/>
        <w:ind w:left="0" w:right="0" w:firstLine="0"/>
        <w:jc w:val="left"/>
      </w:pPr>
      <w:bookmarkStart w:id="1230" w:name="bookmark1230"/>
      <w:bookmarkStart w:id="1231" w:name="bookmark1231"/>
      <w:bookmarkStart w:id="1234" w:name="bookmark123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30"/>
      <w:bookmarkEnd w:id="1231"/>
      <w:bookmarkEnd w:id="123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45,923,153.29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58,336,349.00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4,132,119.69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2,594,126.16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2,394,194.33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582,808.94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703,087.32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242,787.34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53,152,554.63</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61,756,071.44</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5"/>
        <w:keepNext w:val="0"/>
        <w:keepLines w:val="0"/>
        <w:widowControl w:val="0"/>
        <w:numPr>
          <w:ilvl w:val="0"/>
          <w:numId w:val="47"/>
        </w:numPr>
        <w:shd w:val="clear" w:color="auto" w:fill="auto"/>
        <w:bidi w:val="0"/>
        <w:spacing w:before="0" w:after="140" w:line="240" w:lineRule="auto"/>
        <w:ind w:left="0" w:right="0" w:firstLine="0"/>
        <w:jc w:val="left"/>
        <w:rPr>
          <w:sz w:val="22"/>
          <w:szCs w:val="22"/>
        </w:rPr>
      </w:pPr>
      <w:bookmarkStart w:id="1235" w:name="bookmark1235"/>
      <w:bookmarkEnd w:id="1235"/>
      <w:r>
        <w:rPr>
          <w:color w:val="000000"/>
          <w:spacing w:val="0"/>
          <w:w w:val="100"/>
          <w:position w:val="0"/>
          <w:sz w:val="22"/>
          <w:szCs w:val="22"/>
        </w:rPr>
        <w:t>账龄超过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年的重要预付账款</w:t>
      </w:r>
      <w:r>
        <w:br w:type="page"/>
      </w:r>
    </w:p>
    <w:tbl>
      <w:tblPr>
        <w:tblOverlap w:val="never"/>
        <w:jc w:val="left"/>
        <w:tblLayout w:type="fixed"/>
      </w:tblPr>
      <w:tblGrid>
        <w:gridCol w:w="3926"/>
        <w:gridCol w:w="2256"/>
        <w:gridCol w:w="2664"/>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年末余额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未偿还或结转的原因</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福建索信电子科技有限公司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22"/>
                <w:szCs w:val="22"/>
              </w:rPr>
            </w:pPr>
            <w:r>
              <w:rPr>
                <w:rFonts w:ascii="Times New Roman" w:eastAsia="Times New Roman" w:hAnsi="Times New Roman" w:cs="Times New Roman"/>
                <w:color w:val="000000"/>
                <w:spacing w:val="0"/>
                <w:w w:val="100"/>
                <w:position w:val="0"/>
                <w:sz w:val="22"/>
                <w:szCs w:val="22"/>
              </w:rPr>
              <w:t>4,174,171.37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项目未完工</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信鸥互联(北京)信息技术有限公司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22"/>
                <w:szCs w:val="22"/>
              </w:rPr>
            </w:pPr>
            <w:r>
              <w:rPr>
                <w:rFonts w:ascii="Times New Roman" w:eastAsia="Times New Roman" w:hAnsi="Times New Roman" w:cs="Times New Roman"/>
                <w:color w:val="000000"/>
                <w:spacing w:val="0"/>
                <w:w w:val="100"/>
                <w:position w:val="0"/>
                <w:sz w:val="22"/>
                <w:szCs w:val="22"/>
              </w:rPr>
              <w:t>1,188,690.00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项目未完工</w:t>
            </w:r>
          </w:p>
        </w:tc>
      </w:tr>
    </w:tbl>
    <w:p>
      <w:pPr>
        <w:widowControl w:val="0"/>
        <w:spacing w:after="6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0"/>
          <w:szCs w:val="20"/>
        </w:rPr>
        <w:t>)按预付对象归集的期末余额前五名的预付款情况</w:t>
      </w:r>
    </w:p>
    <w:tbl>
      <w:tblPr>
        <w:tblOverlap w:val="never"/>
        <w:jc w:val="center"/>
        <w:tblLayout w:type="fixed"/>
      </w:tblPr>
      <w:tblGrid>
        <w:gridCol w:w="3907"/>
        <w:gridCol w:w="1469"/>
        <w:gridCol w:w="2141"/>
        <w:gridCol w:w="2150"/>
      </w:tblGrid>
      <w:tr>
        <w:trPr>
          <w:trHeight w:val="65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left"/>
              <w:rPr>
                <w:sz w:val="22"/>
                <w:szCs w:val="22"/>
              </w:rPr>
            </w:pPr>
            <w:r>
              <w:rPr>
                <w:b/>
                <w:bCs/>
                <w:color w:val="000000"/>
                <w:spacing w:val="0"/>
                <w:w w:val="100"/>
                <w:position w:val="0"/>
                <w:sz w:val="22"/>
                <w:szCs w:val="22"/>
              </w:rPr>
              <w:t>年末余额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账龄</w:t>
            </w:r>
          </w:p>
        </w:tc>
        <w:tc>
          <w:tcPr>
            <w:tcBorders>
              <w:top w:val="single" w:sz="4"/>
              <w:left w:val="single" w:sz="4"/>
              <w:right w:val="single" w:sz="4"/>
            </w:tcBorders>
            <w:shd w:val="clear" w:color="auto" w:fill="D4D4D4"/>
            <w:vAlign w:val="bottom"/>
          </w:tcPr>
          <w:p>
            <w:pPr>
              <w:pStyle w:val="Style20"/>
              <w:keepNext w:val="0"/>
              <w:keepLines w:val="0"/>
              <w:widowControl w:val="0"/>
              <w:shd w:val="clear" w:color="auto" w:fill="auto"/>
              <w:bidi w:val="0"/>
              <w:spacing w:before="0" w:after="0" w:line="307" w:lineRule="exact"/>
              <w:ind w:left="0" w:right="0" w:firstLine="0"/>
              <w:jc w:val="center"/>
              <w:rPr>
                <w:sz w:val="22"/>
                <w:szCs w:val="22"/>
              </w:rPr>
            </w:pPr>
            <w:r>
              <w:rPr>
                <w:b/>
                <w:bCs/>
                <w:color w:val="000000"/>
                <w:spacing w:val="0"/>
                <w:w w:val="100"/>
                <w:position w:val="0"/>
                <w:sz w:val="22"/>
                <w:szCs w:val="22"/>
              </w:rPr>
              <w:t>占预付款项年末余额 合计数的比例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Autone International (HK)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7,717,330.50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22"/>
                <w:szCs w:val="22"/>
              </w:rPr>
            </w:pPr>
            <w:r>
              <w:rPr>
                <w:rFonts w:ascii="Times New Roman" w:eastAsia="Times New Roman" w:hAnsi="Times New Roman" w:cs="Times New Roman"/>
                <w:color w:val="000000"/>
                <w:spacing w:val="0"/>
                <w:w w:val="100"/>
                <w:position w:val="0"/>
                <w:sz w:val="22"/>
                <w:szCs w:val="22"/>
              </w:rPr>
              <w:t>14.52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KUAJING.HK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5,525,894.06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22"/>
                <w:szCs w:val="22"/>
              </w:rPr>
            </w:pPr>
            <w:r>
              <w:rPr>
                <w:rFonts w:ascii="Times New Roman" w:eastAsia="Times New Roman" w:hAnsi="Times New Roman" w:cs="Times New Roman"/>
                <w:color w:val="000000"/>
                <w:spacing w:val="0"/>
                <w:w w:val="100"/>
                <w:position w:val="0"/>
                <w:sz w:val="22"/>
                <w:szCs w:val="22"/>
              </w:rPr>
              <w:t>10.40</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福建索信电子科技有限公司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4,174,171.37</w:t>
            </w:r>
          </w:p>
        </w:tc>
        <w:tc>
          <w:tcPr>
            <w:tcBorders>
              <w:top w:val="single" w:sz="4"/>
              <w:left w:val="single" w:sz="4"/>
            </w:tcBorders>
            <w:shd w:val="clear" w:color="auto" w:fill="FFFFFF"/>
            <w:vAlign w:val="bottom"/>
          </w:tcPr>
          <w:p>
            <w:pPr>
              <w:pStyle w:val="Style20"/>
              <w:keepNext w:val="0"/>
              <w:keepLines w:val="0"/>
              <w:widowControl w:val="0"/>
              <w:numPr>
                <w:ilvl w:val="0"/>
                <w:numId w:val="49"/>
              </w:numPr>
              <w:shd w:val="clear" w:color="auto" w:fill="auto"/>
              <w:tabs>
                <w:tab w:pos="158" w:val="left"/>
              </w:tabs>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2,406,017.22</w:t>
            </w:r>
            <w:r>
              <w:rPr>
                <w:color w:val="000000"/>
                <w:spacing w:val="0"/>
                <w:w w:val="100"/>
                <w:position w:val="0"/>
                <w:sz w:val="22"/>
                <w:szCs w:val="22"/>
              </w:rPr>
              <w:t>元</w:t>
            </w:r>
            <w:r>
              <w:rPr>
                <w:color w:val="000000"/>
                <w:spacing w:val="0"/>
                <w:w w:val="100"/>
                <w:position w:val="0"/>
                <w:sz w:val="22"/>
                <w:szCs w:val="22"/>
              </w:rPr>
              <w:t>，</w:t>
            </w:r>
          </w:p>
          <w:p>
            <w:pPr>
              <w:pStyle w:val="Style20"/>
              <w:keepNext w:val="0"/>
              <w:keepLines w:val="0"/>
              <w:widowControl w:val="0"/>
              <w:numPr>
                <w:ilvl w:val="0"/>
                <w:numId w:val="49"/>
              </w:numPr>
              <w:shd w:val="clear" w:color="auto" w:fill="auto"/>
              <w:tabs>
                <w:tab w:pos="187" w:val="left"/>
              </w:tabs>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2"/>
                <w:szCs w:val="22"/>
              </w:rPr>
              <w:t xml:space="preserve">1,768,154.15 </w:t>
            </w:r>
            <w:r>
              <w:rPr>
                <w:color w:val="000000"/>
                <w:spacing w:val="0"/>
                <w:w w:val="100"/>
                <w:position w:val="0"/>
                <w:sz w:val="22"/>
                <w:szCs w:val="22"/>
              </w:rPr>
              <w:t>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both"/>
              <w:rPr>
                <w:sz w:val="22"/>
                <w:szCs w:val="22"/>
              </w:rPr>
            </w:pPr>
            <w:r>
              <w:rPr>
                <w:rFonts w:ascii="Times New Roman" w:eastAsia="Times New Roman" w:hAnsi="Times New Roman" w:cs="Times New Roman"/>
                <w:color w:val="000000"/>
                <w:spacing w:val="0"/>
                <w:w w:val="100"/>
                <w:position w:val="0"/>
                <w:sz w:val="22"/>
                <w:szCs w:val="22"/>
              </w:rPr>
              <w:t>7.85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深圳彩通科技有限公司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3,853,926.56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rPr>
                <w:sz w:val="22"/>
                <w:szCs w:val="22"/>
              </w:rPr>
            </w:pPr>
            <w:r>
              <w:rPr>
                <w:rFonts w:ascii="Times New Roman" w:eastAsia="Times New Roman" w:hAnsi="Times New Roman" w:cs="Times New Roman"/>
                <w:color w:val="000000"/>
                <w:spacing w:val="0"/>
                <w:w w:val="100"/>
                <w:position w:val="0"/>
                <w:sz w:val="22"/>
                <w:szCs w:val="22"/>
              </w:rPr>
              <w:t>7.25</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SILVER ELECTRONICS TECHNOLOGY LIMITED.</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2,894,377.20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740" w:right="0" w:firstLine="0"/>
              <w:jc w:val="both"/>
              <w:rPr>
                <w:sz w:val="22"/>
                <w:szCs w:val="22"/>
              </w:rPr>
            </w:pPr>
            <w:r>
              <w:rPr>
                <w:rFonts w:ascii="Times New Roman" w:eastAsia="Times New Roman" w:hAnsi="Times New Roman" w:cs="Times New Roman"/>
                <w:color w:val="000000"/>
                <w:spacing w:val="0"/>
                <w:w w:val="100"/>
                <w:position w:val="0"/>
                <w:sz w:val="22"/>
                <w:szCs w:val="22"/>
              </w:rPr>
              <w:t>5.45</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22"/>
                <w:szCs w:val="22"/>
              </w:rPr>
            </w:pPr>
            <w:r>
              <w:rPr>
                <w:rFonts w:ascii="Times New Roman" w:eastAsia="Times New Roman" w:hAnsi="Times New Roman" w:cs="Times New Roman"/>
                <w:b/>
                <w:bCs/>
                <w:color w:val="000000"/>
                <w:spacing w:val="0"/>
                <w:w w:val="100"/>
                <w:position w:val="0"/>
                <w:sz w:val="22"/>
                <w:szCs w:val="22"/>
              </w:rPr>
              <w:t>24,165,699.69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一</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22"/>
                <w:szCs w:val="22"/>
              </w:rPr>
            </w:pPr>
            <w:r>
              <w:rPr>
                <w:rFonts w:ascii="Times New Roman" w:eastAsia="Times New Roman" w:hAnsi="Times New Roman" w:cs="Times New Roman"/>
                <w:b/>
                <w:bCs/>
                <w:color w:val="000000"/>
                <w:spacing w:val="0"/>
                <w:w w:val="100"/>
                <w:position w:val="0"/>
                <w:sz w:val="22"/>
                <w:szCs w:val="22"/>
              </w:rPr>
              <w:t>45.47</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5"/>
        <w:keepNext w:val="0"/>
        <w:keepLines w:val="0"/>
        <w:widowControl w:val="0"/>
        <w:shd w:val="clear" w:color="auto" w:fill="auto"/>
        <w:bidi w:val="0"/>
        <w:spacing w:before="0" w:after="360" w:line="240" w:lineRule="auto"/>
        <w:ind w:left="0" w:right="0" w:firstLine="0"/>
        <w:jc w:val="left"/>
      </w:pPr>
      <w:bookmarkStart w:id="1236" w:name="bookmark1236"/>
      <w:r>
        <w:rPr>
          <w:rFonts w:ascii="Times New Roman" w:eastAsia="Times New Roman" w:hAnsi="Times New Roman" w:cs="Times New Roman"/>
          <w:b/>
          <w:bCs/>
          <w:color w:val="000000"/>
          <w:spacing w:val="0"/>
          <w:w w:val="100"/>
          <w:position w:val="0"/>
        </w:rPr>
        <w:t>7</w:t>
      </w:r>
      <w:bookmarkEnd w:id="1236"/>
      <w:r>
        <w:rPr>
          <w:b/>
          <w:bCs/>
          <w:color w:val="000000"/>
          <w:spacing w:val="0"/>
          <w:w w:val="100"/>
          <w:position w:val="0"/>
        </w:rPr>
        <w:t>、其他应收款</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37,734,431.95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118,501,059.86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67,406,070.34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75,387,426.35</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105,140,502.29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193,888,486.21</w:t>
            </w:r>
          </w:p>
        </w:tc>
      </w:tr>
    </w:tbl>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)应收利息</w:t>
      </w:r>
    </w:p>
    <w:p>
      <w:pPr>
        <w:widowControl w:val="0"/>
        <w:spacing w:after="359" w:line="1" w:lineRule="exact"/>
      </w:pPr>
    </w:p>
    <w:p>
      <w:pPr>
        <w:pStyle w:val="Style35"/>
        <w:keepNext w:val="0"/>
        <w:keepLines w:val="0"/>
        <w:widowControl w:val="0"/>
        <w:numPr>
          <w:ilvl w:val="0"/>
          <w:numId w:val="51"/>
        </w:numPr>
        <w:shd w:val="clear" w:color="auto" w:fill="auto"/>
        <w:bidi w:val="0"/>
        <w:spacing w:before="0" w:after="360" w:line="240" w:lineRule="auto"/>
        <w:ind w:left="0" w:right="0" w:firstLine="0"/>
        <w:jc w:val="left"/>
      </w:pPr>
      <w:bookmarkStart w:id="1237" w:name="bookmark1237"/>
      <w:bookmarkEnd w:id="1237"/>
      <w:r>
        <w:rPr>
          <w:b/>
          <w:bCs/>
          <w:color w:val="000000"/>
          <w:spacing w:val="0"/>
          <w:w w:val="100"/>
          <w:position w:val="0"/>
        </w:rPr>
        <w:t>应收利息分类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37,734,431.95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116,708,816.62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1,792,243.24</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37,734,431.95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118,501,059.86</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)坏账准备计提情况</w:t>
      </w:r>
    </w:p>
    <w:p>
      <w:pPr>
        <w:widowControl w:val="0"/>
        <w:spacing w:after="359" w:line="1" w:lineRule="exact"/>
      </w:pP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38"/>
      <w:bookmarkEnd w:id="1239"/>
      <w:bookmarkEnd w:id="1240"/>
    </w:p>
    <w:p>
      <w:pPr>
        <w:pStyle w:val="Style32"/>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color w:val="000000"/>
          <w:spacing w:val="0"/>
          <w:w w:val="100"/>
          <w:position w:val="0"/>
        </w:rPr>
        <w:t>）其他应收款按款项性质分类情况</w:t>
      </w:r>
      <w:bookmarkEnd w:id="1238"/>
      <w:bookmarkEnd w:id="1239"/>
      <w:bookmarkEnd w:id="124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16,816,050.64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41,533,618.75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28,007,292.84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22,796,175.63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25,198,818.67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18,057,441.38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14,538,064.09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20,564,738.99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支付业务备付金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12,505,779.40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97,066,005.64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102,951,974.75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color w:val="000000"/>
          <w:spacing w:val="0"/>
          <w:w w:val="100"/>
          <w:position w:val="0"/>
        </w:rPr>
        <w:t>）坏账准备计提情况</w:t>
      </w:r>
      <w:bookmarkEnd w:id="1243"/>
      <w:bookmarkEnd w:id="1244"/>
      <w:bookmarkEnd w:id="124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10,806,709.08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16,757,839.32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27,564,548.40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2,440,263.51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2,649,365.85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5,089,629.36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2,380,839.29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2,380,839.29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613,403.17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613,403.17</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12,633,569.42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17,026,365.88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29,659,935.30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59,825,658.14</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9,371,445.81</w:t>
            </w:r>
          </w:p>
        </w:tc>
      </w:tr>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4,884,784.55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22,984,117.14</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3,109,198.48</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3,640,657.60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16,234,261.06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97,066,005.64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bookmarkEnd w:id="1249"/>
      <w:r>
        <w:rPr>
          <w:color w:val="000000"/>
          <w:spacing w:val="0"/>
          <w:w w:val="100"/>
          <w:position w:val="0"/>
        </w:rPr>
        <w:t>）本期计提、收回或转回的坏账准备情况</w:t>
      </w:r>
      <w:bookmarkEnd w:id="1247"/>
      <w:bookmarkEnd w:id="1248"/>
      <w:bookmarkEnd w:id="125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702"/>
        <w:gridCol w:w="1277"/>
        <w:gridCol w:w="1272"/>
        <w:gridCol w:w="1421"/>
        <w:gridCol w:w="1133"/>
        <w:gridCol w:w="566"/>
        <w:gridCol w:w="1214"/>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计算机应用及服务行业按账龄分 析法计提损失准备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6,842,979.39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2,149,026.49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613,403.17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8,378,602.71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商品批发行业按账龄分析法计提 损失准备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3,963,729.69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291,237.02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4,254,966.71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单项计提损失准备的其他应收款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16,757,839.32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2,649,365.85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2,380,839.29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17,026,365.88</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27,564,548.40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5,089,629.36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2,380,839.29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613,403.17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29,659,935.30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4</w:t>
      </w:r>
      <w:bookmarkEnd w:id="1253"/>
      <w:r>
        <w:rPr>
          <w:color w:val="000000"/>
          <w:spacing w:val="0"/>
          <w:w w:val="100"/>
          <w:position w:val="0"/>
        </w:rPr>
        <w:t>）本期实际核销的其他应收款情况</w:t>
      </w:r>
      <w:bookmarkEnd w:id="1251"/>
      <w:bookmarkEnd w:id="1252"/>
      <w:bookmarkEnd w:id="125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北京银科环企软件科技有限公司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493,393.66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苏州博软智能科技有限公司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57,338.11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GLT SDN.BHD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18,963.90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43,707.50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5</w:t>
      </w:r>
      <w:bookmarkEnd w:id="1257"/>
      <w:r>
        <w:rPr>
          <w:color w:val="000000"/>
          <w:spacing w:val="0"/>
          <w:w w:val="100"/>
          <w:position w:val="0"/>
        </w:rPr>
        <w:t>）按欠款方归集的期末余额前五名的其他应收款情况</w:t>
      </w:r>
      <w:bookmarkEnd w:id="1255"/>
      <w:bookmarkEnd w:id="1256"/>
      <w:bookmarkEnd w:id="125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14,538,064.09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20"/>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14,363,012.49 </w:t>
            </w:r>
            <w:r>
              <w:rPr>
                <w:color w:val="000000"/>
                <w:spacing w:val="0"/>
                <w:w w:val="100"/>
                <w:position w:val="0"/>
                <w:sz w:val="17"/>
                <w:szCs w:val="17"/>
              </w:rPr>
              <w:t>元；</w:t>
            </w:r>
          </w:p>
          <w:p>
            <w:pPr>
              <w:pStyle w:val="Style20"/>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175,051.60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698,003.40</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深圳市垅运照明电</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器有限公司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中国银联股份有限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艾欧史密斯（中国） 环境电器有限公司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南京易才人力资源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870,259.03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43,512.95</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20,408,323.12</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4,551,516.35</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6</w:t>
      </w:r>
      <w:bookmarkEnd w:id="1261"/>
      <w:r>
        <w:rPr>
          <w:color w:val="000000"/>
          <w:spacing w:val="0"/>
          <w:w w:val="100"/>
          <w:position w:val="0"/>
        </w:rPr>
        <w:t>）涉及政府补助的应收款项</w:t>
      </w:r>
      <w:bookmarkEnd w:id="1259"/>
      <w:bookmarkEnd w:id="1260"/>
      <w:bookmarkEnd w:id="12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5"/>
        <w:gridCol w:w="950"/>
        <w:gridCol w:w="1272"/>
        <w:gridCol w:w="1915"/>
        <w:gridCol w:w="4224"/>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政府补助 项目名称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预计收取的时间、金额及依据</w:t>
            </w:r>
          </w:p>
        </w:tc>
      </w:tr>
      <w:tr>
        <w:trPr>
          <w:trHeight w:val="22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软件行业 增值税即 征即退税 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14,538,064.09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14,363,012.49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175,051.60 </w:t>
            </w:r>
            <w:r>
              <w:rPr>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预计收取时间：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日之前，金额： </w:t>
            </w:r>
            <w:r>
              <w:rPr>
                <w:rFonts w:ascii="Times New Roman" w:eastAsia="Times New Roman" w:hAnsi="Times New Roman" w:cs="Times New Roman"/>
                <w:color w:val="000000"/>
                <w:spacing w:val="0"/>
                <w:w w:val="100"/>
                <w:position w:val="0"/>
                <w:sz w:val="18"/>
                <w:szCs w:val="18"/>
              </w:rPr>
              <w:t>14,538,064.09</w:t>
            </w:r>
            <w:r>
              <w:rPr>
                <w:color w:val="000000"/>
                <w:spacing w:val="0"/>
                <w:w w:val="100"/>
                <w:position w:val="0"/>
                <w:sz w:val="17"/>
                <w:szCs w:val="17"/>
              </w:rPr>
              <w:t>元。依据：增值税返还系公司根据国务 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国发</w:t>
            </w:r>
            <w:r>
              <w:rPr>
                <w:rFonts w:ascii="Times New Roman" w:eastAsia="Times New Roman" w:hAnsi="Times New Roman" w:cs="Times New Roman"/>
                <w:color w:val="000000"/>
                <w:spacing w:val="0"/>
                <w:w w:val="100"/>
                <w:position w:val="0"/>
                <w:sz w:val="18"/>
                <w:szCs w:val="18"/>
              </w:rPr>
              <w:t>[20</w:t>
            </w:r>
            <w:r>
              <w:rPr>
                <w:rFonts w:ascii="Times New Roman" w:eastAsia="Times New Roman" w:hAnsi="Times New Roman" w:cs="Times New Roman"/>
                <w:color w:val="000000"/>
                <w:spacing w:val="0"/>
                <w:w w:val="100"/>
                <w:position w:val="0"/>
                <w:sz w:val="18"/>
                <w:szCs w:val="18"/>
              </w:rPr>
              <w:t>00]18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《鼓励软件产业和集成电路产业 发展的若干政策》及''国发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《关于印发进一 步鼓励软件产业和集成电路产业发展若干政策的通 知》的规定，报告期内应收到的自行开发软件销售增 值税退税收入。</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8</w:t>
      </w:r>
      <w:bookmarkEnd w:id="1265"/>
      <w:r>
        <w:rPr>
          <w:color w:val="000000"/>
          <w:spacing w:val="0"/>
          <w:w w:val="100"/>
          <w:position w:val="0"/>
        </w:rPr>
        <w:t>、存货</w:t>
      </w:r>
      <w:bookmarkEnd w:id="1263"/>
      <w:bookmarkEnd w:id="1264"/>
      <w:bookmarkEnd w:id="1266"/>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67"/>
      <w:bookmarkEnd w:id="1268"/>
      <w:bookmarkEnd w:id="1269"/>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23,266,488.36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2,577,497.28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20,688,991.08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31,438,346.44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687,374.59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30,750,971.85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192,915,130.87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20,788,097.76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172,127,033.11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193,157,275.18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14,260,296.05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178,896,979.13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4,752.81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89,047,247.16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88,974,124.90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129,472,745.71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129,411,800.73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在建系统集成项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35,700,585.74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33,543,779.44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38,788,175.20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2,920,388.20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35,867,787.00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3,539,055.25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3,539,055.25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7,526,010.96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7,526,010.96</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出租资产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32,569.89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344,508,008.19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25,595,523.60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318,912,484.59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400,387,306.30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17,929,003.82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382,458,302.48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70"/>
      <w:bookmarkEnd w:id="1271"/>
      <w:bookmarkEnd w:id="12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转回或转销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687,374.59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1,897,014.53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2,577,497.28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14,260,296.05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8,053,080.23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1,525,278.52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20,788,097.76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在建系统集成项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2,920,388.20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1,178,264.96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1,941,846.86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2,156,806.30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60,944.98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73,122.26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17,929,003.82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11,187,784.67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3,521,264.89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25,595,523.60</w:t>
            </w:r>
          </w:p>
        </w:tc>
      </w:tr>
    </w:tbl>
    <w:p>
      <w:pPr>
        <w:widowControl w:val="0"/>
        <w:spacing w:after="259" w:line="1" w:lineRule="exact"/>
      </w:pPr>
    </w:p>
    <w:p>
      <w:pPr>
        <w:pStyle w:val="Style35"/>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rPr>
        <w:t>存货跌价准备计提</w:t>
      </w:r>
    </w:p>
    <w:tbl>
      <w:tblPr>
        <w:tblOverlap w:val="never"/>
        <w:jc w:val="left"/>
        <w:tblLayout w:type="fixed"/>
      </w:tblPr>
      <w:tblGrid>
        <w:gridCol w:w="2482"/>
        <w:gridCol w:w="4138"/>
        <w:gridCol w:w="2246"/>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确定可变现净值的具体依据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本年转回或转销原因</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估计售价减去预计的销售费用及相关税费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对外销售</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在建系统集成项目成本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项目预计收益扣除项目预计成本及费用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对外销售</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发出商品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估计售价减去预计的销售费用及相关税费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对外销售</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9</w:t>
      </w:r>
      <w:bookmarkEnd w:id="1275"/>
      <w:r>
        <w:rPr>
          <w:color w:val="000000"/>
          <w:spacing w:val="0"/>
          <w:w w:val="100"/>
          <w:position w:val="0"/>
        </w:rPr>
        <w:t>、其他流动资产</w:t>
      </w:r>
      <w:bookmarkEnd w:id="1273"/>
      <w:bookmarkEnd w:id="1274"/>
      <w:bookmarkEnd w:id="127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13,211,657.75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17,116,089.03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13,050,469.84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留抵进项税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9,559,625.80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12,053,574.16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4,666,671.90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6,991,708.52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2,600,096.30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1,543,446.71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1,854,701.05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11,856,774.70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502,259.47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预缴附加税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54,050,257.19</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预缴职业税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12,040.50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45,488,256.61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104,125,590.22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277"/>
      <w:bookmarkEnd w:id="1278"/>
      <w:bookmarkEnd w:id="1280"/>
    </w:p>
    <w:p>
      <w:pPr>
        <w:pStyle w:val="Style32"/>
        <w:keepNext/>
        <w:keepLines/>
        <w:widowControl w:val="0"/>
        <w:shd w:val="clear" w:color="auto" w:fill="auto"/>
        <w:bidi w:val="0"/>
        <w:spacing w:before="0" w:after="380" w:line="240" w:lineRule="auto"/>
        <w:ind w:left="0" w:right="0" w:firstLine="0"/>
        <w:jc w:val="both"/>
      </w:pPr>
      <w:bookmarkStart w:id="1277" w:name="bookmark1277"/>
      <w:bookmarkStart w:id="1278" w:name="bookmark1278"/>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7"/>
      <w:bookmarkEnd w:id="1278"/>
      <w:bookmarkEnd w:id="128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预付购房款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长期担保办公室 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923,691.84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923,691.84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239,702.81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239,702.81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31,163,394.65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1,537,000.00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29,626,394.65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1,537,000.00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1,537,000.00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282"/>
      <w:bookmarkEnd w:id="1283"/>
      <w:bookmarkEnd w:id="1285"/>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被投资单 位</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期初余额</w:t>
            </w:r>
          </w:p>
          <w:p>
            <w:pPr>
              <w:pStyle w:val="Style20"/>
              <w:keepNext w:val="0"/>
              <w:keepLines w:val="0"/>
              <w:widowControl w:val="0"/>
              <w:shd w:val="clear" w:color="auto" w:fill="auto"/>
              <w:bidi w:val="0"/>
              <w:spacing w:before="0" w:after="0" w:line="317"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账面价 值</w:t>
            </w:r>
            <w:r>
              <w:rPr>
                <w:color w:val="000000"/>
                <w:spacing w:val="0"/>
                <w:w w:val="100"/>
                <w:position w:val="0"/>
                <w:sz w:val="16"/>
                <w:szCs w:val="16"/>
              </w:rPr>
              <w:t>）</w:t>
            </w:r>
          </w:p>
        </w:tc>
        <w:tc>
          <w:tcPr>
            <w:gridSpan w:val="8"/>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期末余额</w:t>
            </w:r>
          </w:p>
          <w:p>
            <w:pPr>
              <w:pStyle w:val="Style20"/>
              <w:keepNext w:val="0"/>
              <w:keepLines w:val="0"/>
              <w:widowControl w:val="0"/>
              <w:shd w:val="clear" w:color="auto" w:fill="auto"/>
              <w:bidi w:val="0"/>
              <w:spacing w:before="0" w:after="0" w:line="317"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账面价 值</w:t>
            </w:r>
            <w:r>
              <w:rPr>
                <w:color w:val="000000"/>
                <w:spacing w:val="0"/>
                <w:w w:val="100"/>
                <w:position w:val="0"/>
                <w:sz w:val="16"/>
                <w:szCs w:val="16"/>
              </w:rPr>
              <w:t>）</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减值准备 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追加投资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减少投资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权益法下 确认的投 资损益</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其他综合 收益调整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其他权益 变动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宣告发放 现金股利 或利润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计提减值 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二、联营企业</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浙江未来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4,534,107.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-4,534,107.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酒店网络 技术有限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迅付信息 科技有限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24,133,093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9,667,635.</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921,593.53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34,722,322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追溯云信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息发展股 份有限公</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102,246,08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1,098,574.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103,344,65</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5.26</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上海鸿鹊 信息科技</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6,123,636.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-329,636.2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6,135,055.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341,055.56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北京拓易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科技有限</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9,067,183.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1,005,553.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10,438,263</w:t>
            </w: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365,527.20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科传计算 机科技控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122,299,73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1,957,690.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-1,680,331.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114,387,09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股有限公</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4.03</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Kalibri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60,713,802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-4,848,223.</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-86,156.35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55,779,423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Labs LLC</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w:t>
            </w: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北京科码 先锋互联 网技术股</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50,000,000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2,688,060.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52,688,060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份有限公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4D4D4"/>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329,117,63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6,065,522.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-844,894.4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1,346,608.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377,494,87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8.50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4.96</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4D4D4"/>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329,117,63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6,065,522.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-844,894.4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1,346,608.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377,494,87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8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8.50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4.96</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19" w:line="1" w:lineRule="exact"/>
      </w:pPr>
    </w:p>
    <w:p>
      <w:pPr>
        <w:pStyle w:val="Style32"/>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286"/>
      <w:bookmarkEnd w:id="1287"/>
      <w:bookmarkEnd w:id="12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其中：按成本计量的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3,978,923.31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3,259,166.95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3,978,923.31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3,259,166.95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2"/>
        <w:keepNext/>
        <w:keepLines/>
        <w:widowControl w:val="0"/>
        <w:numPr>
          <w:ilvl w:val="0"/>
          <w:numId w:val="53"/>
        </w:numPr>
        <w:shd w:val="clear" w:color="auto" w:fill="auto"/>
        <w:bidi w:val="0"/>
        <w:spacing w:before="0" w:after="120" w:line="240" w:lineRule="auto"/>
        <w:ind w:left="0" w:right="0" w:firstLine="0"/>
        <w:jc w:val="left"/>
        <w:rPr>
          <w:sz w:val="22"/>
          <w:szCs w:val="22"/>
        </w:rPr>
      </w:pPr>
      <w:bookmarkStart w:id="1290" w:name="bookmark1290"/>
      <w:bookmarkStart w:id="1291" w:name="bookmark1291"/>
      <w:bookmarkStart w:id="1292" w:name="bookmark1292"/>
      <w:bookmarkStart w:id="1293" w:name="bookmark1293"/>
      <w:bookmarkEnd w:id="1292"/>
      <w:r>
        <w:rPr>
          <w:b w:val="0"/>
          <w:bCs w:val="0"/>
          <w:color w:val="000000"/>
          <w:spacing w:val="0"/>
          <w:w w:val="100"/>
          <w:position w:val="0"/>
          <w:sz w:val="22"/>
          <w:szCs w:val="22"/>
        </w:rPr>
        <w:t>年末重要股权投资</w:t>
      </w:r>
      <w:bookmarkEnd w:id="1290"/>
      <w:bookmarkEnd w:id="1291"/>
      <w:bookmarkEnd w:id="1293"/>
    </w:p>
    <w:tbl>
      <w:tblPr>
        <w:tblOverlap w:val="never"/>
        <w:jc w:val="center"/>
        <w:tblLayout w:type="fixed"/>
      </w:tblPr>
      <w:tblGrid>
        <w:gridCol w:w="888"/>
        <w:gridCol w:w="1104"/>
        <w:gridCol w:w="850"/>
        <w:gridCol w:w="994"/>
        <w:gridCol w:w="1138"/>
        <w:gridCol w:w="989"/>
        <w:gridCol w:w="427"/>
        <w:gridCol w:w="850"/>
        <w:gridCol w:w="994"/>
        <w:gridCol w:w="850"/>
        <w:gridCol w:w="576"/>
      </w:tblGrid>
      <w:tr>
        <w:trPr>
          <w:trHeight w:val="346"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被投资单 位</w:t>
            </w:r>
          </w:p>
        </w:tc>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减值准备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b/>
                <w:bCs/>
                <w:color w:val="000000"/>
                <w:spacing w:val="0"/>
                <w:w w:val="100"/>
                <w:position w:val="0"/>
                <w:sz w:val="17"/>
                <w:szCs w:val="17"/>
              </w:rPr>
              <w:t>在被投资 单位持股 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本年现</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金红利</w:t>
            </w:r>
          </w:p>
        </w:tc>
      </w:tr>
      <w:tr>
        <w:trPr>
          <w:trHeight w:val="65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年初金额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本年增加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本年减少</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年末金额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年初金额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本年</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增加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本年减少</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年末金额</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汕头华汕 电子器件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3,759,690.85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3,759,690.85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2,547,720.70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2,547,720.70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深圳京宝 实业有限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5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天津市房 地产发展</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（集团）股 份有限公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166,707.61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166,707.61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166,707.61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166,707.61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Techtalk.tr</w:t>
            </w:r>
            <w:r>
              <w:rPr>
                <w:rFonts w:ascii="Times New Roman" w:eastAsia="Times New Roman" w:hAnsi="Times New Roman" w:cs="Times New Roman"/>
                <w:color w:val="000000"/>
                <w:spacing w:val="0"/>
                <w:w w:val="100"/>
                <w:position w:val="0"/>
                <w:sz w:val="18"/>
                <w:szCs w:val="18"/>
              </w:rPr>
              <w:t xml:space="preserve"> avel GmbH</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2,047,196.80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719,756.36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2,766,953.16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央联一家 （北京）电 子商务有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7,173,595.26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719,756.36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6,993,351.62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3,914,428.31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3,014,428.31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0.00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294"/>
      <w:bookmarkEnd w:id="1295"/>
      <w:bookmarkEnd w:id="1297"/>
    </w:p>
    <w:p>
      <w:pPr>
        <w:pStyle w:val="Style32"/>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94"/>
      <w:bookmarkEnd w:id="1295"/>
      <w:bookmarkEnd w:id="1298"/>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67,196,927.16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20,599,893.49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87,796,820.65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190,983.73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190,983.73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190,983.73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190,983.73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67,005,943.43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20,599,893.49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87,605,836.92</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26,968,441.14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8,744,693.51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35,713,134.65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2,956,079.81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4,360,420.20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2,956,079.81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4,360,420.20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101,554.51</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101,554.51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29,822,966.44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10,149,033.90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39,972,000.34</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37,182,976.99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10,450,859.59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47,633,836.58</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40,228,486.02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11,855,199.98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52,083,686.00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99"/>
      <w:bookmarkEnd w:id="1300"/>
      <w:bookmarkEnd w:id="1301"/>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2"/>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302"/>
      <w:bookmarkEnd w:id="1303"/>
      <w:bookmarkEnd w:id="130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301,956,677.50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314,750,501.46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301,956,677.50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314,750,501.46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06"/>
      <w:bookmarkEnd w:id="1307"/>
      <w:bookmarkEnd w:id="130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机器设备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模具、仪器仪 表</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419,495,000.74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9,896,282.04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78,666,438.65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39,723,041.62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5,383,063.06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15,459,844.34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568,623,670.45</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14,069,189.38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846,051.59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3,885,522.92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1,224,023.72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154,193.71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1,766,779.85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21,945,761.17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846,051.59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3,885,522.92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1,063,951.64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154,193.71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204,477.27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6,154,197.13</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 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14,069,189.38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160,072.08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1,562,302.58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15,791,564.04</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2,321,478.62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608,198.76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9,255,780.46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1,360,783.73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361,582.31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576,998.19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14,484,822.07</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1,798,502.81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582,162.12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6,646,493.75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1,360,783.73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361,582.31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576,998.19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11,326,522.91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）汇率变动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522,975.81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2,609,286.71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3,158,299.16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431,242,711.50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10,134,134.87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73,296,181.11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39,586,281.61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5,175,674.46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16,649,626.00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576,084,609.55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146,813,241.16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8,045,025.97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49,103,477.68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34,620,027.33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5,086,364.06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9,452,898.68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253,121,034.88</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18,128,248.71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581,665.83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7,217,594.92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1,926,914.33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3,334,532.16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31,285,927.84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18,128,248.71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581,665.83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7,217,594.92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1,926,914.33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3,334,532.16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31,285,927.84</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1,809,590.49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427,708.18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6,790,198.05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1,224,314.69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317,701.14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448,361.82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11,017,874.37</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1,621,319.25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405,878.03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4,643,897.18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1,224,314.69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317,701.14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448,361.82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8,661,472.11</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)汇率变动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2,146,300.87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2,356,402.26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163,131,899.38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8,198,983.62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49,530,874.55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35,322,626.97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4,865,634.81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12,339,069.02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273,389,088.35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59,460.72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150,237.12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450,613.36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752,134.11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13,290.41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13,290.41</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59,460.72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150,237.12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437,322.95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738,843.70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268,051,351.40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1,784,914.13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23,673,483.65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3,826,331.69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310,039.65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4,310,556.98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301,956,677.50</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272,622,298.86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1,701,018.95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29,471,138.06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4,652,400.93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296,699.00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6,006,945.66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314,750,501.46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309"/>
      <w:bookmarkEnd w:id="1310"/>
      <w:bookmarkEnd w:id="131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北海客户技术支持服务中心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4,696,823.35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一、二期同时申请，目前二期尚未施工， 故未能取得房产证</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恒生科技园</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33,511,049.53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目前正在办理</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312"/>
      <w:bookmarkEnd w:id="1313"/>
      <w:bookmarkEnd w:id="131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125,554,516.83</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125,554,516.83</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16"/>
      <w:bookmarkEnd w:id="1317"/>
      <w:bookmarkEnd w:id="13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芯城科技园工程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13,203,271.93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13,203,271.93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模具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2,317,853.52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2,317,853.52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826,038.59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826,038.59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办公楼改造项目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142,181,903.81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142,181,903.81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111,525,206.31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111,525,206.31</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144,499,757.33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125,554,516.83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125,554,516.83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19"/>
      <w:bookmarkEnd w:id="1320"/>
      <w:bookmarkEnd w:id="13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本期增 加金额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本期转</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资金来 源</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芯城科 技园工 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13,418,0</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13,203,2</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13,312,0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模具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826,038.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3,054,11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2,317,85</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办公楼 改造项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111,525,</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31,573,8</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917,177.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142,181,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233,418,</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068.93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125,554,</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34,736,8</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15,791,5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757.33</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numPr>
          <w:ilvl w:val="0"/>
          <w:numId w:val="55"/>
        </w:numPr>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本期计提在建工程减值准备情况</w:t>
      </w:r>
      <w:bookmarkEnd w:id="1322"/>
      <w:bookmarkEnd w:id="1323"/>
      <w:bookmarkEnd w:id="13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79" w:line="1" w:lineRule="exact"/>
      </w:pP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20" w:line="310" w:lineRule="exact"/>
        <w:ind w:left="0" w:right="0" w:firstLine="460"/>
        <w:jc w:val="both"/>
        <w:rPr>
          <w:sz w:val="22"/>
          <w:szCs w:val="22"/>
        </w:rPr>
      </w:pPr>
      <w:r>
        <w:rPr>
          <w:color w:val="000000"/>
          <w:spacing w:val="0"/>
          <w:w w:val="100"/>
          <w:position w:val="0"/>
          <w:sz w:val="22"/>
          <w:szCs w:val="22"/>
        </w:rPr>
        <w:t>注：芯城科技园工程系从长沙高新开发区迪内斯电子科技发展有限公司购入，坐落于长沙市岳麓 区麓西大道</w:t>
      </w:r>
      <w:r>
        <w:rPr>
          <w:rFonts w:ascii="Times New Roman" w:eastAsia="Times New Roman" w:hAnsi="Times New Roman" w:cs="Times New Roman"/>
          <w:color w:val="000000"/>
          <w:spacing w:val="0"/>
          <w:w w:val="100"/>
          <w:position w:val="0"/>
          <w:sz w:val="22"/>
          <w:szCs w:val="22"/>
        </w:rPr>
        <w:t>588</w:t>
      </w:r>
      <w:r>
        <w:rPr>
          <w:color w:val="000000"/>
          <w:spacing w:val="0"/>
          <w:w w:val="100"/>
          <w:position w:val="0"/>
          <w:sz w:val="22"/>
          <w:szCs w:val="22"/>
        </w:rPr>
        <w:t>号芯城科技园</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栋</w:t>
      </w:r>
      <w:r>
        <w:rPr>
          <w:rFonts w:ascii="Times New Roman" w:eastAsia="Times New Roman" w:hAnsi="Times New Roman" w:cs="Times New Roman"/>
          <w:color w:val="000000"/>
          <w:spacing w:val="0"/>
          <w:w w:val="100"/>
          <w:position w:val="0"/>
          <w:sz w:val="22"/>
          <w:szCs w:val="22"/>
        </w:rPr>
        <w:t>1001</w:t>
      </w:r>
      <w:r>
        <w:rPr>
          <w:color w:val="000000"/>
          <w:spacing w:val="0"/>
          <w:w w:val="100"/>
          <w:position w:val="0"/>
          <w:sz w:val="22"/>
          <w:szCs w:val="22"/>
        </w:rPr>
        <w:t>，建筑面积</w:t>
      </w:r>
      <w:r>
        <w:rPr>
          <w:rFonts w:ascii="Times New Roman" w:eastAsia="Times New Roman" w:hAnsi="Times New Roman" w:cs="Times New Roman"/>
          <w:color w:val="000000"/>
          <w:spacing w:val="0"/>
          <w:w w:val="100"/>
          <w:position w:val="0"/>
          <w:sz w:val="22"/>
          <w:szCs w:val="22"/>
        </w:rPr>
        <w:t>1722.08</w:t>
      </w:r>
      <w:r>
        <w:rPr>
          <w:color w:val="000000"/>
          <w:spacing w:val="0"/>
          <w:w w:val="100"/>
          <w:position w:val="0"/>
          <w:sz w:val="22"/>
          <w:szCs w:val="22"/>
        </w:rPr>
        <w:t>平方米，房屋产权编</w:t>
      </w:r>
      <w:r>
        <w:rPr>
          <w:rFonts w:ascii="Times New Roman" w:eastAsia="Times New Roman" w:hAnsi="Times New Roman" w:cs="Times New Roman"/>
          <w:color w:val="000000"/>
          <w:spacing w:val="0"/>
          <w:w w:val="100"/>
          <w:position w:val="0"/>
          <w:sz w:val="22"/>
          <w:szCs w:val="22"/>
        </w:rPr>
        <w:t>20180117892</w:t>
      </w:r>
      <w:r>
        <w:rPr>
          <w:color w:val="000000"/>
          <w:spacing w:val="0"/>
          <w:w w:val="100"/>
          <w:position w:val="0"/>
          <w:sz w:val="22"/>
          <w:szCs w:val="22"/>
        </w:rPr>
        <w:t>。本公司根 据实际需要的金额对其进行装修改造，工程已于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月完工。</w:t>
      </w:r>
      <w:r>
        <w:br w:type="page"/>
      </w:r>
    </w:p>
    <w:p>
      <w:pPr>
        <w:pStyle w:val="Style32"/>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26"/>
      <w:bookmarkEnd w:id="1327"/>
      <w:bookmarkEnd w:id="1329"/>
    </w:p>
    <w:p>
      <w:pPr>
        <w:pStyle w:val="Style32"/>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6"/>
      <w:bookmarkEnd w:id="1327"/>
      <w:bookmarkEnd w:id="1330"/>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965"/>
        <w:gridCol w:w="960"/>
        <w:gridCol w:w="701"/>
        <w:gridCol w:w="643"/>
        <w:gridCol w:w="1190"/>
        <w:gridCol w:w="1229"/>
        <w:gridCol w:w="1114"/>
        <w:gridCol w:w="1037"/>
        <w:gridCol w:w="955"/>
        <w:gridCol w:w="1042"/>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专利权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非专利</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技术</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商标权及其他</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软件</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著作权</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专有技术</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车位费</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合计</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122,230,618.</w:t>
            </w:r>
          </w:p>
          <w:p>
            <w:pPr>
              <w:pStyle w:val="Style2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45,865,483.29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147,803,940.97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1,193,630,221.2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11,445,435.62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757,142.86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1,521,732,842.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 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1,393,555.91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204,282,907.31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15,107,698.78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238,284,162.0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40" w:line="240" w:lineRule="auto"/>
              <w:ind w:left="0" w:right="0" w:firstLine="5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318,215.98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1,540,246.28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19,358,462.26</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40" w:line="240" w:lineRule="auto"/>
              <w:ind w:left="0" w:right="0" w:firstLine="5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内部研发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1,075,339.93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202,742,661.03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15,107,698.78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218,925,699.7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9" w:lineRule="exact"/>
              <w:ind w:left="0" w:right="0" w:firstLine="5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本期减 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19,263,757.56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49,629,084.61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24,261,023.56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93,153,865.73</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40" w:line="240" w:lineRule="auto"/>
              <w:ind w:left="0" w:right="0" w:firstLine="5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69,398.59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69,398.59</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汇率变动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1,755,081.59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4,021,573.06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24,261,023.56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30,037,678.21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企业合并 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17,508,675.97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45,538,112.96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63,046,788.93</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122,230,618.</w:t>
            </w:r>
          </w:p>
          <w:p>
            <w:pPr>
              <w:pStyle w:val="Style2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44,101,725.73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99,568,412.27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1,373,652,104.9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26,553,134.40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757,142.86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1,666,863,138.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50,604,490.1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5,092,206.88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53,769,869.87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467,909,419.29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1,428,448.20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37,857.14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578,842,291.5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 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7,472,898.95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4,072,287.53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6,956,643.99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108,861,472.34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5,441,800.42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63,095.32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132,868,198.5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40" w:line="240" w:lineRule="auto"/>
              <w:ind w:left="0" w:right="0" w:firstLine="5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7,472,898.95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4,072,169.54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6,956,619.39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108,861,472.34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5,441,800.42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63,095.32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132,868,055.9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r>
      <w:tr>
        <w:trPr>
          <w:trHeight w:val="720"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汇率变动 影响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142.59</w:t>
            </w:r>
          </w:p>
        </w:tc>
      </w:tr>
    </w:tbl>
    <w:p>
      <w:pPr>
        <w:widowControl w:val="0"/>
        <w:spacing w:line="1" w:lineRule="exact"/>
      </w:pPr>
      <w:r>
        <w:br w:type="page"/>
      </w:r>
    </w:p>
    <w:tbl>
      <w:tblPr>
        <w:tblOverlap w:val="never"/>
        <w:jc w:val="center"/>
        <w:tblLayout w:type="fixed"/>
      </w:tblPr>
      <w:tblGrid>
        <w:gridCol w:w="965"/>
        <w:gridCol w:w="960"/>
        <w:gridCol w:w="701"/>
        <w:gridCol w:w="643"/>
        <w:gridCol w:w="1190"/>
        <w:gridCol w:w="1229"/>
        <w:gridCol w:w="1114"/>
        <w:gridCol w:w="1037"/>
        <w:gridCol w:w="955"/>
        <w:gridCol w:w="1042"/>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 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3,834,143.30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9,944,987.36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23,984,713.44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37,763,844.10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40" w:line="240" w:lineRule="auto"/>
              <w:ind w:left="0" w:right="0" w:firstLine="5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汇率变动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257,555.82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571,984.82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23,984,713.44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24,814,254.08</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企业合 并减少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3,576,587.48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9,373,002.54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12,949,590.02</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58,077,389.1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5,330,351.11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50,781,526.50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552,786,178.19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6,870,248.62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100,952.46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673,946,646.0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2,074,000.00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15,512,238.31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17,586,238.31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40" w:line="240" w:lineRule="auto"/>
              <w:ind w:left="0" w:right="0" w:firstLine="5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 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190,045.21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190,045.21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3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汇率变动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190,045.21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190,045.21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2,074,000.00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15,322,193.10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17,396,193.10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期末</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64,153,229.6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36,697,374.62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48,786,885.77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805,543,733.67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19,682,885.78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656,190.40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975,520,299.8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期初 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71,626,128.5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38,699,276.41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94,034,071.10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710,208,563.61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10,016,987.42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719,285.72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925,304,312.8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85.06%</w:t>
      </w:r>
      <w:r>
        <w:rPr>
          <w:color w:val="000000"/>
          <w:spacing w:val="0"/>
          <w:w w:val="100"/>
          <w:position w:val="0"/>
        </w:rPr>
        <w:t>。</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31"/>
      <w:bookmarkEnd w:id="1332"/>
      <w:bookmarkEnd w:id="1334"/>
    </w:p>
    <w:p>
      <w:pPr>
        <w:pStyle w:val="Style28"/>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1070"/>
        <w:gridCol w:w="1363"/>
        <w:gridCol w:w="1358"/>
        <w:gridCol w:w="638"/>
        <w:gridCol w:w="1498"/>
        <w:gridCol w:w="1066"/>
        <w:gridCol w:w="1181"/>
        <w:gridCol w:w="136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2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内部开发支出</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确认为无形资产</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转入当期损</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汇率变动</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ACCLOUD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128,545,938.59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116,179,724.49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8,707,420.92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236,018,242.16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智慧门店</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10,944,015.36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7,104,567.07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18,048,582.43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全渠道会员 营销产品标</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准化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3,588,284.90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1,239,007.65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4,827,292.55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智慧空间分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3,320,631.78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1,546,158.03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4,866,789.81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品牌专卖系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3,202,801.21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1,555,191.46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4,757,992.67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机场商业综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3,069,782.45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1,464,180.52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4,533,962.97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智慧物流平 台研发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2,011,650.66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789,404.67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2,801,055.33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百购智能</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POSvl.0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1,805,638.59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990,468.00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2,796,106.59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HT616</w:t>
            </w:r>
            <w:r>
              <w:rPr>
                <w:color w:val="000000"/>
                <w:spacing w:val="0"/>
                <w:w w:val="100"/>
                <w:position w:val="0"/>
                <w:sz w:val="17"/>
                <w:szCs w:val="17"/>
              </w:rPr>
              <w:t>收银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一体秤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1,478,700.70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425,289.96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1,903,990.66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HK316MSM</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1,315,595.52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471,854.96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1,787,450.48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客群运营平</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727,781.81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3,113,126.45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3,840,908.26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商品识别平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661,964.84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718,733.27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HT618</w:t>
            </w:r>
            <w:r>
              <w:rPr>
                <w:color w:val="000000"/>
                <w:spacing w:val="0"/>
                <w:w w:val="100"/>
                <w:position w:val="0"/>
                <w:sz w:val="17"/>
                <w:szCs w:val="17"/>
              </w:rPr>
              <w:t>收银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一体秤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481,040.48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406,341.44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887,381.92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连锁超市促</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388,220.35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158,921.35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547,141.70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HS210VRK3</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399</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345,567.87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545,775.73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891,343.60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HT3000</w:t>
            </w:r>
            <w:r>
              <w:rPr>
                <w:color w:val="000000"/>
                <w:spacing w:val="0"/>
                <w:w w:val="100"/>
                <w:position w:val="0"/>
                <w:sz w:val="17"/>
                <w:szCs w:val="17"/>
              </w:rPr>
              <w:t>淘鲜 达便利店项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290,644.69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212,288.21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502,932.90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HS210M </w:t>
            </w:r>
            <w:r>
              <w:rPr>
                <w:color w:val="000000"/>
                <w:spacing w:val="0"/>
                <w:w w:val="100"/>
                <w:position w:val="0"/>
                <w:sz w:val="17"/>
                <w:szCs w:val="17"/>
              </w:rPr>
              <w:t>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197,751.52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545,456.04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743,207.56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HS520V </w:t>
            </w:r>
            <w:r>
              <w:rPr>
                <w:color w:val="000000"/>
                <w:spacing w:val="0"/>
                <w:w w:val="100"/>
                <w:position w:val="0"/>
                <w:sz w:val="17"/>
                <w:szCs w:val="17"/>
              </w:rPr>
              <w:t>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2,051,060.07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2,151,000.97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HM616 </w:t>
            </w:r>
            <w:r>
              <w:rPr>
                <w:color w:val="000000"/>
                <w:spacing w:val="0"/>
                <w:w w:val="100"/>
                <w:position w:val="0"/>
                <w:sz w:val="17"/>
                <w:szCs w:val="17"/>
              </w:rPr>
              <w:t>（安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卓版）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76,141.75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818,619.33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894,761.08</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福彩赌博机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771,715.33</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HK670V </w:t>
            </w:r>
            <w:r>
              <w:rPr>
                <w:color w:val="000000"/>
                <w:spacing w:val="0"/>
                <w:w w:val="100"/>
                <w:position w:val="0"/>
                <w:sz w:val="17"/>
                <w:szCs w:val="17"/>
              </w:rPr>
              <w:t>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1,285,143.26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1,298,309.86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HK316/HK5</w:t>
            </w:r>
          </w:p>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变更指纹 模组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HK670J</w:t>
            </w:r>
            <w:r>
              <w:rPr>
                <w:color w:val="000000"/>
                <w:spacing w:val="0"/>
                <w:w w:val="100"/>
                <w:position w:val="0"/>
                <w:sz w:val="17"/>
                <w:szCs w:val="17"/>
              </w:rPr>
              <w:t>产品 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1,304,855.54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1,307,249.45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Stayntouch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25,204,958.28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25,204,958.2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美食通</w:t>
            </w:r>
            <w:r>
              <w:rPr>
                <w:rFonts w:ascii="Times New Roman" w:eastAsia="Times New Roman" w:hAnsi="Times New Roman" w:cs="Times New Roman"/>
                <w:color w:val="000000"/>
                <w:spacing w:val="0"/>
                <w:w w:val="100"/>
                <w:position w:val="0"/>
                <w:sz w:val="18"/>
                <w:szCs w:val="18"/>
              </w:rPr>
              <w:t>V1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19,415,004.33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19,415,004.33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石基数字酒 店餐厅订位 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15,177,421.09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11,532,580.73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3,644,840.36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证件识别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 安接口系统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14,450,688.50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11,220,541.02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3,230,147.48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石基数字酒</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店早餐管理</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13,711,248.94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10,879,511.26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2,831,737.68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石基大数据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13,350,893.60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13,350,893.6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02" w:lineRule="exact"/>
              <w:ind w:left="0" w:right="0" w:firstLine="0"/>
              <w:jc w:val="left"/>
              <w:rPr>
                <w:sz w:val="17"/>
                <w:szCs w:val="17"/>
              </w:rPr>
            </w:pPr>
            <w:r>
              <w:rPr>
                <w:color w:val="000000"/>
                <w:spacing w:val="0"/>
                <w:w w:val="100"/>
                <w:position w:val="0"/>
                <w:sz w:val="17"/>
                <w:szCs w:val="17"/>
              </w:rPr>
              <w:t>新零售运营 中心（商超</w:t>
            </w:r>
          </w:p>
          <w:p>
            <w:pPr>
              <w:pStyle w:val="Style20"/>
              <w:keepNext w:val="0"/>
              <w:keepLines w:val="0"/>
              <w:widowControl w:val="0"/>
              <w:shd w:val="clear" w:color="auto" w:fill="auto"/>
              <w:bidi w:val="0"/>
              <w:spacing w:before="0" w:after="0" w:line="35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ROC</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12,342,161.16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10,227,739.65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2,114,421.51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石基数据中 台产品</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10,966,276.79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10,966,276.79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石基酒店会 员管理系统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10,704,469.45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6,721,814.14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3,982,655.31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思迅云会员 信息管理软 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10,448,313.53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10,448,313.5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石基数字酒</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店餐饮储值</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卡管理系统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9,774,194.12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7,052,463.33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2,721,730.79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 xml:space="preserve">POS </w:t>
            </w:r>
            <w:r>
              <w:rPr>
                <w:color w:val="000000"/>
                <w:spacing w:val="0"/>
                <w:w w:val="100"/>
                <w:position w:val="0"/>
                <w:sz w:val="17"/>
                <w:szCs w:val="17"/>
              </w:rPr>
              <w:t>（商 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9,755,747.63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7,817,676.02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1,938,071.61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敏付无卡项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9,253,717.36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8,364,035.72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889,681.64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O2O</w:t>
            </w:r>
            <w:r>
              <w:rPr>
                <w:color w:val="000000"/>
                <w:spacing w:val="0"/>
                <w:w w:val="100"/>
                <w:position w:val="0"/>
                <w:sz w:val="17"/>
                <w:szCs w:val="17"/>
              </w:rPr>
              <w:t>运营云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8,234,690.94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1,305,677.79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6,929,013.15</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ConceptNex</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6,936,071.10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419,444.90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6,516,626.20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Sinfonia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6,171,492.65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6,171,492.65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PGS</w:t>
            </w:r>
            <w:r>
              <w:rPr>
                <w:color w:val="000000"/>
                <w:spacing w:val="0"/>
                <w:w w:val="100"/>
                <w:position w:val="0"/>
                <w:sz w:val="17"/>
                <w:szCs w:val="17"/>
              </w:rPr>
              <w:t>银行卡 支付系统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5,798,441.62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5,798,441.62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数据中心运 维管理平台</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KDI2.0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5,545,313.10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5,545,313.10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昆仑综合管 控平台</w:t>
            </w:r>
            <w:r>
              <w:rPr>
                <w:rFonts w:ascii="Times New Roman" w:eastAsia="Times New Roman" w:hAnsi="Times New Roman" w:cs="Times New Roman"/>
                <w:color w:val="000000"/>
                <w:spacing w:val="0"/>
                <w:w w:val="100"/>
                <w:position w:val="0"/>
                <w:sz w:val="18"/>
                <w:szCs w:val="18"/>
              </w:rPr>
              <w:t>KCC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5,168,886.85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3,686,735.32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1,482,151.53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思迅 </w:t>
            </w:r>
            <w:r>
              <w:rPr>
                <w:rFonts w:ascii="Times New Roman" w:eastAsia="Times New Roman" w:hAnsi="Times New Roman" w:cs="Times New Roman"/>
                <w:color w:val="000000"/>
                <w:spacing w:val="0"/>
                <w:w w:val="100"/>
                <w:position w:val="0"/>
                <w:sz w:val="18"/>
                <w:szCs w:val="18"/>
              </w:rPr>
              <w:t>eShop</w:t>
            </w:r>
            <w:r>
              <w:rPr>
                <w:color w:val="000000"/>
                <w:spacing w:val="0"/>
                <w:w w:val="100"/>
                <w:position w:val="0"/>
                <w:sz w:val="17"/>
                <w:szCs w:val="17"/>
              </w:rPr>
              <w:t>企业 集群商业管 理软件</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4,858,628.27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4,858,628.27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西软餐饮服 务接口平台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4,855,126.32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1,481,456.71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3,373,669.61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目的地分销 业务平台</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ClotaV3.1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4,847,758.21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4,708,313.92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139,444.29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掌上''商友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4,719,211.79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1,503,678.21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3,215,533.58</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石基会员管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理云系统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4,599,507.86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3,522,656.78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1,076,851.08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商友购</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4,502,432.36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4,502,432.36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石基显示控 制云系统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4,495,461.72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3,221,008.48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1,274,453.24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西软易住通 酒店管理软 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4,445,494.40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4,445,494.40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思迅微小店 营销管理软 件 </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4,424,511.46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4,424,511.46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石基数字标 牌云系统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4,108,647.89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3,165,632.37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943,015.52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预先点单云 系统统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4,088,935.18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3,085,482.42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1,003,452.76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Glory</w:t>
            </w:r>
            <w:r>
              <w:rPr>
                <w:color w:val="000000"/>
                <w:spacing w:val="0"/>
                <w:w w:val="100"/>
                <w:position w:val="0"/>
                <w:sz w:val="17"/>
                <w:szCs w:val="17"/>
              </w:rPr>
              <w:t>中央预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3,742,390.19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3,742,390.19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36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订系统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其他小项目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3,683,387.69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3,683,387.69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思迅微小店 信息管理软 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3,624,432.13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3,624,432.13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新零售创新 项目探索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3,593,391.52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3,593,391.52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富基信息</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-MSSV4.0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3,547,532.25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3,547,532.25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思迅流通领 域软件产品 升级开发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3,497,885.45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3,497,885.45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思迅商旗信 息管理软件</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3,462,304.80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3,462,304.80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目的地</w:t>
            </w:r>
            <w:r>
              <w:rPr>
                <w:rFonts w:ascii="Times New Roman" w:eastAsia="Times New Roman" w:hAnsi="Times New Roman" w:cs="Times New Roman"/>
                <w:color w:val="000000"/>
                <w:spacing w:val="0"/>
                <w:w w:val="100"/>
                <w:position w:val="0"/>
                <w:sz w:val="18"/>
                <w:szCs w:val="18"/>
              </w:rPr>
              <w:t xml:space="preserve">OTA </w:t>
            </w:r>
            <w:r>
              <w:rPr>
                <w:color w:val="000000"/>
                <w:spacing w:val="0"/>
                <w:w w:val="100"/>
                <w:position w:val="0"/>
                <w:sz w:val="17"/>
                <w:szCs w:val="17"/>
              </w:rPr>
              <w:t>预定</w:t>
            </w:r>
            <w:r>
              <w:rPr>
                <w:rFonts w:ascii="Times New Roman" w:eastAsia="Times New Roman" w:hAnsi="Times New Roman" w:cs="Times New Roman"/>
                <w:color w:val="000000"/>
                <w:spacing w:val="0"/>
                <w:w w:val="100"/>
                <w:position w:val="0"/>
                <w:sz w:val="18"/>
                <w:szCs w:val="18"/>
              </w:rPr>
              <w:t xml:space="preserve">Switch </w:t>
            </w:r>
            <w:r>
              <w:rPr>
                <w:color w:val="000000"/>
                <w:spacing w:val="0"/>
                <w:w w:val="100"/>
                <w:position w:val="0"/>
                <w:sz w:val="17"/>
                <w:szCs w:val="17"/>
              </w:rPr>
              <w:t xml:space="preserve">系统 </w:t>
            </w:r>
            <w:r>
              <w:rPr>
                <w:rFonts w:ascii="Times New Roman" w:eastAsia="Times New Roman" w:hAnsi="Times New Roman" w:cs="Times New Roman"/>
                <w:color w:val="000000"/>
                <w:spacing w:val="0"/>
                <w:w w:val="100"/>
                <w:position w:val="0"/>
                <w:sz w:val="18"/>
                <w:szCs w:val="18"/>
              </w:rPr>
              <w:t>C-Switch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3,402,231.53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2,226,013.56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1,176,217.97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旅行社预订</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系统</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TA-WBE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3,357,217.27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2,613,806.34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743,410.93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嘀友''商业 资产管理系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3,293,934.38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299,566.52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2,994,367.86</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目的地常客 及年卡系统</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C-Member</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3,241,682.06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2,935,432.67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306,249.39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Cambridge </w:t>
            </w:r>
            <w:r>
              <w:rPr>
                <w:color w:val="000000"/>
                <w:spacing w:val="0"/>
                <w:w w:val="100"/>
                <w:position w:val="0"/>
                <w:sz w:val="17"/>
                <w:szCs w:val="17"/>
              </w:rPr>
              <w:t>康</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桥云酒店管 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3,176,529.87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3,176,529.87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西软云快捷 酒店管理软 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3,168,095.18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1,288,791.53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1,879,303.65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嘀友''智能 销售终端系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2,872,321.50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2,872,321.50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正品贵德</w:t>
            </w:r>
          </w:p>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进销 存系统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2,862,142.33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2,576,548.11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285,594.22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马拉卡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2,794,024.77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2,794,024.77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 xml:space="preserve">航空公司大 客户销售系 统 </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2,586,772.23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2,586,772.23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昆仑租户管 理平台</w:t>
            </w:r>
            <w:r>
              <w:rPr>
                <w:rFonts w:ascii="Times New Roman" w:eastAsia="Times New Roman" w:hAnsi="Times New Roman" w:cs="Times New Roman"/>
                <w:color w:val="000000"/>
                <w:spacing w:val="0"/>
                <w:w w:val="100"/>
                <w:position w:val="0"/>
                <w:sz w:val="18"/>
                <w:szCs w:val="18"/>
              </w:rPr>
              <w:t>KTM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2,571,792.82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2,571,792.82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嘀友''业财 一体化管理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2,560,549.13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2,560,549.13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西软扫码通</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2,474,834.62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754,670.65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1,720,163.97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新零售消费 业务中台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2,466,208.01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1,693,756.08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772,451.93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思迅网络天 店系列产品 维护升级开 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2,438,203.42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2,438,203.42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07" w:lineRule="exact"/>
              <w:ind w:left="0" w:right="0" w:firstLine="0"/>
              <w:jc w:val="both"/>
              <w:rPr>
                <w:sz w:val="17"/>
                <w:szCs w:val="17"/>
              </w:rPr>
            </w:pPr>
            <w:r>
              <w:rPr>
                <w:color w:val="000000"/>
                <w:spacing w:val="0"/>
                <w:w w:val="100"/>
                <w:position w:val="0"/>
                <w:sz w:val="17"/>
                <w:szCs w:val="17"/>
              </w:rPr>
              <w:t>宝库酒店差 旅管理平台</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2,416,468.36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2,416,468.36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宝库机票差 旅管理平台</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2,354,035.94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2,354,035.94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酒店宾客自 助系统</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E-Journey</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2,246,104.88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2,246,104.88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B2B</w:t>
            </w:r>
            <w:r>
              <w:rPr>
                <w:color w:val="000000"/>
                <w:spacing w:val="0"/>
                <w:w w:val="100"/>
                <w:position w:val="0"/>
                <w:sz w:val="17"/>
                <w:szCs w:val="17"/>
              </w:rPr>
              <w:t>协同平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2,226,859.92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1,526,859.92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07" w:lineRule="exact"/>
              <w:ind w:left="0" w:right="0" w:firstLine="0"/>
              <w:jc w:val="left"/>
              <w:rPr>
                <w:sz w:val="17"/>
                <w:szCs w:val="17"/>
              </w:rPr>
            </w:pPr>
            <w:r>
              <w:rPr>
                <w:color w:val="000000"/>
                <w:spacing w:val="0"/>
                <w:w w:val="100"/>
                <w:position w:val="0"/>
                <w:sz w:val="17"/>
                <w:szCs w:val="17"/>
              </w:rPr>
              <w:t>商定天下商 业管理平台</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CMP7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2,148,153.96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2,148,153.96</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西软云触摸</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屏餐饮管理</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2,118,499.05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2,118,499.05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IFS</w:t>
            </w:r>
            <w:r>
              <w:rPr>
                <w:color w:val="000000"/>
                <w:spacing w:val="0"/>
                <w:w w:val="100"/>
                <w:position w:val="0"/>
                <w:sz w:val="17"/>
                <w:szCs w:val="17"/>
              </w:rPr>
              <w:t>预付卡项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2,059,712.94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2,059,712.94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富基信息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 务结算共享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2,046,596.80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1,026,315.53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1,020,281.27</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Accounting</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1,979,658.57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1,979,658.57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36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loud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pastoral</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1,926,904.89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1,926,904.89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敏付跨境支 付系统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简 称： </w:t>
            </w:r>
            <w:r>
              <w:rPr>
                <w:rFonts w:ascii="Times New Roman" w:eastAsia="Times New Roman" w:hAnsi="Times New Roman" w:cs="Times New Roman"/>
                <w:color w:val="000000"/>
                <w:spacing w:val="0"/>
                <w:w w:val="100"/>
                <w:position w:val="0"/>
                <w:sz w:val="18"/>
                <w:szCs w:val="18"/>
              </w:rPr>
              <w:t>MinPayCPM ］</w:t>
            </w:r>
            <w:r>
              <w:rPr>
                <w:color w:val="000000"/>
                <w:spacing w:val="0"/>
                <w:w w:val="100"/>
                <w:position w:val="0"/>
                <w:sz w:val="17"/>
                <w:szCs w:val="17"/>
              </w:rPr>
              <w:t>二期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1,906,804.66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1,568,293.17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338,511.49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石基零售基</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础系统框架</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1,869,348.42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1,457,517.49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411,830.93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SHIJICare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1,783,390.58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1,783,390.58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智能中控平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1,752,085.19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1,752,085.19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广州合光</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sz w:val="17"/>
                <w:szCs w:val="17"/>
              </w:rPr>
              <w:t>销售预测和 自动补货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1,718,753.15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1,718,753.15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环企省市一 机游系统项 目研发项目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1,710,013.99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1,710,013.99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智能化中台 营销平台的 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1,704,830.94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1,704,830.94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产品技 术支持及维 护（国内）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1,665,179.61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1,665,179.61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聚客云</w:t>
            </w:r>
            <w:r>
              <w:rPr>
                <w:rFonts w:ascii="Times New Roman" w:eastAsia="Times New Roman" w:hAnsi="Times New Roman" w:cs="Times New Roman"/>
                <w:color w:val="000000"/>
                <w:spacing w:val="0"/>
                <w:w w:val="100"/>
                <w:position w:val="0"/>
                <w:sz w:val="18"/>
                <w:szCs w:val="18"/>
              </w:rPr>
              <w:t>CRM</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1,530,543.62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1,110,942.35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419,601.27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商户服务协 同（百购）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1,514,113.14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267,584.86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1,246,528.28</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思迅天店通 信息管理软 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1,511,415.76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1,511,415.76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1,502,444.20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1,502,444.20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五环体育项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1,493,040.49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1,493,040.49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基于分布式</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计算的云餐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饮应用研发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1,461,901.72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198,459.42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1,263,442.30</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时运门店运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1,460,580.08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1,460,580.08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36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环企逸享版 指挥中心大 屏展示平台 系统研发项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1,435,677.29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1,435,677.29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环企逸享版 景区自营电 商小程序系 统研发项目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1,435,677.29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1,435,677.29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思迅天店零 售星云版信 息管理软件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1,431,766.73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1,431,766.73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富基信息</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-myShopR6V</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1,400,718.25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1,400,718.25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ACCOUNT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1,395,043.92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1,395,043.92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客至加盟店 平台管理系 统的研发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1,368,027.72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1,368,027.72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22" w:lineRule="exact"/>
              <w:ind w:left="0" w:right="0" w:firstLine="0"/>
              <w:jc w:val="left"/>
              <w:rPr>
                <w:sz w:val="17"/>
                <w:szCs w:val="17"/>
              </w:rPr>
            </w:pPr>
            <w:r>
              <w:rPr>
                <w:color w:val="000000"/>
                <w:spacing w:val="0"/>
                <w:w w:val="100"/>
                <w:position w:val="0"/>
                <w:sz w:val="17"/>
                <w:szCs w:val="17"/>
              </w:rPr>
              <w:t>西软云酒店 管理软件</w:t>
            </w:r>
          </w:p>
          <w:p>
            <w:pPr>
              <w:pStyle w:val="Style20"/>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1,354,028.44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1,354,028.44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思迅烘焙</w:t>
            </w:r>
            <w:r>
              <w:rPr>
                <w:rFonts w:ascii="Times New Roman" w:eastAsia="Times New Roman" w:hAnsi="Times New Roman" w:cs="Times New Roman"/>
                <w:color w:val="000000"/>
                <w:spacing w:val="0"/>
                <w:w w:val="100"/>
                <w:position w:val="0"/>
                <w:sz w:val="18"/>
                <w:szCs w:val="18"/>
              </w:rPr>
              <w:t xml:space="preserve">e6 </w:t>
            </w:r>
            <w:r>
              <w:rPr>
                <w:color w:val="000000"/>
                <w:spacing w:val="0"/>
                <w:w w:val="100"/>
                <w:position w:val="0"/>
                <w:sz w:val="17"/>
                <w:szCs w:val="17"/>
              </w:rPr>
              <w:t>信息管理软 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1,333,764.59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1,333,764.59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石基佣金核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1,291,898.41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1,291,898.41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逸享版景区 业务管理平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1,271,892.40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1,271,892.40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中行存量商 户货币改造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1,271,863.42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1,271,863.42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44"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商业</w:t>
            </w:r>
            <w:r>
              <w:rPr>
                <w:rFonts w:ascii="Times New Roman" w:eastAsia="Times New Roman" w:hAnsi="Times New Roman" w:cs="Times New Roman"/>
                <w:color w:val="000000"/>
                <w:spacing w:val="0"/>
                <w:w w:val="100"/>
                <w:position w:val="0"/>
                <w:sz w:val="18"/>
                <w:szCs w:val="18"/>
              </w:rPr>
              <w:t>POS</w:t>
            </w:r>
            <w:r>
              <w:rPr>
                <w:color w:val="000000"/>
                <w:spacing w:val="0"/>
                <w:w w:val="100"/>
                <w:position w:val="0"/>
                <w:sz w:val="17"/>
                <w:szCs w:val="17"/>
              </w:rPr>
              <w:t>类</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对接软件二 次开发与维 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1,253,621.69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1,253,621.69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82"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客至商城智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能化软件系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1,244,669.60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1,244,669.60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36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基于云计算 的云供应商 平台研发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1,239,703.14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1,239,703.14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TSSv2.0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1,224,492.74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1,224,492.74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富基信息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惠</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1,206,261.24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1,206,261.24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软件企业数 字化运营平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1,151,993.88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1,151,993.88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商定天下商</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业管理平台</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1,151,989.48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1,151,989.48</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商定天下管 理平台火锅 食材版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1,121,754.59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1,121,754.59</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酒店前台一 体机项目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1,095,820.83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1,095,820.83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1,095,099.28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1,095,099.28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HK316V</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1,094,003.79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1,094,003.79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CMP7</w:t>
            </w:r>
            <w:r>
              <w:rPr>
                <w:color w:val="000000"/>
                <w:spacing w:val="0"/>
                <w:w w:val="100"/>
                <w:position w:val="0"/>
                <w:sz w:val="17"/>
                <w:szCs w:val="17"/>
              </w:rPr>
              <w:t>中石 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1,081,112.39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1,081,112.39</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石基零售数 据平台</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SRDP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1,033,914.69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1,033,914.69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门店履约效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率中心</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1,020,817.81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1,020,817.81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云 平台的</w:t>
            </w:r>
            <w:r>
              <w:rPr>
                <w:rFonts w:ascii="Times New Roman" w:eastAsia="Times New Roman" w:hAnsi="Times New Roman" w:cs="Times New Roman"/>
                <w:color w:val="000000"/>
                <w:spacing w:val="0"/>
                <w:w w:val="100"/>
                <w:position w:val="0"/>
                <w:sz w:val="18"/>
                <w:szCs w:val="18"/>
              </w:rPr>
              <w:t xml:space="preserve">POS </w:t>
            </w:r>
            <w:r>
              <w:rPr>
                <w:color w:val="000000"/>
                <w:spacing w:val="0"/>
                <w:w w:val="100"/>
                <w:position w:val="0"/>
                <w:sz w:val="17"/>
                <w:szCs w:val="17"/>
              </w:rPr>
              <w:t>终端管理系 统（</w:t>
            </w:r>
            <w:r>
              <w:rPr>
                <w:rFonts w:ascii="Times New Roman" w:eastAsia="Times New Roman" w:hAnsi="Times New Roman" w:cs="Times New Roman"/>
                <w:color w:val="000000"/>
                <w:spacing w:val="0"/>
                <w:w w:val="100"/>
                <w:position w:val="0"/>
                <w:sz w:val="18"/>
                <w:szCs w:val="18"/>
              </w:rPr>
              <w:t>HIDMS</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1,003,083.57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1,003,083.57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大众书局预 付卡升级项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989,980.38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989,980.38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HRMS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954,178.22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954,178.22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海外业务产 品技术支持 及维护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950,596.32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950,596.32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环企餐商后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949,905.98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830,568.41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119,337.57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98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台系统开发 系统研发项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敏付云闪付 收单前置系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941,046.87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703,535.87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237,511.00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HS530R</w:t>
            </w:r>
            <w:r>
              <w:rPr>
                <w:color w:val="000000"/>
                <w:spacing w:val="0"/>
                <w:w w:val="100"/>
                <w:position w:val="0"/>
                <w:sz w:val="17"/>
                <w:szCs w:val="17"/>
              </w:rPr>
              <w:t>苏宁</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大屏自助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926,666.10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926,666.10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环企票务人 脸识别系统 项目研发项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905,989.38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905,989.38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百望金税进</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项产品管理</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893,861.00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893,861.00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客至易会员 营销系统软 件升级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890,925.91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890,925.91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HK326R</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890,221.73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890,221.73</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HS310E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866,528.84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866,528.84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新一代大数 据分析技术 在云客房管 理系统中的 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862,865.84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742,950.45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119,915.39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中青旅</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E-PAY</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828,526.83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828,526.83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中台所完善</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827,563.67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827,563.67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产品全生命 周期信息管 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826,016.09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826,016.09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后台所完善</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824,008.70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824,008.70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中台所支持</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794,196.80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794,196.80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零供宝系统</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788,510.68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788,510.68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丽水农行</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BMP</w:t>
            </w: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753,430.79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753,430.79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智能结算</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Intelligent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753,075.71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753,075.71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欧亚电子发</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票系统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火车票差旅 管理系统</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746,297.73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746,297.73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服务运维综 合管理技术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713,387.31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713,387.31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正品贵德</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G11</w:t>
            </w:r>
            <w:r>
              <w:rPr>
                <w:color w:val="000000"/>
                <w:spacing w:val="0"/>
                <w:w w:val="100"/>
                <w:position w:val="0"/>
                <w:sz w:val="17"/>
                <w:szCs w:val="17"/>
              </w:rPr>
              <w:t>供应链</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704,481.53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704,481.53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洲际酒店自 助项目</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HS728M</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693,262.80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693,262.80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后台所支持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680,467.70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680,467.70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西软移动客</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房管理软件</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674,990.10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674,990.10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663,010.04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663,010.04</w:t>
            </w: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CMP7</w:t>
            </w:r>
            <w:r>
              <w:rPr>
                <w:color w:val="000000"/>
                <w:spacing w:val="0"/>
                <w:w w:val="100"/>
                <w:position w:val="0"/>
                <w:sz w:val="17"/>
                <w:szCs w:val="17"/>
              </w:rPr>
              <w:t>中石 化项目（商定 天下统采系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653,256.05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653,256.05</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宝库商旅管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652,551.48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652,551.48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HS530V </w:t>
            </w:r>
            <w:r>
              <w:rPr>
                <w:color w:val="000000"/>
                <w:spacing w:val="0"/>
                <w:w w:val="100"/>
                <w:position w:val="0"/>
                <w:sz w:val="17"/>
                <w:szCs w:val="17"/>
              </w:rPr>
              <w:t>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足便利店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641,328.24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641,328.24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Bestech </w:t>
            </w:r>
            <w:r>
              <w:rPr>
                <w:color w:val="000000"/>
                <w:spacing w:val="0"/>
                <w:w w:val="100"/>
                <w:position w:val="0"/>
                <w:sz w:val="17"/>
                <w:szCs w:val="17"/>
              </w:rPr>
              <w:t>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639,688.70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639,688.70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物联网平台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620,025.72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620,025.72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全渠道中台</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588,342.03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486,995.08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101,346.95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慧收银项目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576,109.19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575,465.01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82"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基于分布式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计算的云客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575,025.82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575,025.82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67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房管理应用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环企</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餐 商系统项目 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568,787.80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568,787.80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三寸热敏打</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印机预研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562,452.21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562,452.21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经济型自助</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项目</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-HS310R</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544,183.28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544,183.28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航空公司机</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票分销平台</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524,247.56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524,247.56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基于云计算 的云餐饮成 本应用研发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516,336.43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275,437.32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240,899.11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海信商定天 下前台销售 系统</w:t>
            </w:r>
            <w:r>
              <w:rPr>
                <w:rFonts w:ascii="Times New Roman" w:eastAsia="Times New Roman" w:hAnsi="Times New Roman" w:cs="Times New Roman"/>
                <w:color w:val="000000"/>
                <w:spacing w:val="0"/>
                <w:w w:val="100"/>
                <w:position w:val="0"/>
                <w:sz w:val="18"/>
                <w:szCs w:val="18"/>
              </w:rPr>
              <w:t>POS7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509,338.00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509,338.00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ISRM</w:t>
            </w:r>
            <w:r>
              <w:rPr>
                <w:color w:val="000000"/>
                <w:spacing w:val="0"/>
                <w:w w:val="100"/>
                <w:position w:val="0"/>
                <w:sz w:val="17"/>
                <w:szCs w:val="17"/>
              </w:rPr>
              <w:t>零食商 协同系统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正品贵德微 信会员管理</w:t>
            </w:r>
          </w:p>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484,064.94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432,692.34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51,372.60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环企酒店加 景区门票（酒 加景）预定分 销系统研发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451,212.23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285,519.14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165,693.09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HS570M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386,904.05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386,904.05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385,157.50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385,157.50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海信全渠道</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中台</w:t>
            </w:r>
            <w:r>
              <w:rPr>
                <w:rFonts w:ascii="Times New Roman" w:eastAsia="Times New Roman" w:hAnsi="Times New Roman" w:cs="Times New Roman"/>
                <w:color w:val="000000"/>
                <w:spacing w:val="0"/>
                <w:w w:val="100"/>
                <w:position w:val="0"/>
                <w:sz w:val="18"/>
                <w:szCs w:val="18"/>
              </w:rPr>
              <w:t>-AIP4.1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353,985.00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353,985.00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HK760J/M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342,978.54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342,978.54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全渠道中台</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-API4.1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278,370.82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263,802.09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14,568.73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HS330V</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195,746.41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195,746.41</w:t>
            </w:r>
          </w:p>
        </w:tc>
      </w:tr>
      <w:tr>
        <w:trPr>
          <w:trHeight w:val="720"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商务助手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127,467.85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77,444.20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50,023.65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363"/>
        <w:gridCol w:w="1358"/>
        <w:gridCol w:w="638"/>
        <w:gridCol w:w="1498"/>
        <w:gridCol w:w="1066"/>
        <w:gridCol w:w="1181"/>
        <w:gridCol w:w="1368"/>
      </w:tblGrid>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微信 支付宝平台 应用</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商定天下前 台销售系统</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78,106.92</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海信</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微 信支付宝平 台应用</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其他项目合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53,581,032.43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53,581,032.4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162,612,106.07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640,491,764.37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218,925,699.74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304,916,042.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9,126,865.82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270,135,262.33</w:t>
            </w:r>
          </w:p>
        </w:tc>
      </w:tr>
    </w:tbl>
    <w:p>
      <w:pPr>
        <w:widowControl w:val="0"/>
        <w:spacing w:after="59" w:line="1" w:lineRule="exact"/>
      </w:pP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317" w:lineRule="exact"/>
        <w:ind w:left="0" w:right="0" w:firstLine="0"/>
        <w:jc w:val="left"/>
        <w:rPr>
          <w:sz w:val="22"/>
          <w:szCs w:val="22"/>
        </w:rPr>
      </w:pPr>
      <w:r>
        <w:rPr>
          <w:color w:val="000000"/>
          <w:spacing w:val="0"/>
          <w:w w:val="100"/>
          <w:position w:val="0"/>
          <w:sz w:val="22"/>
          <w:szCs w:val="22"/>
        </w:rPr>
        <w:t>注：本公司开发支出分为研究阶段和开发阶段，研发项目进入开发阶段开始资本化，本年末公司资本 化的项目均已进入开发阶段。</w:t>
      </w:r>
    </w:p>
    <w:p>
      <w:pPr>
        <w:pStyle w:val="Style32"/>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335"/>
      <w:bookmarkEnd w:id="1336"/>
      <w:bookmarkEnd w:id="1337"/>
    </w:p>
    <w:p>
      <w:pPr>
        <w:pStyle w:val="Style32"/>
        <w:keepNext/>
        <w:keepLines/>
        <w:widowControl w:val="0"/>
        <w:shd w:val="clear" w:color="auto" w:fill="auto"/>
        <w:bidi w:val="0"/>
        <w:spacing w:before="0" w:after="380" w:line="240" w:lineRule="auto"/>
        <w:ind w:left="0" w:right="0" w:firstLine="0"/>
        <w:jc w:val="both"/>
      </w:pPr>
      <w:bookmarkStart w:id="1335" w:name="bookmark1335"/>
      <w:bookmarkStart w:id="1336" w:name="bookmark1336"/>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5"/>
      <w:bookmarkEnd w:id="1336"/>
      <w:bookmarkEnd w:id="1338"/>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西软科技资产组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41,079,739.22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41,079,739.22</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 i.Information</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20,437,333.01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1,235,708.71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19,201,624.30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银石计算机资产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47,742,187.30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47,742,187.30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上海正品资产组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19,522,150.61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19,522,150.61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思迅软件资产组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155,906,824.65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155,906,824.65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奥凯软件资产组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520,173.45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520,173.45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广州万迅资产组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86,122,789.81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4,237,505.02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81,885,284.79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Horwath</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60,410,329.69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3,650,297.23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56,760,032.46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连边科技资产组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1,333,142.76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1,333,142.76</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商用星联资产组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64,769.98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64,769.98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上海时运资产组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9,251,741.81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9,251,741.81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长益科技资产组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518,792,424.49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518,792,424.49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石基零售资产组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132,014,317.82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9,712,938.85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122,301,378.97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阳光物业资产组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124,035.18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124,035.18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航信华仪资产组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5,846,357.23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5,846,357.23</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Shiji GmbH </w:t>
            </w:r>
            <w:r>
              <w:rPr>
                <w:color w:val="000000"/>
                <w:spacing w:val="0"/>
                <w:w w:val="100"/>
                <w:position w:val="0"/>
                <w:sz w:val="17"/>
                <w:szCs w:val="17"/>
              </w:rPr>
              <w:t>资产 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56,375,071.28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3,408,623.14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52,966,448.14</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Shiji Spain </w:t>
            </w:r>
            <w:r>
              <w:rPr>
                <w:color w:val="000000"/>
                <w:spacing w:val="0"/>
                <w:w w:val="100"/>
                <w:position w:val="0"/>
                <w:sz w:val="17"/>
                <w:szCs w:val="17"/>
              </w:rPr>
              <w:t>资产 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59,019,110.46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3,568,490.49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55,450,619.97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PLC</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172,374,294.36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11,618,253.42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160,756,040.94</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广州合光资产组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12,931,989.67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12,931,989.67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宝库在线资产组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45,492,725.87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45,492,725.87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南京客至资产组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5,045,531.13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5,045,531.13</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Stayntouch Inc </w:t>
            </w:r>
            <w:r>
              <w:rPr>
                <w:color w:val="000000"/>
                <w:spacing w:val="0"/>
                <w:w w:val="100"/>
                <w:position w:val="0"/>
                <w:sz w:val="17"/>
                <w:szCs w:val="17"/>
              </w:rPr>
              <w:t>资 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211,403,557.73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211,403,557.73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CONCEPTEK </w:t>
            </w:r>
            <w:r>
              <w:rPr>
                <w:color w:val="000000"/>
                <w:spacing w:val="0"/>
                <w:w w:val="100"/>
                <w:position w:val="0"/>
                <w:sz w:val="17"/>
                <w:szCs w:val="17"/>
              </w:rPr>
              <w:t>资 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31,684,010.02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1,485,302.44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30,198,707.58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青岛海信资产组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323,011,699.58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323,011,699.58</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ICE PORTAL</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INC</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67,452,339.65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4,364,508.32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63,087,831.33</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TOUCHPEAK </w:t>
            </w:r>
            <w:r>
              <w:rPr>
                <w:color w:val="000000"/>
                <w:spacing w:val="0"/>
                <w:w w:val="100"/>
                <w:position w:val="0"/>
                <w:sz w:val="17"/>
                <w:szCs w:val="17"/>
              </w:rPr>
              <w:t>资 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32,337,137.46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2,092,376.72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30,244,760.74</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Quick Check </w:t>
            </w:r>
            <w:r>
              <w:rPr>
                <w:color w:val="000000"/>
                <w:spacing w:val="0"/>
                <w:w w:val="100"/>
                <w:position w:val="0"/>
                <w:sz w:val="17"/>
                <w:szCs w:val="17"/>
              </w:rPr>
              <w:t>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123,305,281.80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5,780,380.55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117,524,901.25</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2,239,601,066.02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211,403,557.73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51,154,384.89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1,977,043,123.40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39"/>
      <w:bookmarkEnd w:id="1340"/>
      <w:bookmarkEnd w:id="134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上海正品资产组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6,360,774.78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Horwath</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20,811,000.00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1,258,300.43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19,552,699.57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广州万迅资产组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846,485.32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13,153,514.68</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航信华仪资产组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5,846,357.23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5,846,357.23</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PLC</w:t>
            </w:r>
            <w:r>
              <w:rPr>
                <w:color w:val="000000"/>
                <w:spacing w:val="0"/>
                <w:w w:val="100"/>
                <w:position w:val="0"/>
                <w:sz w:val="17"/>
                <w:szCs w:val="17"/>
              </w:rPr>
              <w:t>资产组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15,005,600.00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15,005,600.00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47,018,132.01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15,005,600.00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2,104,785.75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59,918,946.26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219" w:line="1" w:lineRule="exact"/>
      </w:pPr>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上述公司商誉减值测试的资产组或资产组组合的构成情况如下：</w:t>
      </w:r>
    </w:p>
    <w:p>
      <w:pPr>
        <w:pStyle w:val="Style35"/>
        <w:keepNext w:val="0"/>
        <w:keepLines w:val="0"/>
        <w:widowControl w:val="0"/>
        <w:shd w:val="clear" w:color="auto" w:fill="auto"/>
        <w:bidi w:val="0"/>
        <w:spacing w:before="0" w:after="220" w:line="30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：西软科技、连边科技：本公司以西软科技合并的长期资产（固定资产、无形资产）作为相 关资产组组合，该资产组组合与购买日及以前年度商誉减值测试时所确定的资产组一致。</w:t>
      </w:r>
    </w:p>
    <w:p>
      <w:pPr>
        <w:pStyle w:val="Style35"/>
        <w:keepNext w:val="0"/>
        <w:keepLines w:val="0"/>
        <w:widowControl w:val="0"/>
        <w:shd w:val="clear" w:color="auto" w:fill="auto"/>
        <w:bidi w:val="0"/>
        <w:spacing w:before="0" w:after="220" w:line="32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Shiji Information:Shiji Information</w:t>
      </w:r>
      <w:r>
        <w:rPr>
          <w:color w:val="000000"/>
          <w:spacing w:val="0"/>
          <w:w w:val="100"/>
          <w:position w:val="0"/>
          <w:sz w:val="22"/>
          <w:szCs w:val="22"/>
        </w:rPr>
        <w:t>业务从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年开始将其全部业务转移至本公司作为其中一 个业务部，以该业务部的长期资产（固定资产、无形资产）作为资产组，该资产组与购买日及以前年 度商誉减值测试时所确定的资产组一致。</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：银石计算机：本公司以银石计算机的长期资产（固定资产、无形资产）作为相关资产组组 合，该资产组组合与购买日及以前年度商誉减值测试所确定的资产组一致。</w:t>
      </w:r>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：上海正品：本公司以上海正品的长期资产（固定资产、无形资产）作为相关资产组，该资 产组与购买日及以前年度商誉减值测试所确定的资产组一致。本公司聘请中资资产评估有限公司出具 了《北京中长石基信息技术股份有限公司以财务报告目的商誉减值测试所涉及上海正品贵德软件有限 公司资产组可收回价值项目》（中资评报字</w:t>
      </w:r>
      <w:r>
        <w:rPr>
          <w:rFonts w:ascii="Times New Roman" w:eastAsia="Times New Roman" w:hAnsi="Times New Roman" w:cs="Times New Roman"/>
          <w:color w:val="000000"/>
          <w:spacing w:val="0"/>
          <w:w w:val="100"/>
          <w:position w:val="0"/>
          <w:sz w:val="22"/>
          <w:szCs w:val="22"/>
        </w:rPr>
        <w:t>[2021]147</w:t>
      </w:r>
      <w:r>
        <w:rPr>
          <w:color w:val="000000"/>
          <w:spacing w:val="0"/>
          <w:w w:val="100"/>
          <w:position w:val="0"/>
          <w:sz w:val="22"/>
          <w:szCs w:val="22"/>
        </w:rPr>
        <w:t>号）评估报告，不存在重大减值风险。</w:t>
      </w:r>
    </w:p>
    <w:p>
      <w:pPr>
        <w:pStyle w:val="Style35"/>
        <w:keepNext w:val="0"/>
        <w:keepLines w:val="0"/>
        <w:widowControl w:val="0"/>
        <w:shd w:val="clear" w:color="auto" w:fill="auto"/>
        <w:bidi w:val="0"/>
        <w:spacing w:before="0" w:after="220" w:line="331"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：思迅软件、奥凯软件、南京客至：本公司以思迅软件合并的长期资产（固定资产、无形资 产）作为相关资产组组合，该资产组组合与购买日及以前年度商誉减值测试时所确定的资产组一致。</w:t>
      </w:r>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：广州万迅：本公司以广州万迅的长期资产（固定资产、无形资产、开发支出）作为相关资 产组，该资产组与购买日及以前年度商誉减值测试所确定的资产组一致。本公司聘请中资资产评估有 限公司出具了《北京中长石基信息技术股份有限公司以财务报告目的商誉减值测试所涉及广州万迅电 脑软件有限公司资产组可收回价值项目》（中资评报字</w:t>
      </w:r>
      <w:r>
        <w:rPr>
          <w:rFonts w:ascii="Times New Roman" w:eastAsia="Times New Roman" w:hAnsi="Times New Roman" w:cs="Times New Roman"/>
          <w:color w:val="000000"/>
          <w:spacing w:val="0"/>
          <w:w w:val="100"/>
          <w:position w:val="0"/>
          <w:sz w:val="22"/>
          <w:szCs w:val="22"/>
        </w:rPr>
        <w:t>[2021]146</w:t>
      </w:r>
      <w:r>
        <w:rPr>
          <w:color w:val="000000"/>
          <w:spacing w:val="0"/>
          <w:w w:val="100"/>
          <w:position w:val="0"/>
          <w:sz w:val="22"/>
          <w:szCs w:val="22"/>
        </w:rPr>
        <w:t>号）评估报告，不存在重大减值风险，。</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Horwath</w:t>
      </w:r>
      <w:r>
        <w:rPr>
          <w:color w:val="000000"/>
          <w:spacing w:val="0"/>
          <w:w w:val="100"/>
          <w:position w:val="0"/>
          <w:sz w:val="22"/>
          <w:szCs w:val="22"/>
        </w:rPr>
        <w:t>：</w:t>
      </w:r>
      <w:r>
        <w:rPr>
          <w:color w:val="000000"/>
          <w:spacing w:val="0"/>
          <w:w w:val="100"/>
          <w:position w:val="0"/>
          <w:sz w:val="22"/>
          <w:szCs w:val="22"/>
        </w:rPr>
        <w:t>本公司以</w:t>
      </w:r>
      <w:r>
        <w:rPr>
          <w:rFonts w:ascii="Times New Roman" w:eastAsia="Times New Roman" w:hAnsi="Times New Roman" w:cs="Times New Roman"/>
          <w:color w:val="000000"/>
          <w:spacing w:val="0"/>
          <w:w w:val="100"/>
          <w:position w:val="0"/>
          <w:sz w:val="22"/>
          <w:szCs w:val="22"/>
        </w:rPr>
        <w:t>Horwath</w:t>
      </w:r>
      <w:r>
        <w:rPr>
          <w:color w:val="000000"/>
          <w:spacing w:val="0"/>
          <w:w w:val="100"/>
          <w:position w:val="0"/>
          <w:sz w:val="22"/>
          <w:szCs w:val="22"/>
        </w:rPr>
        <w:t>合并的长期资产（固定资产、无形资产）作为相关资产组组合， 该资产组组合与购买日及以前年度商誉减值测试所确定的资产组一致。</w:t>
      </w:r>
    </w:p>
    <w:p>
      <w:pPr>
        <w:pStyle w:val="Style35"/>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：石基零售、上海时运、长益科技、广州合光：本公司以石基零售合并的长期资产（固定资 产、无形资产、开发支出）作为相关资产组组合，该资产组组合与以前年度商誉减值测试时所确定的 资产组一致。本公司聘请中资资产评估有限公司出具了《北京中长石基信息技术股份有限公司以财务 报告目的商誉减值测试所涉及及</w:t>
      </w:r>
      <w:r>
        <w:rPr>
          <w:rFonts w:ascii="Times New Roman" w:eastAsia="Times New Roman" w:hAnsi="Times New Roman" w:cs="Times New Roman"/>
          <w:color w:val="000000"/>
          <w:spacing w:val="0"/>
          <w:w w:val="100"/>
          <w:position w:val="0"/>
          <w:sz w:val="22"/>
          <w:szCs w:val="22"/>
        </w:rPr>
        <w:t>Shiji Retail Information Technology Co. Ltd</w:t>
      </w:r>
      <w:r>
        <w:rPr>
          <w:color w:val="000000"/>
          <w:spacing w:val="0"/>
          <w:w w:val="100"/>
          <w:position w:val="0"/>
          <w:sz w:val="22"/>
          <w:szCs w:val="22"/>
        </w:rPr>
        <w:t>资产组可收回价值项目》（中 资评报字</w:t>
      </w:r>
      <w:r>
        <w:rPr>
          <w:rFonts w:ascii="Times New Roman" w:eastAsia="Times New Roman" w:hAnsi="Times New Roman" w:cs="Times New Roman"/>
          <w:color w:val="000000"/>
          <w:spacing w:val="0"/>
          <w:w w:val="100"/>
          <w:position w:val="0"/>
          <w:sz w:val="22"/>
          <w:szCs w:val="22"/>
        </w:rPr>
        <w:t>[2021]149</w:t>
      </w:r>
      <w:r>
        <w:rPr>
          <w:color w:val="000000"/>
          <w:spacing w:val="0"/>
          <w:w w:val="100"/>
          <w:position w:val="0"/>
          <w:sz w:val="22"/>
          <w:szCs w:val="22"/>
        </w:rPr>
        <w:t>号）评估报告资，不存在重大减值风险。</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：宝库在线：本公司以宝库在线合并的长期资产（固定资产、无形资产）作为相关的资产组 组合，该资产组组合与购买日所确定的资产组一致。</w:t>
      </w:r>
    </w:p>
    <w:p>
      <w:pPr>
        <w:pStyle w:val="Style35"/>
        <w:keepNext w:val="0"/>
        <w:keepLines w:val="0"/>
        <w:widowControl w:val="0"/>
        <w:shd w:val="clear" w:color="auto" w:fill="auto"/>
        <w:bidi w:val="0"/>
        <w:spacing w:before="0" w:after="220" w:line="315"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Shiji Enterprise Platform</w:t>
      </w:r>
      <w:r>
        <w:rPr>
          <w:color w:val="000000"/>
          <w:spacing w:val="0"/>
          <w:w w:val="100"/>
          <w:position w:val="0"/>
          <w:sz w:val="22"/>
          <w:szCs w:val="22"/>
        </w:rPr>
        <w:t>资产组</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本公司着眼于新一代基于云基础的酒店经营一体化解决方 案，与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年将石基新加坡公司的</w:t>
      </w:r>
      <w:r>
        <w:rPr>
          <w:rFonts w:ascii="Times New Roman" w:eastAsia="Times New Roman" w:hAnsi="Times New Roman" w:cs="Times New Roman"/>
          <w:color w:val="000000"/>
          <w:spacing w:val="0"/>
          <w:w w:val="100"/>
          <w:position w:val="0"/>
          <w:sz w:val="22"/>
          <w:szCs w:val="22"/>
        </w:rPr>
        <w:t>AC cloud</w:t>
      </w:r>
      <w:r>
        <w:rPr>
          <w:color w:val="000000"/>
          <w:spacing w:val="0"/>
          <w:w w:val="100"/>
          <w:position w:val="0"/>
          <w:sz w:val="22"/>
          <w:szCs w:val="22"/>
        </w:rPr>
        <w:t>平台、</w:t>
      </w:r>
      <w:r>
        <w:rPr>
          <w:rFonts w:ascii="Times New Roman" w:eastAsia="Times New Roman" w:hAnsi="Times New Roman" w:cs="Times New Roman"/>
          <w:color w:val="000000"/>
          <w:spacing w:val="0"/>
          <w:w w:val="100"/>
          <w:position w:val="0"/>
          <w:sz w:val="22"/>
          <w:szCs w:val="22"/>
        </w:rPr>
        <w:t>Shiji Gmbh</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Conceptek</w:t>
      </w:r>
      <w:r>
        <w:rPr>
          <w:color w:val="000000"/>
          <w:spacing w:val="0"/>
          <w:w w:val="100"/>
          <w:position w:val="0"/>
          <w:sz w:val="22"/>
          <w:szCs w:val="22"/>
        </w:rPr>
        <w:t>的长期资产（固定资产、无 形资产）整合作为相关资产组组合，该资产组主要进行</w:t>
      </w:r>
      <w:r>
        <w:rPr>
          <w:rFonts w:ascii="Times New Roman" w:eastAsia="Times New Roman" w:hAnsi="Times New Roman" w:cs="Times New Roman"/>
          <w:color w:val="000000"/>
          <w:spacing w:val="0"/>
          <w:w w:val="100"/>
          <w:position w:val="0"/>
          <w:sz w:val="22"/>
          <w:szCs w:val="22"/>
        </w:rPr>
        <w:t>Shiji Enterprise Platform</w:t>
      </w:r>
      <w:r>
        <w:rPr>
          <w:color w:val="000000"/>
          <w:spacing w:val="0"/>
          <w:w w:val="100"/>
          <w:position w:val="0"/>
          <w:sz w:val="22"/>
          <w:szCs w:val="22"/>
        </w:rPr>
        <w:t>产品的研发、销售及运 营。该资产组合并了原通过收购取得</w:t>
      </w:r>
      <w:r>
        <w:rPr>
          <w:rFonts w:ascii="Times New Roman" w:eastAsia="Times New Roman" w:hAnsi="Times New Roman" w:cs="Times New Roman"/>
          <w:color w:val="000000"/>
          <w:spacing w:val="0"/>
          <w:w w:val="100"/>
          <w:position w:val="0"/>
          <w:sz w:val="22"/>
          <w:szCs w:val="22"/>
        </w:rPr>
        <w:t>Gmbh</w:t>
      </w:r>
      <w:r>
        <w:rPr>
          <w:color w:val="000000"/>
          <w:spacing w:val="0"/>
          <w:w w:val="100"/>
          <w:position w:val="0"/>
          <w:sz w:val="22"/>
          <w:szCs w:val="22"/>
        </w:rPr>
        <w:t>资产、</w:t>
      </w:r>
      <w:r>
        <w:rPr>
          <w:rFonts w:ascii="Times New Roman" w:eastAsia="Times New Roman" w:hAnsi="Times New Roman" w:cs="Times New Roman"/>
          <w:color w:val="000000"/>
          <w:spacing w:val="0"/>
          <w:w w:val="100"/>
          <w:position w:val="0"/>
          <w:sz w:val="22"/>
          <w:szCs w:val="22"/>
        </w:rPr>
        <w:t>Conceptek</w:t>
      </w:r>
      <w:r>
        <w:rPr>
          <w:color w:val="000000"/>
          <w:spacing w:val="0"/>
          <w:w w:val="100"/>
          <w:position w:val="0"/>
          <w:sz w:val="22"/>
          <w:szCs w:val="22"/>
        </w:rPr>
        <w:t>资产组商誉，进行减值测试。</w:t>
      </w:r>
    </w:p>
    <w:p>
      <w:pPr>
        <w:pStyle w:val="Style35"/>
        <w:keepNext w:val="0"/>
        <w:keepLines w:val="0"/>
        <w:widowControl w:val="0"/>
        <w:shd w:val="clear" w:color="auto" w:fill="auto"/>
        <w:bidi w:val="0"/>
        <w:spacing w:before="0" w:after="240" w:line="32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Shiji Spain:</w:t>
      </w:r>
      <w:r>
        <w:rPr>
          <w:color w:val="000000"/>
          <w:spacing w:val="0"/>
          <w:w w:val="100"/>
          <w:position w:val="0"/>
          <w:sz w:val="22"/>
          <w:szCs w:val="22"/>
        </w:rPr>
        <w:t>本公司以</w:t>
      </w:r>
      <w:r>
        <w:rPr>
          <w:rFonts w:ascii="Times New Roman" w:eastAsia="Times New Roman" w:hAnsi="Times New Roman" w:cs="Times New Roman"/>
          <w:color w:val="000000"/>
          <w:spacing w:val="0"/>
          <w:w w:val="100"/>
          <w:position w:val="0"/>
          <w:sz w:val="22"/>
          <w:szCs w:val="22"/>
        </w:rPr>
        <w:t>Shiji Spain</w:t>
      </w:r>
      <w:r>
        <w:rPr>
          <w:color w:val="000000"/>
          <w:spacing w:val="0"/>
          <w:w w:val="100"/>
          <w:position w:val="0"/>
          <w:sz w:val="22"/>
          <w:szCs w:val="22"/>
        </w:rPr>
        <w:t>的长期资产（固定资产、无形资产）作为相关资产组组合， 该资产组组合与购买日及以前年度商誉减值测试所确定的资产组一致。</w:t>
      </w:r>
    </w:p>
    <w:p>
      <w:pPr>
        <w:pStyle w:val="Style35"/>
        <w:keepNext w:val="0"/>
        <w:keepLines w:val="0"/>
        <w:widowControl w:val="0"/>
        <w:shd w:val="clear" w:color="auto" w:fill="auto"/>
        <w:tabs>
          <w:tab w:pos="1871" w:val="left"/>
        </w:tabs>
        <w:bidi w:val="0"/>
        <w:spacing w:before="0" w:after="0" w:line="30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PLC</w:t>
      </w:r>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2"/>
          <w:szCs w:val="22"/>
        </w:rPr>
        <w:t>PLC</w:t>
      </w:r>
      <w:r>
        <w:rPr>
          <w:color w:val="000000"/>
          <w:spacing w:val="0"/>
          <w:w w:val="100"/>
          <w:position w:val="0"/>
          <w:sz w:val="22"/>
          <w:szCs w:val="22"/>
        </w:rPr>
        <w:t>主要经营单位为苏州环企，本公司以苏州环企的长期资产（固定资产、无形</w:t>
      </w:r>
    </w:p>
    <w:p>
      <w:pPr>
        <w:pStyle w:val="Style35"/>
        <w:keepNext w:val="0"/>
        <w:keepLines w:val="0"/>
        <w:widowControl w:val="0"/>
        <w:shd w:val="clear" w:color="auto" w:fill="auto"/>
        <w:bidi w:val="0"/>
        <w:spacing w:before="0" w:after="240" w:line="307" w:lineRule="exact"/>
        <w:ind w:left="0" w:right="0" w:firstLine="0"/>
        <w:jc w:val="left"/>
        <w:rPr>
          <w:sz w:val="22"/>
          <w:szCs w:val="22"/>
        </w:rPr>
      </w:pPr>
      <w:r>
        <w:rPr>
          <w:color w:val="000000"/>
          <w:spacing w:val="0"/>
          <w:w w:val="100"/>
          <w:position w:val="0"/>
          <w:sz w:val="22"/>
          <w:szCs w:val="22"/>
        </w:rPr>
        <w:t>资产）作为相关资产组组合，该资产组组合与购买日及以前年度商誉减值测试所确定的资产组一致。 本公司根据中资资产评估有限公司出具的《北京中长石基信息技术股份有限公司以财务报告目的商誉 减值测试所涉及石基环企软件（苏州）有限公司资产组可收回价值项目》（中资评报字</w:t>
      </w:r>
      <w:r>
        <w:rPr>
          <w:rFonts w:ascii="Times New Roman" w:eastAsia="Times New Roman" w:hAnsi="Times New Roman" w:cs="Times New Roman"/>
          <w:color w:val="000000"/>
          <w:spacing w:val="0"/>
          <w:w w:val="100"/>
          <w:position w:val="0"/>
          <w:sz w:val="22"/>
          <w:szCs w:val="22"/>
        </w:rPr>
        <w:t>[2021]104</w:t>
      </w:r>
      <w:r>
        <w:rPr>
          <w:color w:val="000000"/>
          <w:spacing w:val="0"/>
          <w:w w:val="100"/>
          <w:position w:val="0"/>
          <w:sz w:val="22"/>
          <w:szCs w:val="22"/>
        </w:rPr>
        <w:t>号） 的评估结果，</w:t>
      </w:r>
      <w:r>
        <w:rPr>
          <w:rFonts w:ascii="Times New Roman" w:eastAsia="Times New Roman" w:hAnsi="Times New Roman" w:cs="Times New Roman"/>
          <w:color w:val="000000"/>
          <w:spacing w:val="0"/>
          <w:w w:val="100"/>
          <w:position w:val="0"/>
          <w:sz w:val="22"/>
          <w:szCs w:val="22"/>
        </w:rPr>
        <w:t>PLC</w:t>
      </w:r>
      <w:r>
        <w:rPr>
          <w:color w:val="000000"/>
          <w:spacing w:val="0"/>
          <w:w w:val="100"/>
          <w:position w:val="0"/>
          <w:sz w:val="22"/>
          <w:szCs w:val="22"/>
        </w:rPr>
        <w:t>资产组本年度计提减值准备</w:t>
      </w:r>
      <w:r>
        <w:rPr>
          <w:rFonts w:ascii="Times New Roman" w:eastAsia="Times New Roman" w:hAnsi="Times New Roman" w:cs="Times New Roman"/>
          <w:color w:val="000000"/>
          <w:spacing w:val="0"/>
          <w:w w:val="100"/>
          <w:position w:val="0"/>
          <w:sz w:val="22"/>
          <w:szCs w:val="22"/>
        </w:rPr>
        <w:t>15,005,600.00</w:t>
      </w:r>
      <w:r>
        <w:rPr>
          <w:color w:val="000000"/>
          <w:spacing w:val="0"/>
          <w:w w:val="100"/>
          <w:position w:val="0"/>
          <w:sz w:val="22"/>
          <w:szCs w:val="22"/>
        </w:rPr>
        <w:t>元。</w:t>
      </w:r>
    </w:p>
    <w:p>
      <w:pPr>
        <w:pStyle w:val="Style35"/>
        <w:keepNext w:val="0"/>
        <w:keepLines w:val="0"/>
        <w:widowControl w:val="0"/>
        <w:shd w:val="clear" w:color="auto" w:fill="auto"/>
        <w:bidi w:val="0"/>
        <w:spacing w:before="0" w:after="240" w:line="314"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Stayntouch Inc:</w:t>
      </w:r>
      <w:r>
        <w:rPr>
          <w:color w:val="000000"/>
          <w:spacing w:val="0"/>
          <w:w w:val="100"/>
          <w:position w:val="0"/>
          <w:sz w:val="22"/>
          <w:szCs w:val="22"/>
        </w:rPr>
        <w:t>本公司以</w:t>
      </w:r>
      <w:r>
        <w:rPr>
          <w:rFonts w:ascii="Times New Roman" w:eastAsia="Times New Roman" w:hAnsi="Times New Roman" w:cs="Times New Roman"/>
          <w:color w:val="000000"/>
          <w:spacing w:val="0"/>
          <w:w w:val="100"/>
          <w:position w:val="0"/>
          <w:sz w:val="22"/>
          <w:szCs w:val="22"/>
        </w:rPr>
        <w:t>Stayntouch Inc</w:t>
      </w:r>
      <w:r>
        <w:rPr>
          <w:color w:val="000000"/>
          <w:spacing w:val="0"/>
          <w:w w:val="100"/>
          <w:position w:val="0"/>
          <w:sz w:val="22"/>
          <w:szCs w:val="22"/>
        </w:rPr>
        <w:t>的长期资产（固定资产、无形资产）作为相关资产 组组合，该资产组组合与购买日及以前年度商誉减值测试所确定的资产组一致，本公司将</w:t>
      </w:r>
      <w:r>
        <w:rPr>
          <w:rFonts w:ascii="Times New Roman" w:eastAsia="Times New Roman" w:hAnsi="Times New Roman" w:cs="Times New Roman"/>
          <w:color w:val="000000"/>
          <w:spacing w:val="0"/>
          <w:w w:val="100"/>
          <w:position w:val="0"/>
          <w:sz w:val="22"/>
          <w:szCs w:val="22"/>
        </w:rPr>
        <w:t>Stayntouch Inc</w:t>
      </w:r>
      <w:r>
        <w:rPr>
          <w:color w:val="000000"/>
          <w:spacing w:val="0"/>
          <w:w w:val="100"/>
          <w:position w:val="0"/>
          <w:sz w:val="22"/>
          <w:szCs w:val="22"/>
        </w:rPr>
        <w:t>公司出售，本年末该资产组所含商誉金额减至零。</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：青岛海信：本公司以青岛海信的长期资产（无形资产、固定资产、在建工程）作为相关资 产组组合，该资产组与购买日所确定的资产组一致。本公司聘请中资资产评估有限公司出具了《北京 中长石基信息技术股份有限公司以财务报告目的商誉减值测试所涉及青岛海信智能商用系统股份有 限公司资产组可收回价值项目》（中资评报字</w:t>
      </w:r>
      <w:r>
        <w:rPr>
          <w:rFonts w:ascii="Times New Roman" w:eastAsia="Times New Roman" w:hAnsi="Times New Roman" w:cs="Times New Roman"/>
          <w:color w:val="000000"/>
          <w:spacing w:val="0"/>
          <w:w w:val="100"/>
          <w:position w:val="0"/>
          <w:sz w:val="22"/>
          <w:szCs w:val="22"/>
        </w:rPr>
        <w:t>[2021]148</w:t>
      </w:r>
      <w:r>
        <w:rPr>
          <w:color w:val="000000"/>
          <w:spacing w:val="0"/>
          <w:w w:val="100"/>
          <w:position w:val="0"/>
          <w:sz w:val="22"/>
          <w:szCs w:val="22"/>
        </w:rPr>
        <w:t>号）评估报告。</w:t>
      </w:r>
    </w:p>
    <w:p>
      <w:pPr>
        <w:pStyle w:val="Style35"/>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：石基美国：本公司为加强北美地区的协调管理，</w:t>
      </w:r>
      <w:r>
        <w:rPr>
          <w:rFonts w:ascii="Times New Roman" w:eastAsia="Times New Roman" w:hAnsi="Times New Roman" w:cs="Times New Roman"/>
          <w:color w:val="000000"/>
          <w:spacing w:val="0"/>
          <w:w w:val="100"/>
          <w:position w:val="0"/>
          <w:sz w:val="22"/>
          <w:szCs w:val="22"/>
        </w:rPr>
        <w:t>CE PORTAL INC</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Touchpeak</w:t>
      </w:r>
      <w:r>
        <w:rPr>
          <w:color w:val="000000"/>
          <w:spacing w:val="0"/>
          <w:w w:val="100"/>
          <w:position w:val="0"/>
          <w:sz w:val="22"/>
          <w:szCs w:val="22"/>
        </w:rPr>
        <w:t>通过吸收合 并的方式并入石基美国公司，期末以</w:t>
      </w:r>
      <w:r>
        <w:rPr>
          <w:rFonts w:ascii="Times New Roman" w:eastAsia="Times New Roman" w:hAnsi="Times New Roman" w:cs="Times New Roman"/>
          <w:color w:val="000000"/>
          <w:spacing w:val="0"/>
          <w:w w:val="100"/>
          <w:position w:val="0"/>
          <w:sz w:val="22"/>
          <w:szCs w:val="22"/>
        </w:rPr>
        <w:t>ICE PORTAL INC</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Touchpeak</w:t>
      </w:r>
      <w:r>
        <w:rPr>
          <w:color w:val="000000"/>
          <w:spacing w:val="0"/>
          <w:w w:val="100"/>
          <w:position w:val="0"/>
          <w:sz w:val="22"/>
          <w:szCs w:val="22"/>
        </w:rPr>
        <w:t>资产组与石基美国的长期资产（无 形资产、固定资产）作为相关资产组组合，与原收购</w:t>
      </w:r>
      <w:r>
        <w:rPr>
          <w:rFonts w:ascii="Times New Roman" w:eastAsia="Times New Roman" w:hAnsi="Times New Roman" w:cs="Times New Roman"/>
          <w:color w:val="000000"/>
          <w:spacing w:val="0"/>
          <w:w w:val="100"/>
          <w:position w:val="0"/>
          <w:sz w:val="22"/>
          <w:szCs w:val="22"/>
        </w:rPr>
        <w:t>ICE PORTAL INC</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Touchpeak</w:t>
      </w:r>
      <w:r>
        <w:rPr>
          <w:color w:val="000000"/>
          <w:spacing w:val="0"/>
          <w:w w:val="100"/>
          <w:position w:val="0"/>
          <w:sz w:val="22"/>
          <w:szCs w:val="22"/>
        </w:rPr>
        <w:t>形成的商誉合并进 行减值测试。</w:t>
      </w:r>
    </w:p>
    <w:p>
      <w:pPr>
        <w:pStyle w:val="Style35"/>
        <w:keepNext w:val="0"/>
        <w:keepLines w:val="0"/>
        <w:widowControl w:val="0"/>
        <w:shd w:val="clear" w:color="auto" w:fill="auto"/>
        <w:bidi w:val="0"/>
        <w:spacing w:before="0" w:after="300" w:line="32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Quick Check</w:t>
      </w:r>
      <w:r>
        <w:rPr>
          <w:color w:val="000000"/>
          <w:spacing w:val="0"/>
          <w:w w:val="100"/>
          <w:position w:val="0"/>
          <w:sz w:val="22"/>
          <w:szCs w:val="22"/>
        </w:rPr>
        <w:t>:本公司期末以</w:t>
      </w:r>
      <w:r>
        <w:rPr>
          <w:rFonts w:ascii="Times New Roman" w:eastAsia="Times New Roman" w:hAnsi="Times New Roman" w:cs="Times New Roman"/>
          <w:color w:val="000000"/>
          <w:spacing w:val="0"/>
          <w:w w:val="100"/>
          <w:position w:val="0"/>
          <w:sz w:val="22"/>
          <w:szCs w:val="22"/>
        </w:rPr>
        <w:t>Quick Check</w:t>
      </w:r>
      <w:r>
        <w:rPr>
          <w:color w:val="000000"/>
          <w:spacing w:val="0"/>
          <w:w w:val="100"/>
          <w:position w:val="0"/>
          <w:sz w:val="22"/>
          <w:szCs w:val="22"/>
        </w:rPr>
        <w:t>的长期资产（无形资产、固定资产）作为相关资 产组组合，该资产组与购买日所确定的资产组一致。</w:t>
      </w:r>
    </w:p>
    <w:p>
      <w:pPr>
        <w:pStyle w:val="Style28"/>
        <w:keepNext w:val="0"/>
        <w:keepLines w:val="0"/>
        <w:widowControl w:val="0"/>
        <w:shd w:val="clear" w:color="auto" w:fill="auto"/>
        <w:bidi w:val="0"/>
        <w:spacing w:before="0" w:after="24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5"/>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注：公司期末对与商誉相关的各资产组进行了商誉减值测试，首先将该商誉及归属于少数股东权 益的商誉包括在内，调整各资产组的账面价值，然后将调整后的各资产组账面价值与其可收回金额进 行比较，以确定各资产组（包括商誉）是否发生了减值。</w:t>
      </w:r>
    </w:p>
    <w:p>
      <w:pPr>
        <w:pStyle w:val="Style26"/>
        <w:keepNext w:val="0"/>
        <w:keepLines w:val="0"/>
        <w:widowControl w:val="0"/>
        <w:shd w:val="clear" w:color="auto" w:fill="auto"/>
        <w:bidi w:val="0"/>
        <w:spacing w:before="0" w:after="0" w:line="240" w:lineRule="auto"/>
        <w:ind w:left="437" w:right="0" w:firstLine="0"/>
        <w:jc w:val="left"/>
        <w:rPr>
          <w:sz w:val="22"/>
          <w:szCs w:val="22"/>
        </w:rPr>
      </w:pPr>
      <w:r>
        <w:rPr>
          <w:color w:val="000000"/>
          <w:spacing w:val="0"/>
          <w:w w:val="100"/>
          <w:position w:val="0"/>
          <w:sz w:val="22"/>
          <w:szCs w:val="22"/>
        </w:rPr>
        <w:t>商誉减值测试情况如下:</w:t>
      </w:r>
    </w:p>
    <w:tbl>
      <w:tblPr>
        <w:tblOverlap w:val="never"/>
        <w:jc w:val="center"/>
        <w:tblLayout w:type="fixed"/>
      </w:tblPr>
      <w:tblGrid>
        <w:gridCol w:w="3648"/>
        <w:gridCol w:w="1234"/>
        <w:gridCol w:w="1147"/>
        <w:gridCol w:w="1368"/>
        <w:gridCol w:w="1166"/>
        <w:gridCol w:w="1104"/>
      </w:tblGrid>
      <w:tr>
        <w:trPr>
          <w:trHeight w:val="97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西软科技</w:t>
            </w:r>
          </w:p>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连边科技 资产组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Shiji.</w:t>
            </w:r>
          </w:p>
          <w:p>
            <w:pPr>
              <w:pStyle w:val="Style2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Information</w:t>
            </w:r>
          </w:p>
          <w:p>
            <w:pPr>
              <w:pStyle w:val="Style20"/>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资产组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银石计算机 资产组</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上海正品 资产组</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41,079,739.22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1,333,142.76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19,201,624.30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47,742,187.30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19,522,150.61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商誉减值准备余额②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6,360,774.78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商誉的账面价值③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41,079,739.22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1,333,142.76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19,201,624.30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47,742,187.30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13,161,375.83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未确认归属于少数股东权益的商誉价值④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571,346.90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6,032,697.13</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包含未确认归属于少数股东权益的商誉价值⑤ 祯+③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41,079,739.22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1,904,489.66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19,201,624.30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47,742,187.30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19,194,072.96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资产组的账面价值⑥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40,173,590.40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1,455,926.00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369,584.52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5,699,516.87</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包含整体商誉资产组的账面价值⑦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⑤</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83,157,819.28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20,657,550.30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48,111,771.82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24,893,589.83</w:t>
            </w:r>
          </w:p>
        </w:tc>
      </w:tr>
    </w:tbl>
    <w:p>
      <w:pPr>
        <w:widowControl w:val="0"/>
        <w:spacing w:line="1" w:lineRule="exact"/>
      </w:pPr>
      <w:r>
        <w:br w:type="page"/>
      </w:r>
    </w:p>
    <w:tbl>
      <w:tblPr>
        <w:tblOverlap w:val="never"/>
        <w:jc w:val="center"/>
        <w:tblLayout w:type="fixed"/>
      </w:tblPr>
      <w:tblGrid>
        <w:gridCol w:w="3648"/>
        <w:gridCol w:w="2381"/>
        <w:gridCol w:w="1368"/>
        <w:gridCol w:w="1166"/>
        <w:gridCol w:w="1104"/>
      </w:tblGrid>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资产组预计未来现金流量的现值（可收回金额）</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92,036,500.00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137,133,764.85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131,929,081.03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26,206,900.00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时）⑨</w:t>
            </w:r>
            <w:r>
              <w:rPr>
                <w:color w:val="000000"/>
                <w:spacing w:val="0"/>
                <w:w w:val="100"/>
                <w:position w:val="0"/>
                <w:sz w:val="18"/>
                <w:szCs w:val="18"/>
              </w:rPr>
              <w:t>二</w:t>
            </w:r>
            <w:r>
              <w:rPr>
                <w:color w:val="000000"/>
                <w:spacing w:val="0"/>
                <w:w w:val="100"/>
                <w:position w:val="0"/>
                <w:sz w:val="17"/>
                <w:szCs w:val="17"/>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59" w:line="1" w:lineRule="exact"/>
      </w:pPr>
    </w:p>
    <w:p>
      <w:pPr>
        <w:pStyle w:val="Style35"/>
        <w:keepNext w:val="0"/>
        <w:keepLines w:val="0"/>
        <w:widowControl w:val="0"/>
        <w:shd w:val="clear" w:color="auto" w:fill="auto"/>
        <w:bidi w:val="0"/>
        <w:spacing w:before="0" w:after="140" w:line="240" w:lineRule="auto"/>
        <w:ind w:left="0" w:right="0" w:firstLine="560"/>
        <w:jc w:val="left"/>
        <w:rPr>
          <w:sz w:val="22"/>
          <w:szCs w:val="22"/>
        </w:rPr>
      </w:pPr>
      <w:r>
        <w:rPr>
          <w:color w:val="000000"/>
          <w:spacing w:val="0"/>
          <w:w w:val="100"/>
          <w:position w:val="0"/>
          <w:sz w:val="22"/>
          <w:szCs w:val="22"/>
        </w:rPr>
        <w:t>（续表）</w:t>
      </w:r>
    </w:p>
    <w:tbl>
      <w:tblPr>
        <w:tblOverlap w:val="never"/>
        <w:jc w:val="center"/>
        <w:tblLayout w:type="fixed"/>
      </w:tblPr>
      <w:tblGrid>
        <w:gridCol w:w="3696"/>
        <w:gridCol w:w="1277"/>
        <w:gridCol w:w="989"/>
        <w:gridCol w:w="1277"/>
        <w:gridCol w:w="1277"/>
        <w:gridCol w:w="1142"/>
      </w:tblGrid>
      <w:tr>
        <w:trPr>
          <w:trHeight w:val="331"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思迅软件</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奥凯软件</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南京客至</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广州万迅</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Horwath</w:t>
            </w:r>
          </w:p>
        </w:tc>
      </w:tr>
      <w:tr>
        <w:trPr>
          <w:trHeight w:val="331" w:hRule="exact"/>
        </w:trPr>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资产组</w:t>
            </w:r>
          </w:p>
        </w:tc>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资产组</w:t>
            </w:r>
          </w:p>
        </w:tc>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资产组</w:t>
            </w:r>
          </w:p>
        </w:tc>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资产组</w:t>
            </w:r>
          </w:p>
        </w:tc>
        <w:tc>
          <w:tcPr>
            <w:tcBorders>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资产组</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155,906,824.65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520,173.45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5,045,531.13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81,885,284.79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56,760,032.46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商誉减值准备余额②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13,153,514.68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19,552,699.57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商誉的账面价值③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155,906,824.65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520,173.45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5,045,531.13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68,731,770.11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37,207,332.89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未确认归属于少数股东权益的商誉价值④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57,064,056.92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4,128,161.83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包含未确认归属于少数股东权益的商誉价值⑤ 祯+③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212,970,881.57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520,173.45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9,173,692.96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68,731,770.11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37,207,332.89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资产组的账面价值⑥</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49,734,387.79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8,133,347.55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180,054.60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包含整体商誉资产组的账面价值⑦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⑤</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272,399,135.77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76,865,117.66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37,387,387.49</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资产组预计未来现金流量的现值（可收回金额）</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⑧</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305,714,837.73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81,134,600.00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55,398,642.51</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时）⑨</w:t>
            </w:r>
            <w:r>
              <w:rPr>
                <w:color w:val="000000"/>
                <w:spacing w:val="0"/>
                <w:w w:val="100"/>
                <w:position w:val="0"/>
                <w:sz w:val="18"/>
                <w:szCs w:val="18"/>
              </w:rPr>
              <w:t>二</w:t>
            </w:r>
            <w:r>
              <w:rPr>
                <w:color w:val="000000"/>
                <w:spacing w:val="0"/>
                <w:w w:val="100"/>
                <w:position w:val="0"/>
                <w:sz w:val="17"/>
                <w:szCs w:val="17"/>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⑧</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59" w:line="1" w:lineRule="exact"/>
      </w:pPr>
    </w:p>
    <w:p>
      <w:pPr>
        <w:pStyle w:val="Style35"/>
        <w:keepNext w:val="0"/>
        <w:keepLines w:val="0"/>
        <w:widowControl w:val="0"/>
        <w:shd w:val="clear" w:color="auto" w:fill="auto"/>
        <w:bidi w:val="0"/>
        <w:spacing w:before="0" w:after="140" w:line="240" w:lineRule="auto"/>
        <w:ind w:left="0" w:right="0" w:firstLine="560"/>
        <w:jc w:val="left"/>
        <w:rPr>
          <w:sz w:val="22"/>
          <w:szCs w:val="22"/>
        </w:rPr>
      </w:pPr>
      <w:r>
        <w:rPr>
          <w:color w:val="000000"/>
          <w:spacing w:val="0"/>
          <w:w w:val="100"/>
          <w:position w:val="0"/>
          <w:sz w:val="22"/>
          <w:szCs w:val="22"/>
        </w:rPr>
        <w:t>（续表）</w:t>
      </w:r>
    </w:p>
    <w:tbl>
      <w:tblPr>
        <w:tblOverlap w:val="never"/>
        <w:jc w:val="center"/>
        <w:tblLayout w:type="fixed"/>
      </w:tblPr>
      <w:tblGrid>
        <w:gridCol w:w="3413"/>
        <w:gridCol w:w="1234"/>
        <w:gridCol w:w="1325"/>
        <w:gridCol w:w="1325"/>
        <w:gridCol w:w="1234"/>
        <w:gridCol w:w="1334"/>
      </w:tblGrid>
      <w:tr>
        <w:trPr>
          <w:trHeight w:val="65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上海时运 资产组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300"/>
              <w:jc w:val="left"/>
              <w:rPr>
                <w:sz w:val="17"/>
                <w:szCs w:val="17"/>
              </w:rPr>
            </w:pPr>
            <w:r>
              <w:rPr>
                <w:color w:val="000000"/>
                <w:spacing w:val="0"/>
                <w:w w:val="100"/>
                <w:position w:val="0"/>
                <w:sz w:val="17"/>
                <w:szCs w:val="17"/>
              </w:rPr>
              <w:t>长益科技</w:t>
            </w:r>
          </w:p>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资产组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石基零售 资产组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广州合光</w:t>
            </w:r>
          </w:p>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资产组</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宝库在线 资产组</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9,251,741.81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518,792,424.49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122,301,378.97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12,931,989.67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45,492,725.87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商誉减值准备余额②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商誉的账面价值③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9,251,741.81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518,792,424.49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122,301,378.97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12,931,989.67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45,492,725.87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未确认归属于少数股东权益的商誉价值④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3,083,913.94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317,969,550.49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74,958,909.69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7,926,058.18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8,028,128.09</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包含未确认归属于少数股东权益的商誉价 值⑤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12,335,655.75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836,761,974.98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197,260,288.66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20,858,047.85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53,520,853.96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资产组的账面价值⑥</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149,784,150.31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3,500,068.85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包含整体商誉资产组的账面价值⑦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⑤</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1,217,000,117.55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57,020,922.81</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资产组预计未来现金流量的现值（可收回金 额）⑧</w:t>
            </w:r>
          </w:p>
        </w:tc>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1,284,827,500.00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158,096,299.76</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时）⑨</w:t>
            </w:r>
            <w:r>
              <w:rPr>
                <w:color w:val="000000"/>
                <w:spacing w:val="0"/>
                <w:w w:val="100"/>
                <w:position w:val="0"/>
                <w:sz w:val="18"/>
                <w:szCs w:val="18"/>
              </w:rPr>
              <w:t>二</w:t>
            </w:r>
            <w:r>
              <w:rPr>
                <w:color w:val="000000"/>
                <w:spacing w:val="0"/>
                <w:w w:val="100"/>
                <w:position w:val="0"/>
                <w:sz w:val="17"/>
                <w:szCs w:val="17"/>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⑧</w:t>
            </w:r>
          </w:p>
        </w:tc>
        <w:tc>
          <w:tcPr>
            <w:gridSpan w:val="4"/>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59" w:line="1" w:lineRule="exact"/>
      </w:pPr>
    </w:p>
    <w:p>
      <w:pPr>
        <w:pStyle w:val="Style35"/>
        <w:keepNext w:val="0"/>
        <w:keepLines w:val="0"/>
        <w:widowControl w:val="0"/>
        <w:shd w:val="clear" w:color="auto" w:fill="auto"/>
        <w:bidi w:val="0"/>
        <w:spacing w:before="0" w:after="140" w:line="240" w:lineRule="auto"/>
        <w:ind w:left="0" w:right="0" w:firstLine="560"/>
        <w:jc w:val="left"/>
        <w:rPr>
          <w:sz w:val="22"/>
          <w:szCs w:val="22"/>
        </w:rPr>
      </w:pPr>
      <w:r>
        <w:rPr>
          <w:color w:val="000000"/>
          <w:spacing w:val="0"/>
          <w:w w:val="100"/>
          <w:position w:val="0"/>
          <w:sz w:val="22"/>
          <w:szCs w:val="22"/>
        </w:rPr>
        <w:t>（续表）</w:t>
      </w:r>
    </w:p>
    <w:tbl>
      <w:tblPr>
        <w:tblOverlap w:val="never"/>
        <w:jc w:val="center"/>
        <w:tblLayout w:type="fixed"/>
      </w:tblPr>
      <w:tblGrid>
        <w:gridCol w:w="2458"/>
        <w:gridCol w:w="1234"/>
        <w:gridCol w:w="1306"/>
        <w:gridCol w:w="1574"/>
        <w:gridCol w:w="1579"/>
        <w:gridCol w:w="1584"/>
      </w:tblGrid>
      <w:tr>
        <w:trPr>
          <w:trHeight w:val="350"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Shiji Enterprise Platform </w:t>
            </w:r>
            <w:r>
              <w:rPr>
                <w:color w:val="000000"/>
                <w:spacing w:val="0"/>
                <w:w w:val="100"/>
                <w:position w:val="0"/>
                <w:sz w:val="17"/>
                <w:szCs w:val="17"/>
              </w:rPr>
              <w:t>资产组</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PLC</w:t>
            </w:r>
          </w:p>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资产组</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Shiji Spain</w:t>
            </w:r>
          </w:p>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资产组</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青岛海信 资产组</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Shiji Gmbh</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Conceptek</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52,966,448.14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30,198,707.58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160,756,040.94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55,450,619.97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323,011,699.58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商誉减值准备余额②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商誉的账面价值③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52,966,448.14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30,198,707.58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160,756,040.94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55,450,619.97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323,011,699.58</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未确认归属于少数股东权益的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24,169,808.53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67,334,765.17</w:t>
            </w:r>
          </w:p>
        </w:tc>
      </w:tr>
    </w:tbl>
    <w:p>
      <w:pPr>
        <w:widowControl w:val="0"/>
        <w:spacing w:line="1" w:lineRule="exact"/>
      </w:pPr>
      <w:r>
        <w:br w:type="page"/>
      </w:r>
    </w:p>
    <w:tbl>
      <w:tblPr>
        <w:tblOverlap w:val="never"/>
        <w:jc w:val="center"/>
        <w:tblLayout w:type="fixed"/>
      </w:tblPr>
      <w:tblGrid>
        <w:gridCol w:w="2458"/>
        <w:gridCol w:w="1234"/>
        <w:gridCol w:w="1306"/>
        <w:gridCol w:w="1574"/>
        <w:gridCol w:w="1579"/>
        <w:gridCol w:w="1584"/>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包含未确认归属于少数股东权 益的商誉价值⑤</w:t>
            </w:r>
            <w:r>
              <w:rPr>
                <w:color w:val="000000"/>
                <w:spacing w:val="0"/>
                <w:w w:val="100"/>
                <w:position w:val="0"/>
                <w:sz w:val="18"/>
                <w:szCs w:val="18"/>
              </w:rPr>
              <w:t>二</w:t>
            </w:r>
            <w:r>
              <w:rPr>
                <w:color w:val="000000"/>
                <w:spacing w:val="0"/>
                <w:w w:val="100"/>
                <w:position w:val="0"/>
                <w:sz w:val="17"/>
                <w:szCs w:val="17"/>
              </w:rPr>
              <w:t>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52,966,448.14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30,198,707.58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184,925,849.47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55,450,619.97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390,346,464.75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资产组的账面价值⑥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739,332,645.37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6,162,618.30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81,116,440.84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65,099,825.88</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包含整体商誉资产组的账面价 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⑤</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822,497,801.09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191,088,467.77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136,567,060.81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455,446,290.63</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资产组预计未来现金流量的现 值（可收回金额）⑧</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4,578,067,923.90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173,826,762.95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339,063,846.18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500,681,000.00</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时）⑨</w:t>
            </w:r>
            <w:r>
              <w:rPr>
                <w:color w:val="000000"/>
                <w:spacing w:val="0"/>
                <w:w w:val="100"/>
                <w:position w:val="0"/>
                <w:sz w:val="18"/>
                <w:szCs w:val="18"/>
              </w:rPr>
              <w:t>二</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⑧</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17,261,704.82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商誉减值损失归属于母公司的 部分</w:t>
            </w:r>
          </w:p>
        </w:tc>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15,005,600.00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19" w:line="1" w:lineRule="exact"/>
      </w:pPr>
    </w:p>
    <w:p>
      <w:pPr>
        <w:pStyle w:val="Style35"/>
        <w:keepNext w:val="0"/>
        <w:keepLines w:val="0"/>
        <w:widowControl w:val="0"/>
        <w:shd w:val="clear" w:color="auto" w:fill="auto"/>
        <w:bidi w:val="0"/>
        <w:spacing w:before="0" w:after="140" w:line="240" w:lineRule="auto"/>
        <w:ind w:left="0" w:right="0" w:firstLine="580"/>
        <w:jc w:val="left"/>
        <w:rPr>
          <w:sz w:val="22"/>
          <w:szCs w:val="22"/>
        </w:rPr>
      </w:pPr>
      <w:r>
        <w:rPr>
          <w:color w:val="000000"/>
          <w:spacing w:val="0"/>
          <w:w w:val="100"/>
          <w:position w:val="0"/>
          <w:sz w:val="22"/>
          <w:szCs w:val="22"/>
        </w:rPr>
        <w:t>（续表）</w:t>
      </w:r>
    </w:p>
    <w:tbl>
      <w:tblPr>
        <w:tblOverlap w:val="never"/>
        <w:jc w:val="center"/>
        <w:tblLayout w:type="fixed"/>
      </w:tblPr>
      <w:tblGrid>
        <w:gridCol w:w="4373"/>
        <w:gridCol w:w="1733"/>
        <w:gridCol w:w="1560"/>
        <w:gridCol w:w="1992"/>
      </w:tblGrid>
      <w:tr>
        <w:trPr>
          <w:trHeight w:val="346" w:hRule="exact"/>
        </w:trPr>
        <w:tc>
          <w:tcPr>
            <w:vMerge w:val="restart"/>
            <w:tcBorders>
              <w:top w:val="single" w:sz="4"/>
              <w:left w:val="single" w:sz="4"/>
            </w:tcBorders>
            <w:shd w:val="clear" w:color="auto" w:fill="D4D4D4"/>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石基美国资产组</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Quick Check</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资产组</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ICE PORTAL INC</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TOUCHPEAK</w:t>
            </w:r>
          </w:p>
        </w:tc>
        <w:tc>
          <w:tcPr>
            <w:vMerge/>
            <w:tcBorders>
              <w:left w:val="single" w:sz="4"/>
              <w:right w:val="single" w:sz="4"/>
            </w:tcBorders>
            <w:shd w:val="clear" w:color="auto" w:fill="D4D4D4"/>
            <w:vAlign w:val="center"/>
          </w:tcPr>
          <w:p>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63,087,831.33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30,244,760.74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117,524,901.25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商誉减值准备余额②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商誉的账面价值③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63,087,831.33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30,244,760.74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117,524,901.25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未确认归属于少数股东权益的商誉价值④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包含未确认归属于少数股东权益的商誉价值⑤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63,087,831.33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30,244,760.74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117,524,901.25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资产组的账面价值⑥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33,456,708.60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95,186,661.89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包含整体商誉资产组的账面价值⑦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⑤</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126,789,300.67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212,711,563.14</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资产组预计未来现金流量的现值（可收回金额）⑧</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156,998,501.24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228,295,632.87</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时）⑨</w:t>
            </w:r>
            <w:r>
              <w:rPr>
                <w:color w:val="000000"/>
                <w:spacing w:val="0"/>
                <w:w w:val="100"/>
                <w:position w:val="0"/>
                <w:sz w:val="18"/>
                <w:szCs w:val="18"/>
              </w:rPr>
              <w:t>二</w:t>
            </w:r>
            <w:r>
              <w:rPr>
                <w:color w:val="000000"/>
                <w:spacing w:val="0"/>
                <w:w w:val="100"/>
                <w:position w:val="0"/>
                <w:sz w:val="17"/>
                <w:szCs w:val="17"/>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⑧</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19" w:line="1" w:lineRule="exact"/>
      </w:pPr>
    </w:p>
    <w:p>
      <w:pPr>
        <w:pStyle w:val="Style35"/>
        <w:keepNext w:val="0"/>
        <w:keepLines w:val="0"/>
        <w:widowControl w:val="0"/>
        <w:shd w:val="clear" w:color="auto" w:fill="auto"/>
        <w:tabs>
          <w:tab w:pos="838" w:val="left"/>
        </w:tabs>
        <w:bidi w:val="0"/>
        <w:spacing w:before="0" w:after="220" w:line="324" w:lineRule="exact"/>
        <w:ind w:left="0" w:right="0" w:firstLine="460"/>
        <w:jc w:val="left"/>
        <w:rPr>
          <w:sz w:val="22"/>
          <w:szCs w:val="22"/>
        </w:rPr>
      </w:pPr>
      <w:bookmarkStart w:id="1342" w:name="bookmark1342"/>
      <w:r>
        <w:rPr>
          <w:rFonts w:ascii="Times New Roman" w:eastAsia="Times New Roman" w:hAnsi="Times New Roman" w:cs="Times New Roman"/>
          <w:color w:val="000000"/>
          <w:spacing w:val="0"/>
          <w:w w:val="100"/>
          <w:position w:val="0"/>
          <w:sz w:val="22"/>
          <w:szCs w:val="22"/>
        </w:rPr>
        <w:t>1</w:t>
      </w:r>
      <w:bookmarkEnd w:id="1342"/>
      <w:r>
        <w:rPr>
          <w:color w:val="000000"/>
          <w:spacing w:val="0"/>
          <w:w w:val="100"/>
          <w:position w:val="0"/>
          <w:sz w:val="22"/>
          <w:szCs w:val="22"/>
        </w:rPr>
        <w:t>）</w:t>
        <w:tab/>
        <w:t>重要假设及依据</w:t>
      </w:r>
    </w:p>
    <w:p>
      <w:pPr>
        <w:pStyle w:val="Style35"/>
        <w:keepNext w:val="0"/>
        <w:keepLines w:val="0"/>
        <w:widowControl w:val="0"/>
        <w:shd w:val="clear" w:color="auto" w:fill="auto"/>
        <w:bidi w:val="0"/>
        <w:spacing w:before="0" w:after="140" w:line="324" w:lineRule="exact"/>
        <w:ind w:left="0" w:right="0" w:firstLine="460"/>
        <w:jc w:val="left"/>
        <w:rPr>
          <w:sz w:val="22"/>
          <w:szCs w:val="22"/>
        </w:rPr>
      </w:pPr>
      <w:r>
        <w:rPr>
          <w:color w:val="000000"/>
          <w:spacing w:val="0"/>
          <w:w w:val="100"/>
          <w:position w:val="0"/>
          <w:sz w:val="22"/>
          <w:szCs w:val="22"/>
        </w:rPr>
        <w:t>持续经营假设。本次估值假定被估值资产现有用途不变且估值对象持续经营。</w:t>
      </w:r>
    </w:p>
    <w:p>
      <w:pPr>
        <w:pStyle w:val="Style35"/>
        <w:keepNext w:val="0"/>
        <w:keepLines w:val="0"/>
        <w:widowControl w:val="0"/>
        <w:shd w:val="clear" w:color="auto" w:fill="auto"/>
        <w:bidi w:val="0"/>
        <w:spacing w:before="0" w:after="220" w:line="350" w:lineRule="exact"/>
        <w:ind w:left="0" w:right="0" w:firstLine="460"/>
        <w:jc w:val="both"/>
        <w:rPr>
          <w:sz w:val="22"/>
          <w:szCs w:val="22"/>
        </w:rPr>
      </w:pPr>
      <w:r>
        <w:rPr>
          <w:color w:val="000000"/>
          <w:spacing w:val="0"/>
          <w:w w:val="100"/>
          <w:position w:val="0"/>
          <w:sz w:val="22"/>
          <w:szCs w:val="22"/>
        </w:rPr>
        <w:t>被估值单位的经营活动和提供的服务符合国家的产业政策，各种经营活动合法，并在未来可预见 的时间内不会发生重大变化；</w:t>
      </w:r>
    </w:p>
    <w:p>
      <w:pPr>
        <w:pStyle w:val="Style35"/>
        <w:keepNext w:val="0"/>
        <w:keepLines w:val="0"/>
        <w:widowControl w:val="0"/>
        <w:shd w:val="clear" w:color="auto" w:fill="auto"/>
        <w:bidi w:val="0"/>
        <w:spacing w:before="0" w:after="220" w:line="298" w:lineRule="exact"/>
        <w:ind w:left="0" w:right="0" w:firstLine="460"/>
        <w:jc w:val="both"/>
        <w:rPr>
          <w:sz w:val="22"/>
          <w:szCs w:val="22"/>
        </w:rPr>
      </w:pPr>
      <w:r>
        <w:rPr>
          <w:color w:val="000000"/>
          <w:spacing w:val="0"/>
          <w:w w:val="100"/>
          <w:position w:val="0"/>
          <w:sz w:val="22"/>
          <w:szCs w:val="22"/>
        </w:rPr>
        <w:t>本次预测是基于现有的国家法律、法规、税收政策以及金融政策，不考虑今后的不可预测的重大 变化；</w:t>
      </w:r>
    </w:p>
    <w:p>
      <w:pPr>
        <w:pStyle w:val="Style35"/>
        <w:keepNext w:val="0"/>
        <w:keepLines w:val="0"/>
        <w:widowControl w:val="0"/>
        <w:shd w:val="clear" w:color="auto" w:fill="auto"/>
        <w:bidi w:val="0"/>
        <w:spacing w:before="0" w:after="220" w:line="324" w:lineRule="exact"/>
        <w:ind w:left="0" w:right="0" w:firstLine="460"/>
        <w:jc w:val="left"/>
        <w:rPr>
          <w:sz w:val="22"/>
          <w:szCs w:val="22"/>
        </w:rPr>
      </w:pPr>
      <w:r>
        <w:rPr>
          <w:color w:val="000000"/>
          <w:spacing w:val="0"/>
          <w:w w:val="100"/>
          <w:position w:val="0"/>
          <w:sz w:val="22"/>
          <w:szCs w:val="22"/>
        </w:rPr>
        <w:t>假设利率、汇率、税赋基准及税率，在国家规定的正常范围内无重大变化等。</w:t>
      </w:r>
    </w:p>
    <w:p>
      <w:pPr>
        <w:pStyle w:val="Style35"/>
        <w:keepNext w:val="0"/>
        <w:keepLines w:val="0"/>
        <w:widowControl w:val="0"/>
        <w:shd w:val="clear" w:color="auto" w:fill="auto"/>
        <w:tabs>
          <w:tab w:pos="862" w:val="left"/>
        </w:tabs>
        <w:bidi w:val="0"/>
        <w:spacing w:before="0" w:after="140" w:line="324" w:lineRule="exact"/>
        <w:ind w:left="0" w:right="0" w:firstLine="460"/>
        <w:jc w:val="left"/>
        <w:rPr>
          <w:sz w:val="22"/>
          <w:szCs w:val="22"/>
        </w:rPr>
      </w:pPr>
      <w:bookmarkStart w:id="1343" w:name="bookmark1343"/>
      <w:r>
        <w:rPr>
          <w:rFonts w:ascii="Times New Roman" w:eastAsia="Times New Roman" w:hAnsi="Times New Roman" w:cs="Times New Roman"/>
          <w:color w:val="000000"/>
          <w:spacing w:val="0"/>
          <w:w w:val="100"/>
          <w:position w:val="0"/>
          <w:sz w:val="22"/>
          <w:szCs w:val="22"/>
        </w:rPr>
        <w:t>2</w:t>
      </w:r>
      <w:bookmarkEnd w:id="1343"/>
      <w:r>
        <w:rPr>
          <w:color w:val="000000"/>
          <w:spacing w:val="0"/>
          <w:w w:val="100"/>
          <w:position w:val="0"/>
          <w:sz w:val="22"/>
          <w:szCs w:val="22"/>
        </w:rPr>
        <w:t>）</w:t>
        <w:tab/>
        <w:t>关键参数</w:t>
      </w:r>
    </w:p>
    <w:tbl>
      <w:tblPr>
        <w:tblOverlap w:val="never"/>
        <w:jc w:val="center"/>
        <w:tblLayout w:type="fixed"/>
      </w:tblPr>
      <w:tblGrid>
        <w:gridCol w:w="1426"/>
        <w:gridCol w:w="2779"/>
        <w:gridCol w:w="1334"/>
        <w:gridCol w:w="739"/>
        <w:gridCol w:w="1810"/>
        <w:gridCol w:w="1570"/>
      </w:tblGrid>
      <w:tr>
        <w:trPr>
          <w:trHeight w:val="350"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单位名称</w:t>
            </w:r>
          </w:p>
        </w:tc>
        <w:tc>
          <w:tcPr>
            <w:gridSpan w:val="5"/>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关键参数</w:t>
            </w:r>
          </w:p>
        </w:tc>
      </w:tr>
      <w:tr>
        <w:trPr>
          <w:trHeight w:val="65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预测期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预测期增长率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b/>
                <w:bCs/>
                <w:color w:val="000000"/>
                <w:spacing w:val="0"/>
                <w:w w:val="100"/>
                <w:position w:val="0"/>
                <w:sz w:val="17"/>
                <w:szCs w:val="17"/>
              </w:rPr>
              <w:t>稳定期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增长率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利润率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折现率（加权平均资</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本成本</w:t>
            </w:r>
            <w:r>
              <w:rPr>
                <w:rFonts w:ascii="Times New Roman" w:eastAsia="Times New Roman" w:hAnsi="Times New Roman" w:cs="Times New Roman"/>
                <w:b/>
                <w:bCs/>
                <w:color w:val="000000"/>
                <w:spacing w:val="0"/>
                <w:w w:val="100"/>
                <w:position w:val="0"/>
                <w:sz w:val="18"/>
                <w:szCs w:val="18"/>
              </w:rPr>
              <w:t>WACC</w:t>
            </w:r>
            <w:r>
              <w:rPr>
                <w:b/>
                <w:bCs/>
                <w:color w:val="000000"/>
                <w:spacing w:val="0"/>
                <w:w w:val="100"/>
                <w:position w:val="0"/>
                <w:sz w:val="17"/>
                <w:szCs w:val="17"/>
              </w:rPr>
              <w:t>）</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西软科技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根据预测的收入、成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14.58%</w:t>
            </w:r>
          </w:p>
        </w:tc>
      </w:tr>
    </w:tbl>
    <w:p>
      <w:pPr>
        <w:widowControl w:val="0"/>
        <w:spacing w:line="1" w:lineRule="exact"/>
      </w:pPr>
      <w:r>
        <w:br w:type="page"/>
      </w:r>
    </w:p>
    <w:tbl>
      <w:tblPr>
        <w:tblOverlap w:val="never"/>
        <w:jc w:val="center"/>
        <w:tblLayout w:type="fixed"/>
      </w:tblPr>
      <w:tblGrid>
        <w:gridCol w:w="1426"/>
        <w:gridCol w:w="2779"/>
        <w:gridCol w:w="1334"/>
        <w:gridCol w:w="739"/>
        <w:gridCol w:w="1810"/>
        <w:gridCol w:w="1570"/>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-32%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银石计算机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14.35%</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上海正品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14.30%</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深圳思迅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14.35%</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广州万讯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浩华管理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石基零售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14.31%</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宝库在线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17.42%</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Enterprise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Platform</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10.47%</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Spain</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6.44%</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PLC</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14.15%</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石基美国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根据预测的收入、成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本、费用等计算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13.31%</w:t>
            </w:r>
          </w:p>
        </w:tc>
      </w:tr>
      <w:tr>
        <w:trPr>
          <w:trHeight w:val="66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Quick Check</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年（后续为稳定期）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根据预测的收入、成 本、费用等计算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21.70%</w:t>
            </w:r>
          </w:p>
        </w:tc>
      </w:tr>
    </w:tbl>
    <w:p>
      <w:pPr>
        <w:widowControl w:val="0"/>
        <w:spacing w:after="219" w:line="1" w:lineRule="exact"/>
      </w:pPr>
    </w:p>
    <w:p>
      <w:pPr>
        <w:pStyle w:val="Style35"/>
        <w:keepNext w:val="0"/>
        <w:keepLines w:val="0"/>
        <w:widowControl w:val="0"/>
        <w:shd w:val="clear" w:color="auto" w:fill="auto"/>
        <w:bidi w:val="0"/>
        <w:spacing w:before="0" w:after="220" w:line="313" w:lineRule="exact"/>
        <w:ind w:left="0" w:right="0" w:firstLine="46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：上海正品资产组：资产组预测期收入增长率为</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年受疫情影响，上海正品收 入规模与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年相比下降</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。随着疫情的影响逐步减小，上海正品业务开展已逐步回归正常。本公 司在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年末对上海正品资产组进行减值测试时预计</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年收入和</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年相比增长</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2"/>
          <w:szCs w:val="22"/>
        </w:rPr>
        <w:t>,增长率较高 的主要原因是</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年受疫情影响收入基数较低；预计的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年收入与疫情前的</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年相比增长</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 增长率正常。</w:t>
      </w:r>
    </w:p>
    <w:p>
      <w:pPr>
        <w:pStyle w:val="Style35"/>
        <w:keepNext w:val="0"/>
        <w:keepLines w:val="0"/>
        <w:widowControl w:val="0"/>
        <w:shd w:val="clear" w:color="auto" w:fill="auto"/>
        <w:bidi w:val="0"/>
        <w:spacing w:before="0" w:after="220" w:line="312" w:lineRule="exact"/>
        <w:ind w:left="0" w:right="0" w:firstLine="46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：石基零售资产组：资产组预测期收入增长率为</w:t>
      </w:r>
      <w:r>
        <w:rPr>
          <w:rFonts w:ascii="Times New Roman" w:eastAsia="Times New Roman" w:hAnsi="Times New Roman" w:cs="Times New Roman"/>
          <w:color w:val="000000"/>
          <w:spacing w:val="0"/>
          <w:w w:val="100"/>
          <w:position w:val="0"/>
          <w:sz w:val="22"/>
          <w:szCs w:val="22"/>
        </w:rPr>
        <w:t>37%</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年受疫情影响，石基零售收 入规模与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年相比下降</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。随着疫情的影响逐步减小，石基零售的业务开展已逐步回归正常。本 公司在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年末对石基零售资产组进行减值测试时预计</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年收入和</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年相比增长</w:t>
      </w:r>
      <w:r>
        <w:rPr>
          <w:rFonts w:ascii="Times New Roman" w:eastAsia="Times New Roman" w:hAnsi="Times New Roman" w:cs="Times New Roman"/>
          <w:color w:val="000000"/>
          <w:spacing w:val="0"/>
          <w:w w:val="100"/>
          <w:position w:val="0"/>
          <w:sz w:val="22"/>
          <w:szCs w:val="22"/>
        </w:rPr>
        <w:t>37%</w:t>
      </w:r>
      <w:r>
        <w:rPr>
          <w:color w:val="000000"/>
          <w:spacing w:val="0"/>
          <w:w w:val="100"/>
          <w:position w:val="0"/>
          <w:sz w:val="22"/>
          <w:szCs w:val="22"/>
        </w:rPr>
        <w:t>，增长率较 高的主要原因是</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年受疫情影响收入基数较低；预计的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年收入与疫情前的</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 xml:space="preserve">年相比增长 </w:t>
      </w:r>
      <w:r>
        <w:rPr>
          <w:rFonts w:ascii="Times New Roman" w:eastAsia="Times New Roman" w:hAnsi="Times New Roman" w:cs="Times New Roman"/>
          <w:color w:val="000000"/>
          <w:spacing w:val="0"/>
          <w:w w:val="100"/>
          <w:position w:val="0"/>
          <w:sz w:val="22"/>
          <w:szCs w:val="22"/>
        </w:rPr>
        <w:t>8.5%</w:t>
      </w:r>
      <w:r>
        <w:rPr>
          <w:color w:val="000000"/>
          <w:spacing w:val="0"/>
          <w:w w:val="100"/>
          <w:position w:val="0"/>
          <w:sz w:val="22"/>
          <w:szCs w:val="22"/>
        </w:rPr>
        <w:t>，增长率正常。</w:t>
      </w:r>
    </w:p>
    <w:p>
      <w:pPr>
        <w:pStyle w:val="Style35"/>
        <w:keepNext w:val="0"/>
        <w:keepLines w:val="0"/>
        <w:widowControl w:val="0"/>
        <w:shd w:val="clear" w:color="auto" w:fill="auto"/>
        <w:bidi w:val="0"/>
        <w:spacing w:before="0" w:after="240" w:line="313" w:lineRule="exact"/>
        <w:ind w:left="0" w:right="0" w:firstLine="46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：青岛海信资产组：资产组预测期收入增长率为</w:t>
      </w:r>
      <w:r>
        <w:rPr>
          <w:rFonts w:ascii="Times New Roman" w:eastAsia="Times New Roman" w:hAnsi="Times New Roman" w:cs="Times New Roman"/>
          <w:color w:val="000000"/>
          <w:spacing w:val="0"/>
          <w:w w:val="100"/>
          <w:position w:val="0"/>
          <w:sz w:val="22"/>
          <w:szCs w:val="22"/>
        </w:rPr>
        <w:t>41%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 xml:space="preserve">年受疫情影响，青岛海信收 </w:t>
      </w:r>
      <w:r>
        <w:rPr>
          <w:color w:val="000000"/>
          <w:spacing w:val="0"/>
          <w:w w:val="100"/>
          <w:position w:val="0"/>
          <w:sz w:val="22"/>
          <w:szCs w:val="22"/>
        </w:rPr>
        <w:t>入规模与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年相比下降</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2"/>
          <w:szCs w:val="22"/>
        </w:rPr>
        <w:t>。随着疫情的影响逐步减小，青岛海信的业务开展已逐步回归正常。本 公司在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年末对青岛海信资产组进行减值测试时预计</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年收入和</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年相比增长</w:t>
      </w:r>
      <w:r>
        <w:rPr>
          <w:rFonts w:ascii="Times New Roman" w:eastAsia="Times New Roman" w:hAnsi="Times New Roman" w:cs="Times New Roman"/>
          <w:color w:val="000000"/>
          <w:spacing w:val="0"/>
          <w:w w:val="100"/>
          <w:position w:val="0"/>
          <w:sz w:val="22"/>
          <w:szCs w:val="22"/>
        </w:rPr>
        <w:t>37%</w:t>
      </w:r>
      <w:r>
        <w:rPr>
          <w:color w:val="000000"/>
          <w:spacing w:val="0"/>
          <w:w w:val="100"/>
          <w:position w:val="0"/>
          <w:sz w:val="22"/>
          <w:szCs w:val="22"/>
        </w:rPr>
        <w:t>，增长率较 高的主要原因是</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年受疫情影响收入基数较低；预计的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年收入与疫情前的</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 xml:space="preserve">年相比增长 </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，增长率与公司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年底的预期趋同。</w:t>
      </w:r>
    </w:p>
    <w:p>
      <w:pPr>
        <w:pStyle w:val="Style35"/>
        <w:keepNext w:val="0"/>
        <w:keepLines w:val="0"/>
        <w:widowControl w:val="0"/>
        <w:shd w:val="clear" w:color="auto" w:fill="auto"/>
        <w:bidi w:val="0"/>
        <w:spacing w:before="0" w:after="240" w:line="31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Shiji Enterprise Platform</w:t>
      </w:r>
      <w:r>
        <w:rPr>
          <w:color w:val="000000"/>
          <w:spacing w:val="0"/>
          <w:w w:val="100"/>
          <w:position w:val="0"/>
          <w:sz w:val="22"/>
          <w:szCs w:val="22"/>
        </w:rPr>
        <w:t>资产组：本期资产组整合后预测期增长率高于较上期</w:t>
      </w:r>
      <w:r>
        <w:rPr>
          <w:rFonts w:ascii="Times New Roman" w:eastAsia="Times New Roman" w:hAnsi="Times New Roman" w:cs="Times New Roman"/>
          <w:color w:val="000000"/>
          <w:spacing w:val="0"/>
          <w:w w:val="100"/>
          <w:position w:val="0"/>
          <w:sz w:val="22"/>
          <w:szCs w:val="22"/>
        </w:rPr>
        <w:t>Shiji Gmbh</w:t>
      </w:r>
      <w:r>
        <w:rPr>
          <w:color w:val="000000"/>
          <w:spacing w:val="0"/>
          <w:w w:val="100"/>
          <w:position w:val="0"/>
          <w:sz w:val="22"/>
          <w:szCs w:val="22"/>
        </w:rPr>
        <w:t>资产 组增长率（</w:t>
      </w:r>
      <w:r>
        <w:rPr>
          <w:rFonts w:ascii="Times New Roman" w:eastAsia="Times New Roman" w:hAnsi="Times New Roman" w:cs="Times New Roman"/>
          <w:color w:val="000000"/>
          <w:spacing w:val="0"/>
          <w:w w:val="100"/>
          <w:position w:val="0"/>
          <w:sz w:val="22"/>
          <w:szCs w:val="22"/>
        </w:rPr>
        <w:t>85%</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2"/>
          <w:szCs w:val="22"/>
        </w:rPr>
        <w:t>149%</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CONCEPTEK</w:t>
      </w:r>
      <w:r>
        <w:rPr>
          <w:color w:val="000000"/>
          <w:spacing w:val="0"/>
          <w:w w:val="100"/>
          <w:position w:val="0"/>
          <w:sz w:val="22"/>
          <w:szCs w:val="22"/>
        </w:rPr>
        <w:t>增长率（</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），主要系</w:t>
      </w:r>
      <w:r>
        <w:rPr>
          <w:rFonts w:ascii="Times New Roman" w:eastAsia="Times New Roman" w:hAnsi="Times New Roman" w:cs="Times New Roman"/>
          <w:color w:val="000000"/>
          <w:spacing w:val="0"/>
          <w:w w:val="100"/>
          <w:position w:val="0"/>
          <w:sz w:val="22"/>
          <w:szCs w:val="22"/>
        </w:rPr>
        <w:t>Shiji Enterprise Platform</w:t>
      </w:r>
      <w:r>
        <w:rPr>
          <w:color w:val="000000"/>
          <w:spacing w:val="0"/>
          <w:w w:val="100"/>
          <w:position w:val="0"/>
          <w:sz w:val="22"/>
          <w:szCs w:val="22"/>
        </w:rPr>
        <w:t>产品目前处 于初期推广阶段，本公司预计</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年开始投放规模较小，</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2"/>
          <w:szCs w:val="22"/>
        </w:rPr>
        <w:t>年开始逐步打开市场，在海外疫情平稳 的前提下预期收入出现较基期的较大增幅。该产品是公司未来经营规划重点部署产品，是传统酒店服 务软件的完全替换产品，依托集团财务及销售资源可以充分实现资产组的价值。</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Quick Check</w:t>
      </w:r>
      <w:r>
        <w:rPr>
          <w:color w:val="000000"/>
          <w:spacing w:val="0"/>
          <w:w w:val="100"/>
          <w:position w:val="0"/>
          <w:sz w:val="22"/>
          <w:szCs w:val="22"/>
        </w:rPr>
        <w:t>资产组：资产组预测期收入增长率为</w:t>
      </w:r>
      <w:r>
        <w:rPr>
          <w:rFonts w:ascii="Times New Roman" w:eastAsia="Times New Roman" w:hAnsi="Times New Roman" w:cs="Times New Roman"/>
          <w:color w:val="000000"/>
          <w:spacing w:val="0"/>
          <w:w w:val="100"/>
          <w:position w:val="0"/>
          <w:sz w:val="22"/>
          <w:szCs w:val="22"/>
        </w:rPr>
        <w:t>153%</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年受疫情影响，</w:t>
      </w:r>
      <w:r>
        <w:rPr>
          <w:rFonts w:ascii="Times New Roman" w:eastAsia="Times New Roman" w:hAnsi="Times New Roman" w:cs="Times New Roman"/>
          <w:color w:val="000000"/>
          <w:spacing w:val="0"/>
          <w:w w:val="100"/>
          <w:position w:val="0"/>
          <w:sz w:val="22"/>
          <w:szCs w:val="22"/>
        </w:rPr>
        <w:t xml:space="preserve">Quickchek </w:t>
      </w:r>
      <w:r>
        <w:rPr>
          <w:color w:val="000000"/>
          <w:spacing w:val="0"/>
          <w:w w:val="100"/>
          <w:position w:val="0"/>
          <w:sz w:val="22"/>
          <w:szCs w:val="22"/>
        </w:rPr>
        <w:t>业务拓展情况不如预期。考虑到配合集团云产品的落地实施，</w:t>
      </w:r>
      <w:r>
        <w:rPr>
          <w:rFonts w:ascii="Times New Roman" w:eastAsia="Times New Roman" w:hAnsi="Times New Roman" w:cs="Times New Roman"/>
          <w:color w:val="000000"/>
          <w:spacing w:val="0"/>
          <w:w w:val="100"/>
          <w:position w:val="0"/>
          <w:sz w:val="22"/>
          <w:szCs w:val="22"/>
        </w:rPr>
        <w:t>Quick Check</w:t>
      </w:r>
      <w:r>
        <w:rPr>
          <w:color w:val="000000"/>
          <w:spacing w:val="0"/>
          <w:w w:val="100"/>
          <w:position w:val="0"/>
          <w:sz w:val="22"/>
          <w:szCs w:val="22"/>
        </w:rPr>
        <w:t>的产品可以作为搭载的支付 工具使用，虽然海外疫情反复，但是管理认为只是阶段性的，其未来的增长与云服务平台推广增长保 持一致，截止报告日，</w:t>
      </w:r>
      <w:r>
        <w:rPr>
          <w:rFonts w:ascii="Times New Roman" w:eastAsia="Times New Roman" w:hAnsi="Times New Roman" w:cs="Times New Roman"/>
          <w:color w:val="000000"/>
          <w:spacing w:val="0"/>
          <w:w w:val="100"/>
          <w:position w:val="0"/>
          <w:sz w:val="22"/>
          <w:szCs w:val="22"/>
        </w:rPr>
        <w:t>Quick Check</w:t>
      </w:r>
      <w:r>
        <w:rPr>
          <w:color w:val="000000"/>
          <w:spacing w:val="0"/>
          <w:w w:val="100"/>
          <w:position w:val="0"/>
          <w:sz w:val="22"/>
          <w:szCs w:val="22"/>
        </w:rPr>
        <w:t>的业务已逐步回归正常。</w:t>
      </w:r>
    </w:p>
    <w:p>
      <w:pPr>
        <w:pStyle w:val="Style35"/>
        <w:keepNext w:val="0"/>
        <w:keepLines w:val="0"/>
        <w:widowControl w:val="0"/>
        <w:shd w:val="clear" w:color="auto" w:fill="auto"/>
        <w:bidi w:val="0"/>
        <w:spacing w:before="0" w:after="140" w:line="316"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：石基美国资产组：本期资产组完成了内部业务整合，本公司管理层对收入的预测是基于对 美国市场及周边未来需求的，随着产品推广和成熟的推进，估计其增长率为</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。考虑到该资 产组目标市场对私人数据安全性敏感度高，管理层通过提高数据分离和保护，使数据的安全性可以满 足当地政府监管的要求，因此预计未来可以在相关市场正常开展业务，截止报告日，该资产组正常运 转。</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商誉减值测试的影响</w:t>
      </w:r>
    </w:p>
    <w:p>
      <w:pPr>
        <w:pStyle w:val="Style35"/>
        <w:keepNext w:val="0"/>
        <w:keepLines w:val="0"/>
        <w:widowControl w:val="0"/>
        <w:shd w:val="clear" w:color="auto" w:fill="auto"/>
        <w:bidi w:val="0"/>
        <w:spacing w:before="0" w:after="140" w:line="316" w:lineRule="exact"/>
        <w:ind w:left="0" w:right="0" w:firstLine="460"/>
        <w:jc w:val="both"/>
        <w:rPr>
          <w:sz w:val="22"/>
          <w:szCs w:val="22"/>
        </w:rPr>
      </w:pPr>
      <w:r>
        <w:rPr>
          <w:color w:val="000000"/>
          <w:spacing w:val="0"/>
          <w:w w:val="100"/>
          <w:position w:val="0"/>
          <w:sz w:val="22"/>
          <w:szCs w:val="22"/>
        </w:rPr>
        <w:t>经测试，本公司对</w:t>
      </w:r>
      <w:r>
        <w:rPr>
          <w:rFonts w:ascii="Times New Roman" w:eastAsia="Times New Roman" w:hAnsi="Times New Roman" w:cs="Times New Roman"/>
          <w:color w:val="000000"/>
          <w:spacing w:val="0"/>
          <w:w w:val="100"/>
          <w:position w:val="0"/>
          <w:sz w:val="22"/>
          <w:szCs w:val="22"/>
        </w:rPr>
        <w:t>PLC</w:t>
      </w:r>
      <w:r>
        <w:rPr>
          <w:color w:val="000000"/>
          <w:spacing w:val="0"/>
          <w:w w:val="100"/>
          <w:position w:val="0"/>
          <w:sz w:val="22"/>
          <w:szCs w:val="22"/>
        </w:rPr>
        <w:t>资产组本年度计提减值准备</w:t>
      </w:r>
      <w:r>
        <w:rPr>
          <w:rFonts w:ascii="Times New Roman" w:eastAsia="Times New Roman" w:hAnsi="Times New Roman" w:cs="Times New Roman"/>
          <w:color w:val="000000"/>
          <w:spacing w:val="0"/>
          <w:w w:val="100"/>
          <w:position w:val="0"/>
          <w:sz w:val="22"/>
          <w:szCs w:val="22"/>
        </w:rPr>
        <w:t>15,005,600.00</w:t>
      </w:r>
      <w:r>
        <w:rPr>
          <w:color w:val="000000"/>
          <w:spacing w:val="0"/>
          <w:w w:val="100"/>
          <w:position w:val="0"/>
          <w:sz w:val="22"/>
          <w:szCs w:val="22"/>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316" w:lineRule="exact"/>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bookmarkEnd w:id="134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44"/>
      <w:bookmarkEnd w:id="1345"/>
      <w:bookmarkEnd w:id="13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1,153,162.50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833,456.26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720,671.15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255,250.04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1,010,697.57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办公楼改造项目费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131,571.03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1,318,360.39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349,819.75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1,100,111.67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宽带服务费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33,964.72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34,669.78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托管费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56,800.31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36,753.11</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1,375,498.56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2,197,099.67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1,135,116.06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255,250.04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2,182,232.13</w:t>
            </w:r>
          </w:p>
        </w:tc>
      </w:tr>
    </w:tbl>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8"/>
      <w:bookmarkEnd w:id="1349"/>
      <w:bookmarkEnd w:id="1351"/>
    </w:p>
    <w:p>
      <w:pPr>
        <w:pStyle w:val="Style32"/>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8"/>
      <w:bookmarkEnd w:id="1349"/>
      <w:bookmarkEnd w:id="13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188,087,660.24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29,922,483.91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145,334,995.91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23,973,669.60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43,399,009.60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6,509,851.44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41,810,730.92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6,271,609.64</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289,157,469.39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51,984,201.56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249,576,457.43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50,475,405.07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23,603,422.87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3,803,715.78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42,482,142.73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6,615,060.20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交易性金融负债公允价 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1,657,758.21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555,299,283.49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93,878,010.90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479,204,326.99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87,335,744.51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3"/>
      <w:bookmarkEnd w:id="1354"/>
      <w:bookmarkEnd w:id="13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133,158,384.14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30,485,170.07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164,341,122.72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37,872,465.10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133,364,175.63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30,517,255.69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164,341,122.72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37,872,465.10</w:t>
            </w:r>
          </w:p>
        </w:tc>
      </w:tr>
    </w:tbl>
    <w:p>
      <w:pPr>
        <w:widowControl w:val="0"/>
        <w:spacing w:after="319" w:line="1" w:lineRule="exact"/>
      </w:pPr>
    </w:p>
    <w:p>
      <w:pPr>
        <w:pStyle w:val="Style32"/>
        <w:keepNext/>
        <w:keepLines/>
        <w:widowControl w:val="0"/>
        <w:numPr>
          <w:ilvl w:val="0"/>
          <w:numId w:val="57"/>
        </w:numPr>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以抵销后净额列示的递延所得税资产或负债</w:t>
      </w:r>
      <w:bookmarkEnd w:id="1356"/>
      <w:bookmarkEnd w:id="1357"/>
      <w:bookmarkEnd w:id="13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93,878,010.90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87,335,744.51</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30,517,255.69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37,872,465.10</w:t>
            </w:r>
          </w:p>
        </w:tc>
      </w:tr>
    </w:tbl>
    <w:p>
      <w:pPr>
        <w:widowControl w:val="0"/>
        <w:spacing w:after="319" w:line="1" w:lineRule="exact"/>
      </w:pPr>
    </w:p>
    <w:p>
      <w:pPr>
        <w:pStyle w:val="Style32"/>
        <w:keepNext/>
        <w:keepLines/>
        <w:widowControl w:val="0"/>
        <w:numPr>
          <w:ilvl w:val="0"/>
          <w:numId w:val="57"/>
        </w:numPr>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未确认递延所得税资产明细</w:t>
      </w:r>
      <w:bookmarkEnd w:id="1360"/>
      <w:bookmarkEnd w:id="1361"/>
      <w:bookmarkEnd w:id="13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45,726,923.13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51,153,014.72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541,748,135.41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85,879,689.77</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587,475,058.54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137,032,704.49</w:t>
            </w:r>
          </w:p>
        </w:tc>
      </w:tr>
    </w:tbl>
    <w:p>
      <w:pPr>
        <w:widowControl w:val="0"/>
        <w:spacing w:after="319" w:line="1" w:lineRule="exact"/>
      </w:pPr>
    </w:p>
    <w:p>
      <w:pPr>
        <w:pStyle w:val="Style32"/>
        <w:keepNext/>
        <w:keepLines/>
        <w:widowControl w:val="0"/>
        <w:numPr>
          <w:ilvl w:val="0"/>
          <w:numId w:val="57"/>
        </w:numPr>
        <w:shd w:val="clear" w:color="auto" w:fill="auto"/>
        <w:bidi w:val="0"/>
        <w:spacing w:before="0" w:after="380" w:line="240" w:lineRule="auto"/>
        <w:ind w:left="0" w:right="0" w:firstLine="14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未确认递延所得税资产的可抵扣亏损将于以下年度到期</w:t>
      </w:r>
      <w:bookmarkEnd w:id="1364"/>
      <w:bookmarkEnd w:id="1365"/>
      <w:bookmarkEnd w:id="13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15,760,392.57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25,410,789.76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25,411,207.04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22,890,964.87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18,939,655.48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22,553,021.23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15,679,509.63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31,597,309.96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10,088,925.05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439,296,049.59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541,748,135.41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85,879,689.77</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68"/>
      <w:bookmarkEnd w:id="1369"/>
      <w:bookmarkEnd w:id="13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购房保证金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先锋股权认购首笔增资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预付畅联接口技术合作款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3,101,886.84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72"/>
      <w:bookmarkEnd w:id="1373"/>
      <w:bookmarkEnd w:id="1375"/>
    </w:p>
    <w:p>
      <w:pPr>
        <w:pStyle w:val="Style32"/>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2"/>
      <w:bookmarkEnd w:id="1373"/>
      <w:bookmarkEnd w:id="137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352,277.20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77"/>
      <w:bookmarkEnd w:id="1378"/>
      <w:bookmarkEnd w:id="13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根据业绩承诺的履行情况，按照公允价 值调整处置价款及投资收益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5"/>
        <w:keepNext w:val="0"/>
        <w:keepLines w:val="0"/>
        <w:widowControl w:val="0"/>
        <w:shd w:val="clear" w:color="auto" w:fill="auto"/>
        <w:bidi w:val="0"/>
        <w:spacing w:before="0" w:after="280" w:line="314" w:lineRule="exact"/>
        <w:ind w:left="0" w:right="0" w:firstLine="460"/>
        <w:jc w:val="both"/>
        <w:rPr>
          <w:sz w:val="22"/>
          <w:szCs w:val="22"/>
        </w:rPr>
      </w:pPr>
      <w:r>
        <w:rPr>
          <w:color w:val="000000"/>
          <w:spacing w:val="0"/>
          <w:w w:val="100"/>
          <w:position w:val="0"/>
          <w:sz w:val="22"/>
          <w:szCs w:val="22"/>
        </w:rPr>
        <w:t>注：依据</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月，公司及子公司上海正品其他股东唐鸿明、谢五生（以下合称转让方）与上 海中信电子发展有限公司（以下简称中信电子、受让方）签订的出售上海正品《股权转让及认购协议》 约定：转让方将原持有上海正品</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的股权，以</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sz w:val="22"/>
          <w:szCs w:val="22"/>
        </w:rPr>
        <w:t>万元转让予中信电子，同时中信电子对上海正品 增资</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sz w:val="22"/>
          <w:szCs w:val="22"/>
        </w:rPr>
        <w:t>万，购买新增资本</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万元，增资后中信电子持有上海正品</w:t>
      </w:r>
      <w:r>
        <w:rPr>
          <w:rFonts w:ascii="Times New Roman" w:eastAsia="Times New Roman" w:hAnsi="Times New Roman" w:cs="Times New Roman"/>
          <w:color w:val="000000"/>
          <w:spacing w:val="0"/>
          <w:w w:val="100"/>
          <w:position w:val="0"/>
          <w:sz w:val="22"/>
          <w:szCs w:val="22"/>
        </w:rPr>
        <w:t>4.76%</w:t>
      </w:r>
      <w:r>
        <w:rPr>
          <w:color w:val="000000"/>
          <w:spacing w:val="0"/>
          <w:w w:val="100"/>
          <w:position w:val="0"/>
          <w:sz w:val="22"/>
          <w:szCs w:val="22"/>
        </w:rPr>
        <w:t>的股权。该股权交易中，转 让方及上海正品承诺，上海正品</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年税后扣非净利润总和不低于</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万元。若未实现业绩 指标，受让方有权要求转让方及上海正品作出业绩补偿，任何一转让方无法履行回购价款的支付义务, 就该支付的部分，可以要求其他方承担有限连带责任。</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 xml:space="preserve">年上海正品累计实现扣非净利润 </w:t>
      </w:r>
      <w:r>
        <w:rPr>
          <w:rFonts w:ascii="Times New Roman" w:eastAsia="Times New Roman" w:hAnsi="Times New Roman" w:cs="Times New Roman"/>
          <w:color w:val="000000"/>
          <w:spacing w:val="0"/>
          <w:w w:val="100"/>
          <w:position w:val="0"/>
          <w:sz w:val="22"/>
          <w:szCs w:val="22"/>
        </w:rPr>
        <w:t>5,264,371.49</w:t>
      </w:r>
      <w:r>
        <w:rPr>
          <w:color w:val="000000"/>
          <w:spacing w:val="0"/>
          <w:w w:val="100"/>
          <w:position w:val="0"/>
          <w:sz w:val="22"/>
          <w:szCs w:val="22"/>
        </w:rPr>
        <w:t>元，按照补偿比例，公司应承担</w:t>
      </w:r>
      <w:r>
        <w:rPr>
          <w:rFonts w:ascii="Times New Roman" w:eastAsia="Times New Roman" w:hAnsi="Times New Roman" w:cs="Times New Roman"/>
          <w:color w:val="000000"/>
          <w:spacing w:val="0"/>
          <w:w w:val="100"/>
          <w:position w:val="0"/>
          <w:sz w:val="22"/>
          <w:szCs w:val="22"/>
        </w:rPr>
        <w:t>3,683,907.13</w:t>
      </w:r>
      <w:r>
        <w:rPr>
          <w:color w:val="000000"/>
          <w:spacing w:val="0"/>
          <w:w w:val="100"/>
          <w:position w:val="0"/>
          <w:sz w:val="22"/>
          <w:szCs w:val="22"/>
        </w:rPr>
        <w:t>元、上海正品应承担</w:t>
      </w:r>
      <w:r>
        <w:rPr>
          <w:rFonts w:ascii="Times New Roman" w:eastAsia="Times New Roman" w:hAnsi="Times New Roman" w:cs="Times New Roman"/>
          <w:color w:val="000000"/>
          <w:spacing w:val="0"/>
          <w:w w:val="100"/>
          <w:position w:val="0"/>
          <w:sz w:val="22"/>
          <w:szCs w:val="22"/>
        </w:rPr>
        <w:t>7,367,814.26</w:t>
      </w:r>
      <w:r>
        <w:rPr>
          <w:color w:val="000000"/>
          <w:spacing w:val="0"/>
          <w:w w:val="100"/>
          <w:position w:val="0"/>
          <w:sz w:val="22"/>
          <w:szCs w:val="22"/>
        </w:rPr>
        <w:t>元、唐鸿鸣 应承担</w:t>
      </w:r>
      <w:r>
        <w:rPr>
          <w:rFonts w:ascii="Times New Roman" w:eastAsia="Times New Roman" w:hAnsi="Times New Roman" w:cs="Times New Roman"/>
          <w:color w:val="000000"/>
          <w:spacing w:val="0"/>
          <w:w w:val="100"/>
          <w:position w:val="0"/>
          <w:sz w:val="22"/>
          <w:szCs w:val="22"/>
        </w:rPr>
        <w:t>3,389,194.56</w:t>
      </w:r>
      <w:r>
        <w:rPr>
          <w:color w:val="000000"/>
          <w:spacing w:val="0"/>
          <w:w w:val="100"/>
          <w:position w:val="0"/>
          <w:sz w:val="22"/>
          <w:szCs w:val="22"/>
        </w:rPr>
        <w:t>元，谢五生应承担</w:t>
      </w:r>
      <w:r>
        <w:rPr>
          <w:rFonts w:ascii="Times New Roman" w:eastAsia="Times New Roman" w:hAnsi="Times New Roman" w:cs="Times New Roman"/>
          <w:color w:val="000000"/>
          <w:spacing w:val="0"/>
          <w:w w:val="100"/>
          <w:position w:val="0"/>
          <w:sz w:val="22"/>
          <w:szCs w:val="22"/>
        </w:rPr>
        <w:t>294,712.57</w:t>
      </w:r>
      <w:r>
        <w:rPr>
          <w:color w:val="000000"/>
          <w:spacing w:val="0"/>
          <w:w w:val="100"/>
          <w:position w:val="0"/>
          <w:sz w:val="22"/>
          <w:szCs w:val="22"/>
        </w:rPr>
        <w:t>元。据此本集团依据前述因业绩对赌未完成而预计赔 偿金额确认金融负债。</w:t>
      </w:r>
    </w:p>
    <w:p>
      <w:pPr>
        <w:pStyle w:val="Style35"/>
        <w:keepNext w:val="0"/>
        <w:keepLines w:val="0"/>
        <w:widowControl w:val="0"/>
        <w:shd w:val="clear" w:color="auto" w:fill="auto"/>
        <w:bidi w:val="0"/>
        <w:spacing w:before="0" w:after="360" w:line="314" w:lineRule="exact"/>
        <w:ind w:left="0" w:right="0" w:firstLine="0"/>
        <w:jc w:val="both"/>
      </w:pPr>
      <w:bookmarkStart w:id="1381" w:name="bookmark1381"/>
      <w:r>
        <w:rPr>
          <w:rFonts w:ascii="Times New Roman" w:eastAsia="Times New Roman" w:hAnsi="Times New Roman" w:cs="Times New Roman"/>
          <w:b/>
          <w:bCs/>
          <w:color w:val="000000"/>
          <w:spacing w:val="0"/>
          <w:w w:val="100"/>
          <w:position w:val="0"/>
        </w:rPr>
        <w:t>2</w:t>
      </w:r>
      <w:bookmarkEnd w:id="1381"/>
      <w:r>
        <w:rPr>
          <w:rFonts w:ascii="Times New Roman" w:eastAsia="Times New Roman" w:hAnsi="Times New Roman" w:cs="Times New Roman"/>
          <w:b/>
          <w:bCs/>
          <w:color w:val="000000"/>
          <w:spacing w:val="0"/>
          <w:w w:val="100"/>
          <w:position w:val="0"/>
        </w:rPr>
        <w:t>4</w:t>
      </w:r>
      <w:r>
        <w:rPr>
          <w:b/>
          <w:bCs/>
          <w:color w:val="000000"/>
          <w:spacing w:val="0"/>
          <w:w w:val="100"/>
          <w:position w:val="0"/>
        </w:rPr>
        <w:t>、应付票据</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10,417,833.07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15,486,807.62</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10,417,833.07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15,486,807.62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82"/>
      <w:bookmarkEnd w:id="1383"/>
      <w:bookmarkEnd w:id="1385"/>
    </w:p>
    <w:p>
      <w:pPr>
        <w:pStyle w:val="Style32"/>
        <w:keepNext/>
        <w:keepLines/>
        <w:widowControl w:val="0"/>
        <w:shd w:val="clear" w:color="auto" w:fill="auto"/>
        <w:bidi w:val="0"/>
        <w:spacing w:before="0" w:after="360" w:line="240" w:lineRule="auto"/>
        <w:ind w:left="0" w:right="0" w:firstLine="0"/>
        <w:jc w:val="both"/>
      </w:pPr>
      <w:bookmarkStart w:id="1382" w:name="bookmark1382"/>
      <w:bookmarkStart w:id="1383" w:name="bookmark1383"/>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82"/>
      <w:bookmarkEnd w:id="1383"/>
      <w:bookmarkEnd w:id="1386"/>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应付供应商货款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207,626,930.82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253,515,909.90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应付供应商服务款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36,631,395.82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27,371,351.92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244,258,326.64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280,887,261.82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87"/>
      <w:bookmarkEnd w:id="1388"/>
      <w:bookmarkEnd w:id="138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1,303,827.72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1,067,473.03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中智建设技术工程有限责任公司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897,163.44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信鸥互联（北京）信息技术有限公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北京胜龙科技股份有限公司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624,510.80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上海乐软信息科技有限公司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500,373.81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石家庄百合友路科技有限公司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450,334.58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江苏凤凰数据有限公司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447,140.43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武汉道远商业管理咨询工作室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399,400.00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上海上尚自动化技术有限公司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372,993.87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上海润祥科技有限公司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372,815.53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上海朝蓬信息科技有限公司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324,754.72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陕西商龙信息技术有限公司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317,168.14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新加坡 </w:t>
            </w:r>
            <w:r>
              <w:rPr>
                <w:rFonts w:ascii="Times New Roman" w:eastAsia="Times New Roman" w:hAnsi="Times New Roman" w:cs="Times New Roman"/>
                <w:color w:val="000000"/>
                <w:spacing w:val="0"/>
                <w:w w:val="100"/>
                <w:position w:val="0"/>
                <w:sz w:val="18"/>
                <w:szCs w:val="18"/>
              </w:rPr>
              <w:t>MICROS-FIDELO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238,062.08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安美世纪</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127,940.61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北京信普飞科科技有限公司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111,965.81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北海鑫森房地产开发有限公司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107,475.00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未到付款期</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8,452,399.57</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390"/>
      <w:bookmarkEnd w:id="1391"/>
      <w:bookmarkEnd w:id="139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预收销售款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393,449,959.42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478,999,629.46</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预收服务款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1,421,227.76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2,172,241.24</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394,871,187.18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481,171,870.70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报告期内账面价值发生重大变动的金额和原因</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94"/>
      <w:bookmarkEnd w:id="1395"/>
      <w:bookmarkEnd w:id="1397"/>
    </w:p>
    <w:p>
      <w:pPr>
        <w:pStyle w:val="Style32"/>
        <w:keepNext/>
        <w:keepLines/>
        <w:widowControl w:val="0"/>
        <w:shd w:val="clear" w:color="auto" w:fill="auto"/>
        <w:bidi w:val="0"/>
        <w:spacing w:before="0" w:after="360" w:line="240" w:lineRule="auto"/>
        <w:ind w:left="0" w:right="0" w:firstLine="0"/>
        <w:jc w:val="left"/>
      </w:pPr>
      <w:bookmarkStart w:id="1394" w:name="bookmark1394"/>
      <w:bookmarkStart w:id="1395" w:name="bookmark1395"/>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4"/>
      <w:bookmarkEnd w:id="1395"/>
      <w:bookmarkEnd w:id="139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174,448,236.57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1,179,841,269.84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1,181,267,998.07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173,021,508.34</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1,537,970.58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26,438,375.26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24,794,536.67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3,181,809.17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319,141.86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414,795.45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731,448.80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2,488.51</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176,305,349.01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1,206,694,440.55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1,206,793,983.54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176,205,806.02</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9"/>
      <w:bookmarkEnd w:id="1400"/>
      <w:bookmarkEnd w:id="1401"/>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154,904,102.47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1,054,206,817.68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1,058,319,888.16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150,791,031.99</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116,717.50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15,221,750.17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12,604,275.85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2,734,191.82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1,286,589.38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59,430,497.68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59,263,897.19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1,453,189.87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1,191,555.68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57,506,017.64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57,268,255.63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1,429,317.69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462,244.56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482,959.18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6,359.84</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1,462,235.48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1,512,682.38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17,512.34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349,316.10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49,132,660.98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49,119,279.08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362,698.00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17,791,511.12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1,773,343.33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1,884,457.79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17,680,396.66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劳务派遣工资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174,448,236.57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1,179,841,269.84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1,181,267,998.07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173,021,508.34</w:t>
            </w:r>
          </w:p>
        </w:tc>
      </w:tr>
      <w:tr>
        <w:trPr>
          <w:trHeight w:val="1277" w:hRule="exact"/>
        </w:trPr>
        <w:tc>
          <w:tcPr>
            <w:gridSpan w:val="5"/>
            <w:tcBorders>
              <w:top w:val="single" w:sz="4"/>
            </w:tcBorders>
            <w:shd w:val="clear" w:color="auto" w:fill="FFFFFF"/>
            <w:vAlign w:val="bottom"/>
          </w:tcPr>
          <w:p>
            <w:pPr>
              <w:pStyle w:val="Style20"/>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）设定提存计划列示</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1,465,614.57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25,491,296.24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23,807,874.54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3,149,036.27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947,079.02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986,662.13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32,772.90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1,537,970.58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26,438,375.26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24,794,536.67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3,181,809.17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02"/>
      <w:bookmarkEnd w:id="1403"/>
      <w:bookmarkEnd w:id="140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32,012,998.37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23,230,042.61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215,775,670.58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141,031,755.56</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6,388,449.76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3,401,734.87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1,225,493.11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1,148,893.47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1,605,036.20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29,021.08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876,642.23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822,972.05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447,982.06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396,516.14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250,525.69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263,927.13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125,762.37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102,776.31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河道工程修建维护管理费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258,727,290.03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170,428,305.68</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406"/>
      <w:bookmarkEnd w:id="1407"/>
      <w:bookmarkEnd w:id="140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260,549,098.04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375,406,923.59</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260,776,098.04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375,406,923.59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410"/>
      <w:bookmarkEnd w:id="1411"/>
      <w:bookmarkEnd w:id="1412"/>
    </w:p>
    <w:p>
      <w:pPr>
        <w:pStyle w:val="Style28"/>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子公司应付小股东股利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32"/>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13"/>
      <w:bookmarkEnd w:id="1414"/>
      <w:bookmarkEnd w:id="1415"/>
    </w:p>
    <w:p>
      <w:pPr>
        <w:pStyle w:val="Style32"/>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6" w:name="bookmark141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13"/>
      <w:bookmarkEnd w:id="1414"/>
      <w:bookmarkEnd w:id="14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处置股权意向金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32,619,145.64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112,627,954.21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26,233,097.91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21,881,771.38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保修期维护费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19,318,589.04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40,389,207.68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支付业务客户备付金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17,600,349.63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8,571,498.91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15,628,089.10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47,097,469.22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5,096,507.76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3,392,421.99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北京广夏世纪房地产开发有限责任公司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4,792,800.00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4,792,800.00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国家机关维修基金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3,483,053.23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2,701,282.03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代离退休人员费用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1,172,237.56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701,567.11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10,855,228.17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9,500,951.06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260,549,098.04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375,406,923.59</w:t>
            </w:r>
          </w:p>
        </w:tc>
      </w:tr>
    </w:tbl>
    <w:p>
      <w:pPr>
        <w:widowControl w:val="0"/>
        <w:spacing w:after="319" w:line="1" w:lineRule="exact"/>
      </w:pPr>
    </w:p>
    <w:p>
      <w:pPr>
        <w:pStyle w:val="Style32"/>
        <w:keepNext/>
        <w:keepLines/>
        <w:widowControl w:val="0"/>
        <w:numPr>
          <w:ilvl w:val="0"/>
          <w:numId w:val="59"/>
        </w:numPr>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7"/>
      <w:bookmarkEnd w:id="1418"/>
      <w:bookmarkEnd w:id="14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776"/>
        <w:gridCol w:w="4613"/>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北京广夏世纪房地产开发有限责任公司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4,792,800.00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应付北京广厦世纪房地产开发有限责任公司</w:t>
            </w:r>
            <w:r>
              <w:rPr>
                <w:rFonts w:ascii="Times New Roman" w:eastAsia="Times New Roman" w:hAnsi="Times New Roman" w:cs="Times New Roman"/>
                <w:color w:val="000000"/>
                <w:spacing w:val="0"/>
                <w:w w:val="100"/>
                <w:position w:val="0"/>
                <w:sz w:val="18"/>
                <w:szCs w:val="18"/>
              </w:rPr>
              <w:t xml:space="preserve">4,792,800.00 </w:t>
            </w:r>
            <w:r>
              <w:rPr>
                <w:color w:val="000000"/>
                <w:spacing w:val="0"/>
                <w:w w:val="100"/>
                <w:position w:val="0"/>
                <w:sz w:val="17"/>
                <w:szCs w:val="17"/>
              </w:rPr>
              <w:t>元，系本集团之子公司中电器件中央级基本建设经营性基 金，由于双方对债务金额存在争议，故一直未进行偿还。</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4,792,800.00</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421"/>
      <w:bookmarkEnd w:id="1422"/>
      <w:bookmarkEnd w:id="142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36,443,392.91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46,353,636.95</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36,443,392.91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46,353,636.95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3</w:t>
      </w:r>
      <w:bookmarkEnd w:id="1427"/>
      <w:r>
        <w:rPr>
          <w:rFonts w:ascii="Times New Roman" w:eastAsia="Times New Roman" w:hAnsi="Times New Roman" w:cs="Times New Roman"/>
          <w:color w:val="000000"/>
          <w:spacing w:val="0"/>
          <w:w w:val="100"/>
          <w:position w:val="0"/>
        </w:rPr>
        <w:t>1</w:t>
      </w:r>
      <w:r>
        <w:rPr>
          <w:color w:val="000000"/>
          <w:spacing w:val="0"/>
          <w:w w:val="100"/>
          <w:position w:val="0"/>
        </w:rPr>
        <w:t>、长期应付款</w:t>
      </w:r>
      <w:bookmarkEnd w:id="1425"/>
      <w:bookmarkEnd w:id="1426"/>
      <w:bookmarkEnd w:id="142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r>
        <w:rPr>
          <w:color w:val="000000"/>
          <w:spacing w:val="0"/>
          <w:w w:val="100"/>
          <w:position w:val="0"/>
        </w:rPr>
        <w:t>)专项应付款</w:t>
      </w:r>
      <w:bookmarkEnd w:id="1429"/>
      <w:bookmarkEnd w:id="1430"/>
      <w:bookmarkEnd w:id="143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北海组织部人才发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根据《关于实施北海 领航人才计划、大力 服务产业发展的意 见》(北发</w:t>
            </w:r>
            <w:r>
              <w:rPr>
                <w:rFonts w:ascii="Times New Roman" w:eastAsia="Times New Roman" w:hAnsi="Times New Roman" w:cs="Times New Roman"/>
                <w:color w:val="000000"/>
                <w:spacing w:val="0"/>
                <w:w w:val="100"/>
                <w:position w:val="0"/>
                <w:sz w:val="18"/>
                <w:szCs w:val="18"/>
              </w:rPr>
              <w:t xml:space="preserve">[2015]8 </w:t>
            </w:r>
            <w:r>
              <w:rPr>
                <w:color w:val="000000"/>
                <w:spacing w:val="0"/>
                <w:w w:val="100"/>
                <w:position w:val="0"/>
                <w:sz w:val="17"/>
                <w:szCs w:val="17"/>
              </w:rPr>
              <w:t>号)，拨付经费</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万元作为人才培训 所需经费开支。</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83,335.77</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432"/>
      <w:bookmarkEnd w:id="1433"/>
      <w:bookmarkEnd w:id="143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1,476,664.33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1,476,664.33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39,998.13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本期计入营 业外收入金</w:t>
            </w:r>
          </w:p>
          <w:p>
            <w:pPr>
              <w:pStyle w:val="Style20"/>
              <w:keepNext w:val="0"/>
              <w:keepLines w:val="0"/>
              <w:widowControl w:val="0"/>
              <w:shd w:val="clear" w:color="auto" w:fill="auto"/>
              <w:bidi w:val="0"/>
              <w:spacing w:before="0" w:after="0" w:line="312" w:lineRule="exact"/>
              <w:ind w:left="0" w:right="0"/>
              <w:jc w:val="left"/>
              <w:rPr>
                <w:sz w:val="17"/>
                <w:szCs w:val="17"/>
              </w:rPr>
            </w:pPr>
            <w:r>
              <w:rPr>
                <w:color w:val="000000"/>
                <w:spacing w:val="0"/>
                <w:w w:val="100"/>
                <w:position w:val="0"/>
                <w:sz w:val="17"/>
                <w:szCs w:val="17"/>
              </w:rPr>
              <w:t>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本期计入其 他收益金额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疫情专项发 展资金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康桥云酒店 管理系统专 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康桥云酒店 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百货商业信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1,476,664.33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6,536,666.20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5"/>
        <w:keepNext w:val="0"/>
        <w:keepLines w:val="0"/>
        <w:widowControl w:val="0"/>
        <w:shd w:val="clear" w:color="auto" w:fill="auto"/>
        <w:bidi w:val="0"/>
        <w:spacing w:before="0" w:after="660" w:line="240" w:lineRule="auto"/>
        <w:ind w:left="0" w:right="0" w:firstLine="460"/>
        <w:jc w:val="left"/>
        <w:rPr>
          <w:sz w:val="22"/>
          <w:szCs w:val="22"/>
        </w:rPr>
      </w:pPr>
      <w:r>
        <w:rPr>
          <w:color w:val="000000"/>
          <w:spacing w:val="0"/>
          <w:w w:val="100"/>
          <w:position w:val="0"/>
          <w:sz w:val="22"/>
          <w:szCs w:val="22"/>
        </w:rPr>
        <w:t>注：其他变动减少系汇率的影响。</w:t>
      </w:r>
    </w:p>
    <w:p>
      <w:pPr>
        <w:pStyle w:val="Style32"/>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33</w:t>
      </w:r>
      <w:r>
        <w:rPr>
          <w:color w:val="000000"/>
          <w:spacing w:val="0"/>
          <w:w w:val="100"/>
          <w:position w:val="0"/>
        </w:rPr>
        <w:t>、股本</w:t>
      </w:r>
      <w:bookmarkEnd w:id="1436"/>
      <w:bookmarkEnd w:id="1437"/>
      <w:bookmarkEnd w:id="14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送股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1,069,604,219.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1,507,964.00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1,507,964.00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1,071,112,183.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5"/>
        <w:keepNext w:val="0"/>
        <w:keepLines w:val="0"/>
        <w:widowControl w:val="0"/>
        <w:shd w:val="clear" w:color="auto" w:fill="auto"/>
        <w:bidi w:val="0"/>
        <w:spacing w:before="0" w:after="300" w:line="31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年度，因股权激励计划员工自主行权购买</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,507,964.00</w:t>
      </w:r>
      <w:r>
        <w:rPr>
          <w:color w:val="000000"/>
          <w:spacing w:val="0"/>
          <w:w w:val="100"/>
          <w:position w:val="0"/>
          <w:sz w:val="22"/>
          <w:szCs w:val="22"/>
        </w:rPr>
        <w:t>份股，使股本增加</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,507,964.00</w:t>
      </w:r>
      <w:r>
        <w:rPr>
          <w:color w:val="000000"/>
          <w:spacing w:val="0"/>
          <w:w w:val="100"/>
          <w:position w:val="0"/>
          <w:sz w:val="22"/>
          <w:szCs w:val="22"/>
        </w:rPr>
        <w:t>元, 截止本年末本公司不存在已授予未行权的股票期权。</w:t>
      </w:r>
    </w:p>
    <w:p>
      <w:pPr>
        <w:pStyle w:val="Style32"/>
        <w:keepNext/>
        <w:keepLines/>
        <w:widowControl w:val="0"/>
        <w:shd w:val="clear" w:color="auto" w:fill="auto"/>
        <w:bidi w:val="0"/>
        <w:spacing w:before="0" w:after="380" w:line="317" w:lineRule="exact"/>
        <w:ind w:left="0" w:right="0" w:firstLine="0"/>
        <w:jc w:val="both"/>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34</w:t>
      </w:r>
      <w:r>
        <w:rPr>
          <w:color w:val="000000"/>
          <w:spacing w:val="0"/>
          <w:w w:val="100"/>
          <w:position w:val="0"/>
        </w:rPr>
        <w:t>、资本公积</w:t>
      </w:r>
      <w:bookmarkEnd w:id="1439"/>
      <w:bookmarkEnd w:id="1440"/>
      <w:bookmarkEnd w:id="1441"/>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4,073,233,250.28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80,586,578.51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1,766,741.74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4,152,053,087.05</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46,001,677.42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2,757,945.15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44,478,805.79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4,280,816.78</w:t>
            </w:r>
          </w:p>
        </w:tc>
      </w:tr>
    </w:tbl>
    <w:p>
      <w:pPr>
        <w:widowControl w:val="0"/>
        <w:spacing w:line="1" w:lineRule="exact"/>
      </w:pP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4,119,234,927.70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83,344,523.66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46,245,547.53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4,156,333,903.83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79" w:line="1" w:lineRule="exact"/>
      </w:pPr>
    </w:p>
    <w:p>
      <w:pPr>
        <w:pStyle w:val="Style35"/>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：根据本附注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六、</w:t>
      </w:r>
      <w:r>
        <w:rPr>
          <w:rFonts w:ascii="Times New Roman" w:eastAsia="Times New Roman" w:hAnsi="Times New Roman" w:cs="Times New Roman"/>
          <w:color w:val="000000"/>
          <w:spacing w:val="0"/>
          <w:w w:val="100"/>
          <w:position w:val="0"/>
          <w:sz w:val="22"/>
          <w:szCs w:val="22"/>
        </w:rPr>
        <w:t>33”</w:t>
      </w: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日，因股权激励计划员工自主行权</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,507,964.00</w:t>
      </w:r>
      <w:r>
        <w:rPr>
          <w:color w:val="000000"/>
          <w:spacing w:val="0"/>
          <w:w w:val="100"/>
          <w:position w:val="0"/>
          <w:sz w:val="22"/>
          <w:szCs w:val="22"/>
        </w:rPr>
        <w:t>股, 按照行权资金加上已行权股数在授予日的公允价值扣减股本的差额确认资本公积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xml:space="preserve">股本溢价 </w:t>
      </w:r>
      <w:r>
        <w:rPr>
          <w:rFonts w:ascii="Times New Roman" w:eastAsia="Times New Roman" w:hAnsi="Times New Roman" w:cs="Times New Roman"/>
          <w:color w:val="000000"/>
          <w:spacing w:val="0"/>
          <w:w w:val="100"/>
          <w:position w:val="0"/>
          <w:sz w:val="22"/>
          <w:szCs w:val="22"/>
        </w:rPr>
        <w:t>80,586,578.51</w:t>
      </w:r>
      <w:r>
        <w:rPr>
          <w:color w:val="000000"/>
          <w:spacing w:val="0"/>
          <w:w w:val="100"/>
          <w:position w:val="0"/>
          <w:sz w:val="22"/>
          <w:szCs w:val="22"/>
        </w:rPr>
        <w:t>元，冲减资本公积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其他资本公积</w:t>
      </w:r>
      <w:r>
        <w:rPr>
          <w:rFonts w:ascii="Times New Roman" w:eastAsia="Times New Roman" w:hAnsi="Times New Roman" w:cs="Times New Roman"/>
          <w:color w:val="000000"/>
          <w:spacing w:val="0"/>
          <w:w w:val="100"/>
          <w:position w:val="0"/>
          <w:sz w:val="22"/>
          <w:szCs w:val="22"/>
        </w:rPr>
        <w:t>44,478,805.7</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元。</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年度，本公司之子公司石基香港购买子公司</w:t>
      </w:r>
      <w:r>
        <w:rPr>
          <w:rFonts w:ascii="Times New Roman" w:eastAsia="Times New Roman" w:hAnsi="Times New Roman" w:cs="Times New Roman"/>
          <w:color w:val="000000"/>
          <w:spacing w:val="0"/>
          <w:w w:val="100"/>
          <w:position w:val="0"/>
          <w:sz w:val="22"/>
          <w:szCs w:val="22"/>
        </w:rPr>
        <w:t>Galasys Plc</w:t>
      </w:r>
      <w:r>
        <w:rPr>
          <w:color w:val="000000"/>
          <w:spacing w:val="0"/>
          <w:w w:val="100"/>
          <w:position w:val="0"/>
          <w:sz w:val="22"/>
          <w:szCs w:val="22"/>
        </w:rPr>
        <w:t>少数股东持有的</w:t>
      </w:r>
      <w:r>
        <w:rPr>
          <w:rFonts w:ascii="Times New Roman" w:eastAsia="Times New Roman" w:hAnsi="Times New Roman" w:cs="Times New Roman"/>
          <w:color w:val="000000"/>
          <w:spacing w:val="0"/>
          <w:w w:val="100"/>
          <w:position w:val="0"/>
          <w:sz w:val="22"/>
          <w:szCs w:val="22"/>
        </w:rPr>
        <w:t>0.63%</w:t>
      </w:r>
      <w:r>
        <w:rPr>
          <w:color w:val="000000"/>
          <w:spacing w:val="0"/>
          <w:w w:val="100"/>
          <w:position w:val="0"/>
          <w:sz w:val="22"/>
          <w:szCs w:val="22"/>
        </w:rPr>
        <w:t>的少数股 东权益，购买成本与按持股比例自购买日开始持续计算的净资产份额的差额冲减资本公积，使资本公 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股本溢价减少</w:t>
      </w:r>
      <w:r>
        <w:rPr>
          <w:rFonts w:ascii="Times New Roman" w:eastAsia="Times New Roman" w:hAnsi="Times New Roman" w:cs="Times New Roman"/>
          <w:color w:val="000000"/>
          <w:spacing w:val="0"/>
          <w:w w:val="100"/>
          <w:position w:val="0"/>
          <w:sz w:val="22"/>
          <w:szCs w:val="22"/>
        </w:rPr>
        <w:t>1,766,741.74</w:t>
      </w:r>
      <w:r>
        <w:rPr>
          <w:color w:val="000000"/>
          <w:spacing w:val="0"/>
          <w:w w:val="100"/>
          <w:position w:val="0"/>
          <w:sz w:val="22"/>
          <w:szCs w:val="22"/>
        </w:rPr>
        <w:t>元。</w:t>
      </w:r>
    </w:p>
    <w:p>
      <w:pPr>
        <w:pStyle w:val="Style35"/>
        <w:keepNext w:val="0"/>
        <w:keepLines w:val="0"/>
        <w:widowControl w:val="0"/>
        <w:shd w:val="clear" w:color="auto" w:fill="auto"/>
        <w:bidi w:val="0"/>
        <w:spacing w:before="0" w:after="220" w:line="313"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：本年新增其他资本公积系，本公司之子公司思迅软件通过持股平台授予员工</w:t>
      </w:r>
      <w:r>
        <w:rPr>
          <w:rFonts w:ascii="Times New Roman" w:eastAsia="Times New Roman" w:hAnsi="Times New Roman" w:cs="Times New Roman"/>
          <w:color w:val="000000"/>
          <w:spacing w:val="0"/>
          <w:w w:val="100"/>
          <w:position w:val="0"/>
          <w:sz w:val="22"/>
          <w:szCs w:val="22"/>
        </w:rPr>
        <w:t>0.2%</w:t>
      </w:r>
      <w:r>
        <w:rPr>
          <w:color w:val="000000"/>
          <w:spacing w:val="0"/>
          <w:w w:val="100"/>
          <w:position w:val="0"/>
          <w:sz w:val="22"/>
          <w:szCs w:val="22"/>
        </w:rPr>
        <w:t>的股份， 股权以接近思迅软件</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年末每股净资产的价格转让给思迅软件的高管和关键员工。在持有期间员工 仅享有分红权以及经营积累利得，不构成完整的股东权利，思迅软件按照分红权的公允价值确定股份 支付费用，计入当期成本费用和资本公积，使资本公积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其他资本公积增加</w:t>
      </w:r>
      <w:r>
        <w:rPr>
          <w:rFonts w:ascii="Times New Roman" w:eastAsia="Times New Roman" w:hAnsi="Times New Roman" w:cs="Times New Roman"/>
          <w:color w:val="000000"/>
          <w:spacing w:val="0"/>
          <w:w w:val="100"/>
          <w:position w:val="0"/>
          <w:sz w:val="22"/>
          <w:szCs w:val="22"/>
        </w:rPr>
        <w:t>897,758.19</w:t>
      </w:r>
      <w:r>
        <w:rPr>
          <w:color w:val="000000"/>
          <w:spacing w:val="0"/>
          <w:w w:val="100"/>
          <w:position w:val="0"/>
          <w:sz w:val="22"/>
          <w:szCs w:val="22"/>
        </w:rPr>
        <w:t>元，其中：归属 于母公司</w:t>
      </w:r>
      <w:r>
        <w:rPr>
          <w:rFonts w:ascii="Times New Roman" w:eastAsia="Times New Roman" w:hAnsi="Times New Roman" w:cs="Times New Roman"/>
          <w:color w:val="000000"/>
          <w:spacing w:val="0"/>
          <w:w w:val="100"/>
          <w:position w:val="0"/>
          <w:sz w:val="22"/>
          <w:szCs w:val="22"/>
        </w:rPr>
        <w:t>657,210.17</w:t>
      </w:r>
      <w:r>
        <w:rPr>
          <w:color w:val="000000"/>
          <w:spacing w:val="0"/>
          <w:w w:val="100"/>
          <w:position w:val="0"/>
          <w:sz w:val="22"/>
          <w:szCs w:val="22"/>
        </w:rPr>
        <w:t>元，归属于少数股东</w:t>
      </w:r>
      <w:r>
        <w:rPr>
          <w:rFonts w:ascii="Times New Roman" w:eastAsia="Times New Roman" w:hAnsi="Times New Roman" w:cs="Times New Roman"/>
          <w:color w:val="000000"/>
          <w:spacing w:val="0"/>
          <w:w w:val="100"/>
          <w:position w:val="0"/>
          <w:sz w:val="22"/>
          <w:szCs w:val="22"/>
        </w:rPr>
        <w:t>240,548.02</w:t>
      </w:r>
      <w:r>
        <w:rPr>
          <w:color w:val="000000"/>
          <w:spacing w:val="0"/>
          <w:w w:val="100"/>
          <w:position w:val="0"/>
          <w:sz w:val="22"/>
          <w:szCs w:val="22"/>
        </w:rPr>
        <w:t>元。</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：资本公积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其他资本公积</w:t>
      </w:r>
      <w:r>
        <w:rPr>
          <w:rFonts w:ascii="Times New Roman" w:eastAsia="Times New Roman" w:hAnsi="Times New Roman" w:cs="Times New Roman"/>
          <w:color w:val="000000"/>
          <w:spacing w:val="0"/>
          <w:w w:val="100"/>
          <w:position w:val="0"/>
          <w:sz w:val="22"/>
          <w:szCs w:val="22"/>
        </w:rPr>
        <w:t>754,126.40</w:t>
      </w:r>
      <w:r>
        <w:rPr>
          <w:color w:val="000000"/>
          <w:spacing w:val="0"/>
          <w:w w:val="100"/>
          <w:position w:val="0"/>
          <w:sz w:val="22"/>
          <w:szCs w:val="22"/>
        </w:rPr>
        <w:t>元，系在北海石基公司完成对北京宝库公司增资后，原 始股东承诺将其持有</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的股份中的</w:t>
      </w:r>
      <w:r>
        <w:rPr>
          <w:rFonts w:ascii="Times New Roman" w:eastAsia="Times New Roman" w:hAnsi="Times New Roman" w:cs="Times New Roman"/>
          <w:color w:val="000000"/>
          <w:spacing w:val="0"/>
          <w:w w:val="100"/>
          <w:position w:val="0"/>
          <w:sz w:val="22"/>
          <w:szCs w:val="22"/>
        </w:rPr>
        <w:t xml:space="preserve">6% </w:t>
      </w:r>
      <w:r>
        <w:rPr>
          <w:color w:val="000000"/>
          <w:spacing w:val="0"/>
          <w:w w:val="100"/>
          <w:position w:val="0"/>
          <w:sz w:val="22"/>
          <w:szCs w:val="22"/>
        </w:rPr>
        <w:t>（对应注册资金</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,457,336.82</w:t>
      </w:r>
      <w:r>
        <w:rPr>
          <w:color w:val="000000"/>
          <w:spacing w:val="0"/>
          <w:w w:val="100"/>
          <w:position w:val="0"/>
          <w:sz w:val="22"/>
          <w:szCs w:val="22"/>
        </w:rPr>
        <w:t>元）将作为给目标公司高管和关 键员工的股权激励，股权激励费用共</w:t>
      </w:r>
      <w:r>
        <w:rPr>
          <w:rFonts w:ascii="Times New Roman" w:eastAsia="Times New Roman" w:hAnsi="Times New Roman" w:cs="Times New Roman"/>
          <w:color w:val="000000"/>
          <w:spacing w:val="0"/>
          <w:w w:val="100"/>
          <w:position w:val="0"/>
          <w:sz w:val="22"/>
          <w:szCs w:val="22"/>
        </w:rPr>
        <w:t>3,472,941.17</w:t>
      </w:r>
      <w:r>
        <w:rPr>
          <w:color w:val="000000"/>
          <w:spacing w:val="0"/>
          <w:w w:val="100"/>
          <w:position w:val="0"/>
          <w:sz w:val="22"/>
          <w:szCs w:val="22"/>
        </w:rPr>
        <w:t>元，归属于本年</w:t>
      </w:r>
      <w:r>
        <w:rPr>
          <w:rFonts w:ascii="Times New Roman" w:eastAsia="Times New Roman" w:hAnsi="Times New Roman" w:cs="Times New Roman"/>
          <w:color w:val="000000"/>
          <w:spacing w:val="0"/>
          <w:w w:val="100"/>
          <w:position w:val="0"/>
          <w:sz w:val="22"/>
          <w:szCs w:val="22"/>
        </w:rPr>
        <w:t>887,207.55</w:t>
      </w:r>
      <w:r>
        <w:rPr>
          <w:color w:val="000000"/>
          <w:spacing w:val="0"/>
          <w:w w:val="100"/>
          <w:position w:val="0"/>
          <w:sz w:val="22"/>
          <w:szCs w:val="22"/>
        </w:rPr>
        <w:t xml:space="preserve">元，其中归属于母公司 </w:t>
      </w:r>
      <w:r>
        <w:rPr>
          <w:rFonts w:ascii="Times New Roman" w:eastAsia="Times New Roman" w:hAnsi="Times New Roman" w:cs="Times New Roman"/>
          <w:color w:val="000000"/>
          <w:spacing w:val="0"/>
          <w:w w:val="100"/>
          <w:position w:val="0"/>
          <w:sz w:val="22"/>
          <w:szCs w:val="22"/>
        </w:rPr>
        <w:t>754,126.4</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2"/>
          <w:szCs w:val="22"/>
        </w:rPr>
        <w:t>元，归属于少数股东</w:t>
      </w:r>
      <w:r>
        <w:rPr>
          <w:rFonts w:ascii="Times New Roman" w:eastAsia="Times New Roman" w:hAnsi="Times New Roman" w:cs="Times New Roman"/>
          <w:color w:val="000000"/>
          <w:spacing w:val="0"/>
          <w:w w:val="100"/>
          <w:position w:val="0"/>
          <w:sz w:val="22"/>
          <w:szCs w:val="22"/>
        </w:rPr>
        <w:t>133,081.13</w:t>
      </w:r>
      <w:r>
        <w:rPr>
          <w:color w:val="000000"/>
          <w:spacing w:val="0"/>
          <w:w w:val="100"/>
          <w:position w:val="0"/>
          <w:sz w:val="22"/>
          <w:szCs w:val="22"/>
        </w:rPr>
        <w:t>元。</w:t>
      </w:r>
    </w:p>
    <w:p>
      <w:pPr>
        <w:pStyle w:val="Style35"/>
        <w:keepNext w:val="0"/>
        <w:keepLines w:val="0"/>
        <w:widowControl w:val="0"/>
        <w:shd w:val="clear" w:color="auto" w:fill="auto"/>
        <w:bidi w:val="0"/>
        <w:spacing w:before="0" w:after="220" w:line="317"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：资本公积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其他资本公积增加</w:t>
      </w:r>
      <w:r>
        <w:rPr>
          <w:rFonts w:ascii="Times New Roman" w:eastAsia="Times New Roman" w:hAnsi="Times New Roman" w:cs="Times New Roman"/>
          <w:color w:val="000000"/>
          <w:spacing w:val="0"/>
          <w:w w:val="100"/>
          <w:position w:val="0"/>
          <w:sz w:val="22"/>
          <w:szCs w:val="22"/>
        </w:rPr>
        <w:t>341,055.56</w:t>
      </w:r>
      <w:r>
        <w:rPr>
          <w:color w:val="000000"/>
          <w:spacing w:val="0"/>
          <w:w w:val="100"/>
          <w:position w:val="0"/>
          <w:sz w:val="22"/>
          <w:szCs w:val="22"/>
        </w:rPr>
        <w:t>元，系合营企业上海鸿鹊因少数股东增资，本公司 持股比例下降，按稀释前后持股比例计算的享有上海鸿鹊所有者权益的变动额。</w:t>
      </w:r>
    </w:p>
    <w:p>
      <w:pPr>
        <w:pStyle w:val="Style35"/>
        <w:keepNext w:val="0"/>
        <w:keepLines w:val="0"/>
        <w:widowControl w:val="0"/>
        <w:shd w:val="clear" w:color="auto" w:fill="auto"/>
        <w:bidi w:val="0"/>
        <w:spacing w:before="0" w:after="660" w:line="326" w:lineRule="exact"/>
        <w:ind w:left="0" w:right="0" w:firstLine="46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：资本公积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其他资本公积增加</w:t>
      </w:r>
      <w:r>
        <w:rPr>
          <w:rFonts w:ascii="Times New Roman" w:eastAsia="Times New Roman" w:hAnsi="Times New Roman" w:cs="Times New Roman"/>
          <w:color w:val="000000"/>
          <w:spacing w:val="0"/>
          <w:w w:val="100"/>
          <w:position w:val="0"/>
          <w:sz w:val="22"/>
          <w:szCs w:val="22"/>
        </w:rPr>
        <w:t>1,005,553.02</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系合营企业拓易科技少数股东增资，本公司持 股比例下降，按稀释前后持股比例计算的享有拓易科技所有者权益的变动额。</w:t>
      </w:r>
    </w:p>
    <w:p>
      <w:pPr>
        <w:pStyle w:val="Style32"/>
        <w:keepNext/>
        <w:keepLines/>
        <w:widowControl w:val="0"/>
        <w:shd w:val="clear" w:color="auto" w:fill="auto"/>
        <w:bidi w:val="0"/>
        <w:spacing w:before="0" w:after="36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442"/>
      <w:bookmarkEnd w:id="1443"/>
      <w:bookmarkEnd w:id="14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358"/>
        <w:gridCol w:w="1277"/>
        <w:gridCol w:w="768"/>
        <w:gridCol w:w="850"/>
        <w:gridCol w:w="566"/>
        <w:gridCol w:w="1277"/>
        <w:gridCol w:w="706"/>
        <w:gridCol w:w="1315"/>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96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本期所得税前 发生额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减：前期</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计入其 他综合 收益当 期转入 损益</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 得税 费用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税后归</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属于少</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数股东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二、将重分类进损 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299,226,363.81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-138,349,200.37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-138,349,200.37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160,877,163.44</w:t>
            </w:r>
          </w:p>
        </w:tc>
      </w:tr>
      <w:tr>
        <w:trPr>
          <w:trHeight w:val="1037"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其中：权益法下可</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转损益的其他综合</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688,850.15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-844,894.43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-844,894.43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-156,044.28</w:t>
            </w:r>
          </w:p>
        </w:tc>
      </w:tr>
    </w:tbl>
    <w:p>
      <w:pPr>
        <w:widowControl w:val="0"/>
        <w:spacing w:line="1" w:lineRule="exact"/>
      </w:pPr>
      <w:r>
        <w:br w:type="page"/>
      </w:r>
    </w:p>
    <w:tbl>
      <w:tblPr>
        <w:tblOverlap w:val="never"/>
        <w:jc w:val="center"/>
        <w:tblLayout w:type="fixed"/>
      </w:tblPr>
      <w:tblGrid>
        <w:gridCol w:w="1570"/>
        <w:gridCol w:w="1358"/>
        <w:gridCol w:w="1277"/>
        <w:gridCol w:w="768"/>
        <w:gridCol w:w="850"/>
        <w:gridCol w:w="566"/>
        <w:gridCol w:w="1277"/>
        <w:gridCol w:w="706"/>
        <w:gridCol w:w="1315"/>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外币财务报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298,537,513.66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-137,504,305.94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-137,504,305.94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161,033,207.72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299,226,363.81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-138,349,200.37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-138,349,200.37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160,877,163.44</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446"/>
      <w:bookmarkEnd w:id="1447"/>
      <w:bookmarkEnd w:id="14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77,227,700.23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17,702,045.77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94,929,746.00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77,227,700.23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17,702,045.77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94,929,746.00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299" w:line="1" w:lineRule="exact"/>
      </w:pPr>
    </w:p>
    <w:p>
      <w:pPr>
        <w:pStyle w:val="Style35"/>
        <w:keepNext w:val="0"/>
        <w:keepLines w:val="0"/>
        <w:widowControl w:val="0"/>
        <w:shd w:val="clear" w:color="auto" w:fill="auto"/>
        <w:bidi w:val="0"/>
        <w:spacing w:before="0" w:after="380" w:line="240" w:lineRule="auto"/>
        <w:ind w:left="0" w:right="0" w:firstLine="460"/>
        <w:jc w:val="left"/>
        <w:rPr>
          <w:sz w:val="22"/>
          <w:szCs w:val="22"/>
        </w:rPr>
      </w:pPr>
      <w:r>
        <w:rPr>
          <w:color w:val="000000"/>
          <w:spacing w:val="0"/>
          <w:w w:val="100"/>
          <w:position w:val="0"/>
          <w:sz w:val="22"/>
          <w:szCs w:val="22"/>
        </w:rPr>
        <w:t>注：本年盈余公积增加为按照本公司本年实现净利润的</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提取的法定盈余公积。</w:t>
      </w:r>
    </w:p>
    <w:p>
      <w:pPr>
        <w:pStyle w:val="Style32"/>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450"/>
      <w:bookmarkEnd w:id="1451"/>
      <w:bookmarkEnd w:id="1453"/>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3,048,666,428.87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2,826,287,929.62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3,048,666,428.87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2,826,287,929.62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-67,580,013.80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368,017,553.68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17,702,045.77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38,948,874.45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42,829,767.00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106,690,179.98</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2,920,554,602.30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3,048,666,428.87</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20" w:line="240" w:lineRule="auto"/>
        <w:ind w:left="0" w:right="0" w:firstLine="0"/>
        <w:jc w:val="left"/>
      </w:pPr>
      <w:bookmarkStart w:id="1454" w:name="bookmark1454"/>
      <w:r>
        <w:rPr>
          <w:rFonts w:ascii="Times New Roman" w:eastAsia="Times New Roman" w:hAnsi="Times New Roman" w:cs="Times New Roman"/>
          <w:color w:val="000000"/>
          <w:spacing w:val="0"/>
          <w:w w:val="100"/>
          <w:position w:val="0"/>
          <w:sz w:val="18"/>
          <w:szCs w:val="18"/>
        </w:rPr>
        <w:t>1</w:t>
      </w:r>
      <w:bookmarkEnd w:id="14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455" w:name="bookmark1455"/>
      <w:r>
        <w:rPr>
          <w:rFonts w:ascii="Times New Roman" w:eastAsia="Times New Roman" w:hAnsi="Times New Roman" w:cs="Times New Roman"/>
          <w:color w:val="000000"/>
          <w:spacing w:val="0"/>
          <w:w w:val="100"/>
          <w:position w:val="0"/>
          <w:sz w:val="18"/>
          <w:szCs w:val="18"/>
        </w:rPr>
        <w:t>2</w:t>
      </w:r>
      <w:bookmarkEnd w:id="14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456" w:name="bookmark1456"/>
      <w:r>
        <w:rPr>
          <w:rFonts w:ascii="Times New Roman" w:eastAsia="Times New Roman" w:hAnsi="Times New Roman" w:cs="Times New Roman"/>
          <w:color w:val="000000"/>
          <w:spacing w:val="0"/>
          <w:w w:val="100"/>
          <w:position w:val="0"/>
          <w:sz w:val="18"/>
          <w:szCs w:val="18"/>
        </w:rPr>
        <w:t>3</w:t>
      </w:r>
      <w:bookmarkEnd w:id="14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457" w:name="bookmark1457"/>
      <w:r>
        <w:rPr>
          <w:rFonts w:ascii="Times New Roman" w:eastAsia="Times New Roman" w:hAnsi="Times New Roman" w:cs="Times New Roman"/>
          <w:color w:val="000000"/>
          <w:spacing w:val="0"/>
          <w:w w:val="100"/>
          <w:position w:val="0"/>
          <w:sz w:val="18"/>
          <w:szCs w:val="18"/>
        </w:rPr>
        <w:t>4</w:t>
      </w:r>
      <w:bookmarkEnd w:id="14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458" w:name="bookmark1458"/>
      <w:r>
        <w:rPr>
          <w:rFonts w:ascii="Times New Roman" w:eastAsia="Times New Roman" w:hAnsi="Times New Roman" w:cs="Times New Roman"/>
          <w:color w:val="000000"/>
          <w:spacing w:val="0"/>
          <w:w w:val="100"/>
          <w:position w:val="0"/>
          <w:sz w:val="18"/>
          <w:szCs w:val="18"/>
        </w:rPr>
        <w:t>5</w:t>
      </w:r>
      <w:bookmarkEnd w:id="14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459"/>
      <w:bookmarkEnd w:id="1460"/>
      <w:bookmarkEnd w:id="1462"/>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3,300,203,048.78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1,954,076,332.13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3,643,060,329.54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2,058,305,926.62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10,432,329.37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19,479,786.86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9,614,278.65</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1,964,508,661.50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3,662,540,116.40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2,067,920,205.27</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1930"/>
        <w:gridCol w:w="2270"/>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3,317,319,888.57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3,662,540,116.40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营业收入为酒店、餐饮及零售行业研发 的应用管理系统的软件、硬件、技术开 发收入、维护、安装、服务收入、商品 批发收入等。</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19,479,786.86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与主营业务无关</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其中：房屋租赁及物业费收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9,306,732.51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10,585,893.89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与主营业务无关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7"/>
                <w:szCs w:val="17"/>
              </w:rPr>
              <w:t>销售材料及其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7,810,107.28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8,893,892.97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与主营业务无关</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与主营业务无关</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17,116,839.79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19,479,786.86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与主营业务无关</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不具备商业实质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没有不具备商业实质的收入</w:t>
            </w:r>
          </w:p>
        </w:tc>
      </w:tr>
      <w:tr>
        <w:trPr>
          <w:trHeight w:val="1344"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3,300,203,048.78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3,643,060,329.54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营业收入为酒店、餐饮及零售行业研发 的应用管理系统的软件、硬件、技术开 发收入、维护、安装、服务收入、商品 批发收入等。</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1,719,485,702.48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1,158,582,814.38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439,251,371.71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3,317,319,888.57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酒店信息管理系统业务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859,725,496.77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859,725,496.77</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社会餐饮信息管理系统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93,211,836.28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93,211,836.28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88,151,295.64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88,151,295.64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商业流通管理系统业务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631,372,521.59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631,372,521.59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旅游休闲系统业务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44,961,561.16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44,961,561.16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第三方硬件配套业务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1,151,250,064.70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1,151,250,064.70</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自有智能商用设备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431,530,272.64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431,530,272.64</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2,062,991.04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7,332,749.68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7,721,099.07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17,116,839.79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中国大陆地区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1,420,402,875.10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1,048,624,654.11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439,251,371.71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2,908,278,900.92</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中国大陆地区以外的国 家和地区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299,082,827.38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109,958,160.27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409,040,987.65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592,329,981.58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488,621,252.10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75,859,189.70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27,849,539.79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 入。</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463"/>
      <w:bookmarkEnd w:id="1464"/>
      <w:bookmarkEnd w:id="14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7,961,372.01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10,561,162.39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3,406,723.59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4,554,127.33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2,530,117.05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6,016,267.71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118,790.58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15,219.51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34,787.45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1,082,356.92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2,918,159.81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2,294,393.85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3,032,946.99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境外）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953,942.44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631,583.60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水利建设基金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73,038.02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残疾人就业保障金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972,740.49</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18,441,817.22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28,913,604.37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467"/>
      <w:bookmarkEnd w:id="1468"/>
      <w:bookmarkEnd w:id="147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173,477,261.88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174,634,119.77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15,584,901.85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27,860,469.07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15,450,802.30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35,819,810.16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13,256,281.87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13,994,598.53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9,161,086.23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11,436,754.99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6,013,066.09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10,367,725.86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售后维护费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5,604,528.42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18,789,482.39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4,402,199.20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8,413,969.32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3,967,577.03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2,706,934.91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办公会议费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3,694,140.48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9,832,188.83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邮电通讯费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1,984,289.40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1,248,790.46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1,658,985.44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605,178.52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872,394.71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542,428.18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352,151.52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282,844.16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204,139.63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197,084.40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61,160.67</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255,880,890.45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316,596,455.82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471"/>
      <w:bookmarkEnd w:id="1472"/>
      <w:bookmarkEnd w:id="147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401,646,315.90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432,182,114.84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149,164,633.23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131,776,293.64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40,205,144.10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66,860,403.75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43,349,647.62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32,925,874.11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办公会议费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18,068,998.62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24,152,120.92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15,583,812.12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35,066,922.46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12,230,023.82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30,913,713.04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6,394,374.63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5,289,124.87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3,774,249.91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3,119,099.03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2,988,125.81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3,346,620.72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修理费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2,290,133.54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1,669,686.91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1,784,965.74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17,025,190.77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1,766,451.09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632,845.21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上市公司维护费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1,143,729.73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13,941.24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4,927,329.21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4,418,088.98</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705,317,935.07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789,392,040.49</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475"/>
      <w:bookmarkEnd w:id="1476"/>
      <w:bookmarkEnd w:id="147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269,035,570.45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239,708,851.56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13,098,916.80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17,363,903.28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5,630,158.03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2,187,085.17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5,360,004.54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1,389,582.15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4,467,780.09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7,123,256.65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2,117,873.74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2,136,740.29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2,074,095.80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2,696,373.26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1,019,739.19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1,027,819.84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688,598.17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506,368.05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601,406.45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1,234,036.14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软件认证费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155,052.97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122,160.36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112,783.12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劳动保护费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42,453.59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497,735.06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340,826.60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304,916,042.55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275,870,079.70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479"/>
      <w:bookmarkEnd w:id="1480"/>
      <w:bookmarkEnd w:id="1482"/>
    </w:p>
    <w:p>
      <w:pPr>
        <w:pStyle w:val="Style28"/>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9,179,372.62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3,112,010.04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199,583,490.54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202,600,602.90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50,867,950.27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-51,396,893.83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1,968,628.16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1,741,021.69</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-137,567,539.49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-249,144,465.00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483"/>
      <w:bookmarkEnd w:id="1484"/>
      <w:bookmarkEnd w:id="148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软件产品增值税即征即退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49,205,340.39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86,648,454.08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3,619,930.01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2,047,657.89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1,813,886.40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704,917.14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1,133,388.35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601,245.13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附加税返还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104,412.03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66,454.08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增值税减免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2,862,995.75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57,924,853.20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91,741,066.18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487"/>
      <w:bookmarkEnd w:id="1488"/>
      <w:bookmarkEnd w:id="149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6,065,522.31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-41,142,018.57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-168,947,429.11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192,640.48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3,024,070.11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9,365,613.43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取得控制权前，原持有权益法核算股权按照 公允价值重新计量产生的利得或损失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32,027,159.28</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-159,857,836.69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443,394.62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491"/>
      <w:bookmarkEnd w:id="1492"/>
      <w:bookmarkEnd w:id="149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42,906.43</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-10,845,929.90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42,906.43</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22"/>
          <w:szCs w:val="22"/>
        </w:rPr>
        <w:t>理财产品投资产生的公允价值变动收益</w:t>
      </w:r>
      <w:r>
        <w:rPr>
          <w:rFonts w:ascii="Times New Roman" w:eastAsia="Times New Roman" w:hAnsi="Times New Roman" w:cs="Times New Roman"/>
          <w:color w:val="000000"/>
          <w:spacing w:val="0"/>
          <w:w w:val="100"/>
          <w:position w:val="0"/>
          <w:sz w:val="22"/>
          <w:szCs w:val="22"/>
        </w:rPr>
        <w:t>205,791.49</w:t>
      </w:r>
      <w:r>
        <w:rPr>
          <w:color w:val="000000"/>
          <w:spacing w:val="0"/>
          <w:w w:val="100"/>
          <w:position w:val="0"/>
          <w:sz w:val="22"/>
          <w:szCs w:val="22"/>
        </w:rPr>
        <w:t>元；</w:t>
      </w:r>
    </w:p>
    <w:p>
      <w:pPr>
        <w:pStyle w:val="Style35"/>
        <w:keepNext w:val="0"/>
        <w:keepLines w:val="0"/>
        <w:widowControl w:val="0"/>
        <w:shd w:val="clear" w:color="auto" w:fill="auto"/>
        <w:bidi w:val="0"/>
        <w:spacing w:before="0" w:after="380" w:line="240" w:lineRule="auto"/>
        <w:ind w:left="0" w:right="0" w:firstLine="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：根据业绩承诺的履行情况，按照公允价值调整处置价款及投资收益</w:t>
      </w:r>
      <w:r>
        <w:rPr>
          <w:rFonts w:ascii="Times New Roman" w:eastAsia="Times New Roman" w:hAnsi="Times New Roman" w:cs="Times New Roman"/>
          <w:color w:val="000000"/>
          <w:spacing w:val="0"/>
          <w:w w:val="100"/>
          <w:position w:val="0"/>
          <w:sz w:val="22"/>
          <w:szCs w:val="22"/>
        </w:rPr>
        <w:t>-11,051,721.39</w:t>
      </w:r>
      <w:r>
        <w:rPr>
          <w:color w:val="000000"/>
          <w:spacing w:val="0"/>
          <w:w w:val="100"/>
          <w:position w:val="0"/>
          <w:sz w:val="22"/>
          <w:szCs w:val="22"/>
        </w:rPr>
        <w:t>元。</w:t>
      </w:r>
    </w:p>
    <w:p>
      <w:pPr>
        <w:pStyle w:val="Style32"/>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495"/>
      <w:bookmarkEnd w:id="1496"/>
      <w:bookmarkEnd w:id="149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-2,708,790.07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-3,123,735.88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应收票据及应收账款坏账损失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-31,304,588.01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-23,422,209.48</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-35,550,378.08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-26,545,945.36</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499"/>
      <w:bookmarkEnd w:id="1500"/>
      <w:bookmarkEnd w:id="150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-11,187,784.67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-8,192,958.06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-3,108,937.67</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-15,005,600.00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-26,193,384.67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-11,301,895.73</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503"/>
      <w:bookmarkEnd w:id="1504"/>
      <w:bookmarkEnd w:id="150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-235,710.30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-183,198.57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未划分为持有待售的非流动资产处置收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-235,710.30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-183,198.57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固定资产处置收益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-235,710.30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-183,198.57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无形资产处置收益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-235,710.30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-183,198.57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507"/>
      <w:bookmarkEnd w:id="1508"/>
      <w:bookmarkEnd w:id="151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15,915,934.35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7,913,731.00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15,915,934.35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无需支付的款项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4,097,916.80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4,097,916.80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64,549.78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8,415,468.88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1,928,767.03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8,415,468.88</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28,493,869.81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9,842,595.47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28,493,869.81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771"/>
        <w:gridCol w:w="989"/>
        <w:gridCol w:w="710"/>
        <w:gridCol w:w="1133"/>
        <w:gridCol w:w="994"/>
        <w:gridCol w:w="787"/>
      </w:tblGrid>
      <w:tr>
        <w:trPr>
          <w:trHeight w:val="103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殊补贴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 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研发投入奖</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青岛市科学 技术局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软件谷高企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认定奖励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新技术新产 品专项奖励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青岛市科学 技术局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与收益相</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行业能力系 统解决方案 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青岛市崂山 区工业和信 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软件信息化</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CMMI</w:t>
            </w:r>
            <w:r>
              <w:rPr>
                <w:color w:val="000000"/>
                <w:spacing w:val="0"/>
                <w:w w:val="100"/>
                <w:position w:val="0"/>
                <w:sz w:val="17"/>
                <w:szCs w:val="17"/>
              </w:rPr>
              <w:t>评估</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青岛市崂山 区工业和信 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与收益相</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产业扶持资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因研究开发、技术更新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w:t>
            </w:r>
          </w:p>
        </w:tc>
      </w:tr>
    </w:tbl>
    <w:p>
      <w:pPr>
        <w:widowControl w:val="0"/>
        <w:spacing w:line="1" w:lineRule="exact"/>
      </w:pPr>
      <w:r>
        <w:br w:type="page"/>
      </w:r>
    </w:p>
    <w:tbl>
      <w:tblPr>
        <w:tblOverlap w:val="never"/>
        <w:jc w:val="center"/>
        <w:tblLayout w:type="fixed"/>
      </w:tblPr>
      <w:tblGrid>
        <w:gridCol w:w="1075"/>
        <w:gridCol w:w="1061"/>
        <w:gridCol w:w="1066"/>
        <w:gridCol w:w="1771"/>
        <w:gridCol w:w="989"/>
        <w:gridCol w:w="710"/>
        <w:gridCol w:w="1133"/>
        <w:gridCol w:w="994"/>
        <w:gridCol w:w="787"/>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业投融资奖</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软件谷管理</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及改造等获得的补助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年度高 新技术企业 认定补贴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广东省科学 技术厅、财政 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科技创</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年高新 企业奖励后 补助金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北海高新技 术产业开发 区管理委员 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上规企业奖 励资金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北海高新区 管委会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百货商业信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北京市财政</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软件和 信息服务业 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号文政策</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兑现</w:t>
            </w: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研发奖补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广西科学技</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年度投</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融资奖励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雨花台区软 件产业发展 领导小组办 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一省两化融 合贯标和企 业上云切块 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南京市工业 和信息化局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专精特新奖</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青岛市崂山 区工业和信 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收政府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两直</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年度软 件人才综合 补贴专项资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雨花台区软 件产业发展 领导小组办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与收益相 关</w:t>
            </w:r>
          </w:p>
        </w:tc>
      </w:tr>
    </w:tbl>
    <w:p>
      <w:pPr>
        <w:widowControl w:val="0"/>
        <w:spacing w:line="1" w:lineRule="exact"/>
      </w:pPr>
      <w:r>
        <w:br w:type="page"/>
      </w:r>
    </w:p>
    <w:tbl>
      <w:tblPr>
        <w:tblOverlap w:val="never"/>
        <w:jc w:val="center"/>
        <w:tblLayout w:type="fixed"/>
      </w:tblPr>
      <w:tblGrid>
        <w:gridCol w:w="1075"/>
        <w:gridCol w:w="1061"/>
        <w:gridCol w:w="1066"/>
        <w:gridCol w:w="1771"/>
        <w:gridCol w:w="989"/>
        <w:gridCol w:w="710"/>
        <w:gridCol w:w="1133"/>
        <w:gridCol w:w="994"/>
        <w:gridCol w:w="787"/>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科技创新成 果奖金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北海高新技 术产业开发 区管理委员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CMMI</w:t>
            </w:r>
            <w:r>
              <w:rPr>
                <w:color w:val="000000"/>
                <w:spacing w:val="0"/>
                <w:w w:val="100"/>
                <w:position w:val="0"/>
                <w:sz w:val="17"/>
                <w:szCs w:val="17"/>
              </w:rPr>
              <w:t>资质 奖励、</w:t>
            </w:r>
            <w:r>
              <w:rPr>
                <w:rFonts w:ascii="Times New Roman" w:eastAsia="Times New Roman" w:hAnsi="Times New Roman" w:cs="Times New Roman"/>
                <w:color w:val="000000"/>
                <w:spacing w:val="0"/>
                <w:w w:val="100"/>
                <w:position w:val="0"/>
                <w:sz w:val="18"/>
                <w:szCs w:val="18"/>
              </w:rPr>
              <w:t>iso</w:t>
            </w:r>
            <w:r>
              <w:rPr>
                <w:color w:val="000000"/>
                <w:spacing w:val="0"/>
                <w:w w:val="100"/>
                <w:position w:val="0"/>
                <w:sz w:val="17"/>
                <w:szCs w:val="17"/>
              </w:rPr>
              <w:t>资 质奖励、软件 著作权奖励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广州高新技 术产业开发 区天河科技 园管理委员 会、广州天河 软件园管理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软件著作权</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深圳市市场</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监督管理局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服务贸易统 计监测企业 补助资金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北京市流通 经济研究中 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软著奖励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青岛市崂山 区工业和信 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大型仪器共</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享奖补助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青岛市崂山 区科技创新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科技创</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核酸检测补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西安市财政</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科技专项资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青岛市科学 技术局办公 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年一季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度产业扶持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青岛市财政 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高新技术企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青岛市科学 技术局、青岛 市财政局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康桥云系统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北海高新技 术产业开发 区管理委员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因研究开发、技术更新 及改造等获得的补助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与收益相 关</w:t>
            </w:r>
          </w:p>
        </w:tc>
      </w:tr>
    </w:tbl>
    <w:p>
      <w:pPr>
        <w:widowControl w:val="0"/>
        <w:spacing w:line="1" w:lineRule="exact"/>
      </w:pPr>
      <w:r>
        <w:br w:type="page"/>
      </w:r>
    </w:p>
    <w:tbl>
      <w:tblPr>
        <w:tblOverlap w:val="never"/>
        <w:jc w:val="center"/>
        <w:tblLayout w:type="fixed"/>
      </w:tblPr>
      <w:tblGrid>
        <w:gridCol w:w="1075"/>
        <w:gridCol w:w="1061"/>
        <w:gridCol w:w="1066"/>
        <w:gridCol w:w="1771"/>
        <w:gridCol w:w="989"/>
        <w:gridCol w:w="710"/>
        <w:gridCol w:w="1133"/>
        <w:gridCol w:w="994"/>
        <w:gridCol w:w="7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广西科学技 术厅激励企 业加大研发 费奖补</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年第一批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广西壮族自 治区科技厅、 广西壮族自 治区财政厅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391,100.00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年度企 业研究开发 费用省级财 政奖励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江苏省财政 厅江苏省科 学技术厅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加大研发经 费投入财政 奖补金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广西壮族自 治区科技厅、 广西壮族自 治区财政厅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入库规模奖</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北海市发展 和改革委员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北海市高新 技术产业开 发区管理委 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 物流扶持资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北海市工业 信息化委员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 引资等地方性扶持政 策而获得的补助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广西服务业 品牌奖励金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北海市人民</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研发补助发 展专项资金 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46,958.00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年度企 业科技创新 成果奖励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北海高新技 术产业开发 区管理委员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软件产品奖</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励款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年知识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产权奖励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年度科 技创新奖励 经费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杭科计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[2018]152 </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bl>
    <w:p>
      <w:pPr>
        <w:widowControl w:val="0"/>
        <w:spacing w:line="1" w:lineRule="exact"/>
      </w:pPr>
      <w:r>
        <w:br w:type="page"/>
      </w:r>
    </w:p>
    <w:tbl>
      <w:tblPr>
        <w:tblOverlap w:val="never"/>
        <w:jc w:val="center"/>
        <w:tblLayout w:type="fixed"/>
      </w:tblPr>
      <w:tblGrid>
        <w:gridCol w:w="1075"/>
        <w:gridCol w:w="1061"/>
        <w:gridCol w:w="1066"/>
        <w:gridCol w:w="1771"/>
        <w:gridCol w:w="989"/>
        <w:gridCol w:w="710"/>
        <w:gridCol w:w="1133"/>
        <w:gridCol w:w="994"/>
        <w:gridCol w:w="787"/>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高新技 术企业认定 公示奖励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高新技 术企业培育 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141,800.00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研究开发费 用省级财政 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江苏省科委</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新设立软件 企业开发项 目补助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9"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知识产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软件产业综 合发展专项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中国（南京） 软件谷管理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与收益相 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年省科 技发展专项 资金（企业研 究开发补助 资金）项目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广州市科学 技术局、广州 市财政局、广 州市统计局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智慧零售数 字化运营平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北京市朝阳 区科学技术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智慧零售信 息化平台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中关村科技 园区电子城 科技园管理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科技发展资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苏州工业园 区科技与信 息化局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与收益相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苏州工业园 区知识产权 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高企认定补 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广州市科技 创新委会和 广州市财政 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因研究开发、技术更新 及改造等获得的补助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与收益相 关</w:t>
            </w:r>
          </w:p>
        </w:tc>
      </w:tr>
    </w:tbl>
    <w:p>
      <w:pPr>
        <w:widowControl w:val="0"/>
        <w:spacing w:line="1" w:lineRule="exact"/>
      </w:pPr>
      <w:r>
        <w:br w:type="page"/>
      </w:r>
    </w:p>
    <w:tbl>
      <w:tblPr>
        <w:tblOverlap w:val="never"/>
        <w:jc w:val="center"/>
        <w:tblLayout w:type="fixed"/>
      </w:tblPr>
      <w:tblGrid>
        <w:gridCol w:w="1075"/>
        <w:gridCol w:w="1061"/>
        <w:gridCol w:w="1066"/>
        <w:gridCol w:w="1771"/>
        <w:gridCol w:w="989"/>
        <w:gridCol w:w="710"/>
        <w:gridCol w:w="1133"/>
        <w:gridCol w:w="994"/>
        <w:gridCol w:w="787"/>
      </w:tblGrid>
      <w:tr>
        <w:trPr>
          <w:trHeight w:val="13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境外疫情补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境外政府部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因承担国家为保障某 种公用事业或社会必 要产品供应或价格控 制职能而获得的补助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10,285,824.61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bl>
    <w:p>
      <w:pPr>
        <w:widowControl w:val="0"/>
        <w:spacing w:after="79" w:line="1" w:lineRule="exact"/>
      </w:pP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900" w:line="240" w:lineRule="auto"/>
        <w:ind w:left="0" w:right="0" w:firstLine="460"/>
        <w:jc w:val="left"/>
        <w:rPr>
          <w:sz w:val="22"/>
          <w:szCs w:val="22"/>
        </w:rPr>
      </w:pPr>
      <w:r>
        <w:rPr>
          <w:rFonts w:ascii="SimSun" w:eastAsia="SimSun" w:hAnsi="SimSun" w:cs="SimSun"/>
          <w:color w:val="000000"/>
          <w:spacing w:val="0"/>
          <w:w w:val="100"/>
          <w:position w:val="0"/>
          <w:sz w:val="22"/>
          <w:szCs w:val="22"/>
        </w:rPr>
        <w:t>注：其他主要包括稳岗补贴</w:t>
      </w:r>
      <w:r>
        <w:rPr>
          <w:color w:val="000000"/>
          <w:spacing w:val="0"/>
          <w:w w:val="100"/>
          <w:position w:val="0"/>
          <w:sz w:val="22"/>
          <w:szCs w:val="22"/>
        </w:rPr>
        <w:t>1,</w:t>
      </w:r>
      <w:r>
        <w:rPr>
          <w:color w:val="000000"/>
          <w:spacing w:val="0"/>
          <w:w w:val="100"/>
          <w:position w:val="0"/>
          <w:sz w:val="22"/>
          <w:szCs w:val="22"/>
        </w:rPr>
        <w:t>903,616.40</w:t>
      </w:r>
      <w:r>
        <w:rPr>
          <w:rFonts w:ascii="SimSun" w:eastAsia="SimSun" w:hAnsi="SimSun" w:cs="SimSun"/>
          <w:color w:val="000000"/>
          <w:spacing w:val="0"/>
          <w:w w:val="100"/>
          <w:position w:val="0"/>
          <w:sz w:val="22"/>
          <w:szCs w:val="22"/>
        </w:rPr>
        <w:t>元，罚款收入</w:t>
      </w:r>
      <w:r>
        <w:rPr>
          <w:color w:val="000000"/>
          <w:spacing w:val="0"/>
          <w:w w:val="100"/>
          <w:position w:val="0"/>
          <w:sz w:val="22"/>
          <w:szCs w:val="22"/>
        </w:rPr>
        <w:t>1,557,052.73</w:t>
      </w:r>
      <w:r>
        <w:rPr>
          <w:rFonts w:ascii="SimSun" w:eastAsia="SimSun" w:hAnsi="SimSun" w:cs="SimSun"/>
          <w:color w:val="000000"/>
          <w:spacing w:val="0"/>
          <w:w w:val="100"/>
          <w:position w:val="0"/>
          <w:sz w:val="22"/>
          <w:szCs w:val="22"/>
        </w:rPr>
        <w:t>元。</w:t>
      </w:r>
    </w:p>
    <w:p>
      <w:pPr>
        <w:pStyle w:val="Style32"/>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511"/>
      <w:bookmarkEnd w:id="1512"/>
      <w:bookmarkEnd w:id="151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215,044.25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215,044.25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1,410,271.63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563,081.26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1,410,271.63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116,534.10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116,534.10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税款滞纳金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104,025.21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非常损失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1,440,585.34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2,648,608.45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1,440,585.34</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3,294,730.06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3,409,378.01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3,294,730.06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5"/>
        <w:keepNext w:val="0"/>
        <w:keepLines w:val="0"/>
        <w:widowControl w:val="0"/>
        <w:shd w:val="clear" w:color="auto" w:fill="auto"/>
        <w:bidi w:val="0"/>
        <w:spacing w:before="0" w:after="380" w:line="307" w:lineRule="exact"/>
        <w:ind w:left="0" w:right="0" w:firstLine="460"/>
        <w:jc w:val="both"/>
        <w:rPr>
          <w:sz w:val="22"/>
          <w:szCs w:val="22"/>
        </w:rPr>
      </w:pPr>
      <w:r>
        <w:rPr>
          <w:color w:val="000000"/>
          <w:spacing w:val="0"/>
          <w:w w:val="100"/>
          <w:position w:val="0"/>
          <w:sz w:val="22"/>
          <w:szCs w:val="22"/>
        </w:rPr>
        <w:t>注：其他支出主要包括：（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）青岛海信支付山东得益乳业股份有限公司因解除合同赔偿</w:t>
      </w:r>
      <w:r>
        <w:rPr>
          <w:rFonts w:ascii="Times New Roman" w:eastAsia="Times New Roman" w:hAnsi="Times New Roman" w:cs="Times New Roman"/>
          <w:color w:val="000000"/>
          <w:spacing w:val="0"/>
          <w:w w:val="100"/>
          <w:position w:val="0"/>
          <w:sz w:val="22"/>
          <w:szCs w:val="22"/>
        </w:rPr>
        <w:t xml:space="preserve">288,442.90 </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）根据以前年度收购子公司</w:t>
      </w:r>
      <w:r>
        <w:rPr>
          <w:rFonts w:ascii="Times New Roman" w:eastAsia="Times New Roman" w:hAnsi="Times New Roman" w:cs="Times New Roman"/>
          <w:color w:val="000000"/>
          <w:spacing w:val="0"/>
          <w:w w:val="100"/>
          <w:position w:val="0"/>
          <w:sz w:val="22"/>
          <w:szCs w:val="22"/>
        </w:rPr>
        <w:t>Q uick Check</w:t>
      </w:r>
      <w:r>
        <w:rPr>
          <w:color w:val="000000"/>
          <w:spacing w:val="0"/>
          <w:w w:val="100"/>
          <w:position w:val="0"/>
          <w:sz w:val="22"/>
          <w:szCs w:val="22"/>
        </w:rPr>
        <w:t>股权协议，因其以高于收购时点的预期完成业绩考核 条件，据此向其原股东支付额外的补偿款</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,026,545.40</w:t>
      </w:r>
      <w:r>
        <w:rPr>
          <w:color w:val="000000"/>
          <w:spacing w:val="0"/>
          <w:w w:val="100"/>
          <w:position w:val="0"/>
          <w:sz w:val="22"/>
          <w:szCs w:val="22"/>
        </w:rPr>
        <w:t>元。</w:t>
      </w:r>
    </w:p>
    <w:p>
      <w:pPr>
        <w:pStyle w:val="Style32"/>
        <w:keepNext/>
        <w:keepLines/>
        <w:widowControl w:val="0"/>
        <w:shd w:val="clear" w:color="auto" w:fill="auto"/>
        <w:bidi w:val="0"/>
        <w:spacing w:before="0" w:after="240" w:line="322" w:lineRule="auto"/>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515"/>
      <w:bookmarkEnd w:id="1516"/>
      <w:bookmarkEnd w:id="1518"/>
    </w:p>
    <w:p>
      <w:pPr>
        <w:pStyle w:val="Style32"/>
        <w:keepNext/>
        <w:keepLines/>
        <w:widowControl w:val="0"/>
        <w:shd w:val="clear" w:color="auto" w:fill="auto"/>
        <w:bidi w:val="0"/>
        <w:spacing w:before="0" w:after="380" w:line="307" w:lineRule="exact"/>
        <w:ind w:left="0" w:right="0" w:firstLine="0"/>
        <w:jc w:val="both"/>
      </w:pPr>
      <w:bookmarkStart w:id="1515" w:name="bookmark1515"/>
      <w:bookmarkStart w:id="1516" w:name="bookmark1516"/>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5"/>
      <w:bookmarkEnd w:id="1516"/>
      <w:bookmarkEnd w:id="15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59,090,994.32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53,565,967.15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-13,897,475.80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-25,120,527.02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45,193,518.52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28,445,440.13</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14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20"/>
      <w:bookmarkEnd w:id="1521"/>
      <w:bookmarkEnd w:id="152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56,262,834.58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8,439,425.19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-22,170,950.85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1,350,994.72</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421,918.44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1,211,361.82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-2,881,095.82</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82,860,000.72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-23,341,064.91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因税收优惠期间税率调整导致确认递延所得税事项影响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残疾人工资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加计扣除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-21,143.62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核销应收账款未纳税调整的影响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147,607.77</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本年利用前期未确认递延所得税资产的可抵扣暂时性差异转 回期间的影响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-817,652.86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45,193,518.52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523"/>
      <w:bookmarkEnd w:id="1524"/>
      <w:bookmarkEnd w:id="152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527"/>
      <w:bookmarkEnd w:id="1528"/>
      <w:bookmarkEnd w:id="1530"/>
    </w:p>
    <w:p>
      <w:pPr>
        <w:pStyle w:val="Style32"/>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7"/>
      <w:bookmarkEnd w:id="1528"/>
      <w:bookmarkEnd w:id="15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93,945,682.14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163,038,348.60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28,587,138.65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10,506,956.51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押金保证金及备用金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9,068,039.03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9,297,559.50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1,983,658.96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10,108,114.30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1,309,507.59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157,485.70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793,105.62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485,687.07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预收购房款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房产税、土地使用税退回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946,942.37</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136,067,131.99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194,541,094.05</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收到的其他与经营活动有关的现金说明: 无</w:t>
      </w:r>
    </w:p>
    <w:p>
      <w:pPr>
        <w:pStyle w:val="Style32"/>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2"/>
      <w:bookmarkEnd w:id="1533"/>
      <w:bookmarkEnd w:id="153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75,091,176.73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105,360,179.92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68,283,470.82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65,576,366.99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43,854,423.53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32,436,937.43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6,369,191.34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5,922,009.31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22,363,539.52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26,429,405.52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8,778,788.73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7,571,717.25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诉讼财产保全款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15,764,726.76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车辆使用、保险、维修费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15,808,985.52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18,430,016.12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14,503,653.71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14,581,091.16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11,166,661.84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9,927,393.12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19,463,508.71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33,620,297.45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7,074,333.49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5,625,524.80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6,495,566.58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37,487,414.17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特许权使用费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6,099,110.63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1,389,212.59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5,951,516.29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845,158.39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786,920.45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1,867,901.16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财务手续费用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417,846.61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1,745,311.54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上市公司维护费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46,494.32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324,606,275.95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372,579,576.55</w:t>
            </w:r>
          </w:p>
        </w:tc>
      </w:tr>
    </w:tbl>
    <w:p>
      <w:pPr>
        <w:pStyle w:val="Style28"/>
        <w:keepNext w:val="0"/>
        <w:keepLines w:val="0"/>
        <w:widowControl w:val="0"/>
        <w:shd w:val="clear" w:color="auto" w:fill="auto"/>
        <w:bidi w:val="0"/>
        <w:spacing w:before="0" w:after="380" w:line="365" w:lineRule="exact"/>
        <w:ind w:left="0" w:right="0" w:firstLine="0"/>
        <w:jc w:val="left"/>
      </w:pPr>
      <w:r>
        <w:rPr>
          <w:color w:val="000000"/>
          <w:spacing w:val="0"/>
          <w:w w:val="100"/>
          <w:position w:val="0"/>
        </w:rPr>
        <w:t>支付的其他与经营活动有关的现金说明: 无</w:t>
      </w:r>
    </w:p>
    <w:p>
      <w:pPr>
        <w:pStyle w:val="Style32"/>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35"/>
      <w:bookmarkEnd w:id="1536"/>
      <w:bookmarkEnd w:id="1538"/>
    </w:p>
    <w:p>
      <w:pPr>
        <w:pStyle w:val="Style28"/>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收回出售股权预留款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80,195,203.53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80,195,203.53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539"/>
      <w:bookmarkEnd w:id="1540"/>
      <w:bookmarkEnd w:id="154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出售正品贵德</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32"/>
        <w:keepNext/>
        <w:keepLines/>
        <w:widowControl w:val="0"/>
        <w:shd w:val="clear" w:color="auto" w:fill="auto"/>
        <w:bidi w:val="0"/>
        <w:spacing w:before="0" w:after="380" w:line="240" w:lineRule="auto"/>
        <w:ind w:left="0" w:right="0" w:firstLine="14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543"/>
      <w:bookmarkEnd w:id="1544"/>
      <w:bookmarkEnd w:id="154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石基香港收购</w:t>
            </w:r>
            <w:r>
              <w:rPr>
                <w:rFonts w:ascii="Times New Roman" w:eastAsia="Times New Roman" w:hAnsi="Times New Roman" w:cs="Times New Roman"/>
                <w:color w:val="000000"/>
                <w:spacing w:val="0"/>
                <w:w w:val="100"/>
                <w:position w:val="0"/>
                <w:sz w:val="18"/>
                <w:szCs w:val="18"/>
              </w:rPr>
              <w:t xml:space="preserve">Review Rank </w:t>
            </w:r>
            <w:r>
              <w:rPr>
                <w:rFonts w:ascii="Times New Roman" w:eastAsia="Times New Roman" w:hAnsi="Times New Roman" w:cs="Times New Roman"/>
                <w:color w:val="000000"/>
                <w:spacing w:val="0"/>
                <w:w w:val="100"/>
                <w:position w:val="0"/>
                <w:sz w:val="18"/>
                <w:szCs w:val="18"/>
              </w:rPr>
              <w:t>16.1%</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76,941,803.15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石基香港收购</w:t>
            </w:r>
            <w:r>
              <w:rPr>
                <w:rFonts w:ascii="Times New Roman" w:eastAsia="Times New Roman" w:hAnsi="Times New Roman" w:cs="Times New Roman"/>
                <w:color w:val="000000"/>
                <w:spacing w:val="0"/>
                <w:w w:val="100"/>
                <w:position w:val="0"/>
                <w:sz w:val="18"/>
                <w:szCs w:val="18"/>
              </w:rPr>
              <w:t xml:space="preserve">Galasys Plc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2,680,807.50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石基香港收购</w:t>
            </w:r>
            <w:r>
              <w:rPr>
                <w:rFonts w:ascii="Times New Roman" w:eastAsia="Times New Roman" w:hAnsi="Times New Roman" w:cs="Times New Roman"/>
                <w:color w:val="000000"/>
                <w:spacing w:val="0"/>
                <w:w w:val="100"/>
                <w:position w:val="0"/>
                <w:sz w:val="18"/>
                <w:szCs w:val="18"/>
              </w:rPr>
              <w:t xml:space="preserve">Galasys Plc </w:t>
            </w:r>
            <w:r>
              <w:rPr>
                <w:rFonts w:ascii="Times New Roman" w:eastAsia="Times New Roman" w:hAnsi="Times New Roman" w:cs="Times New Roman"/>
                <w:color w:val="000000"/>
                <w:spacing w:val="0"/>
                <w:w w:val="100"/>
                <w:position w:val="0"/>
                <w:sz w:val="18"/>
                <w:szCs w:val="18"/>
              </w:rPr>
              <w:t>0.63%</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1,581,637.48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1,581,637.48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79,622,610.65</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32"/>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5</w:t>
      </w:r>
      <w:bookmarkEnd w:id="1549"/>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547"/>
      <w:bookmarkEnd w:id="1548"/>
      <w:bookmarkEnd w:id="1550"/>
    </w:p>
    <w:p>
      <w:pPr>
        <w:pStyle w:val="Style32"/>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47"/>
      <w:bookmarkEnd w:id="1548"/>
      <w:bookmarkEnd w:id="155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11,069,316.06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465,176,300.65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61,743,762.75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37,847,841.09</w:t>
            </w:r>
          </w:p>
        </w:tc>
      </w:tr>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29,853,273.18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38,778,406.11</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132,868,055.96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117,423,327.99</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1,135,116.06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1,484,495.62</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183,198.57</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126,571.86</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10,845,929.90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-106,475,472.32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-37,082,273.12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159,857,836.69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-443,394.62</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递延所得税资产减少（增加以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-6,542,266.39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-19,008,714.27</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6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-7,355,209.41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-6,111,812.75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52,358,033.22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-53,053,586.65</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83" w:lineRule="exact"/>
              <w:ind w:left="0" w:right="0" w:firstLine="740"/>
              <w:jc w:val="left"/>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-49,140,278.27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-297,171,207.99</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83" w:lineRule="exact"/>
              <w:ind w:left="0" w:right="0" w:firstLine="740"/>
              <w:jc w:val="left"/>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-86,558,734.91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279,917,824.66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203,947,057.14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528,066,977.15</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2,371,382,010.73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3,661,242,479.18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3,661,242,479.18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5,758,940,106.05</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-1,289,860,468.45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-2,097,697,626.87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52"/>
      <w:bookmarkEnd w:id="1553"/>
      <w:bookmarkEnd w:id="15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Plc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杭州西湖软件有限公司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88,686,628.04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Plc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45,452,826.37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Quick Check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42,468,111.27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CONCEPTEK- SISTEMAS DE INFORMAQAO S.A.</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765,690.40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88,696,628.04</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61"/>
        </w:numPr>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本期收到的处置子公司的现金净额</w:t>
      </w:r>
      <w:bookmarkEnd w:id="1555"/>
      <w:bookmarkEnd w:id="1556"/>
      <w:bookmarkEnd w:id="15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77,903,484.50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Stayntouch Inc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77,903,484.50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77,903,484.50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61"/>
        </w:numPr>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现金和现金等价物的构成</w:t>
      </w:r>
      <w:bookmarkEnd w:id="1559"/>
      <w:bookmarkEnd w:id="1560"/>
      <w:bookmarkEnd w:id="156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2,371,382,010.73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3,661,242,479.18</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7,276,625.94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179,984.07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2,316,695,639.00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3,657,231,540.21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47,409,745.79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3,830,954.90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2,371,382,010.73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3,661,242,479.18</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5</w:t>
      </w:r>
      <w:bookmarkEnd w:id="1565"/>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563"/>
      <w:bookmarkEnd w:id="1564"/>
      <w:bookmarkEnd w:id="15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15,764,726.76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诉讼财产冻结</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3,483,053.23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维修基金账户</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3,125,349.92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1,789,637.74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履约保函保证金</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1,509,118.87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支付业务保证金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7,567,771.19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抵押担保</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33,239,657.71</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67"/>
      <w:bookmarkEnd w:id="1568"/>
      <w:bookmarkEnd w:id="1570"/>
    </w:p>
    <w:p>
      <w:pPr>
        <w:pStyle w:val="Style32"/>
        <w:keepNext/>
        <w:keepLines/>
        <w:widowControl w:val="0"/>
        <w:shd w:val="clear" w:color="auto" w:fill="auto"/>
        <w:bidi w:val="0"/>
        <w:spacing w:before="0" w:after="380" w:line="240" w:lineRule="auto"/>
        <w:ind w:left="0" w:right="0" w:firstLine="140"/>
        <w:jc w:val="left"/>
      </w:pPr>
      <w:bookmarkStart w:id="1567" w:name="bookmark1567"/>
      <w:bookmarkStart w:id="1568" w:name="bookmark1568"/>
      <w:bookmarkStart w:id="1571" w:name="bookmark157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67"/>
      <w:bookmarkEnd w:id="1568"/>
      <w:bookmarkEnd w:id="157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191,795,820.87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1,251,448,551.59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10,564,064.84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84,776,620.34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23,732,537.75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19,973,303.77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619,086.62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15,001,849.72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73,980,121.69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1,112,186.80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1,798,628.49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1,097,222.98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5,503,999.64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澳门币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2,329.45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73,980,121.69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2,841,143.18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18,538,175.14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2,584,201.47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20,738,216.80</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7,770,987.54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6,540,063.11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2,506,107.26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12,358,617.36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646,561.44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3,243,346.15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林吉特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1,784,231.39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2,885,459.00</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6,205,121.35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392,163.67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543,050.28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3,543,348.77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15,057,476.28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120,836,247.15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2,529,097.20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2,128,488.20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30,817,612.80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151,973,975.76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423,467.39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2,124,239.47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352,804.41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570,555.29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560,495.47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121,963.81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23,099,847.58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1,459,910.37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阿联酋迪拉姆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106,924.92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189,909.35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1,977,000.30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12,899,729.26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1,374,211.05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11,028,043.68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910,553.48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766,321.81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1,861,979.15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9,182,163.98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1,239,397.68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6,217,190.58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128,587.59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207,951.85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516,312.21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112,349.54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2,273,810.36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14,836,385.20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6,896,763.47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55,346,526.85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102,169,570.14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85,985,910.23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159,546.00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130,381.32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20,434.98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133,336.20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21,770.16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174,705.53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以色列谢客尔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21,812.13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44,337.52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331" w:lineRule="exact"/>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72"/>
      <w:bookmarkEnd w:id="1573"/>
      <w:bookmarkEnd w:id="1574"/>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57"/>
        <w:gridCol w:w="1843"/>
        <w:gridCol w:w="1699"/>
        <w:gridCol w:w="2419"/>
      </w:tblGrid>
      <w:tr>
        <w:trPr>
          <w:trHeight w:val="35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境外主要经营地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记账本位币的选择依据</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 Technology (Hong Kong)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Singapore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主要经营业务位于新加坡</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Malaysia Sdn Bhd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林吉特元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主要经营业务位于马来西亚</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 Master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(HK)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香港精密模具有限公司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浩华管理顾问（亚太）有限公司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主要经营业务位于香港</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奥地利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主要经营业务位于欧洲</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Hetras Deutschland 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主要经营业务位于欧洲</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ReviewRankS.A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西班牙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主要经营业务位于欧洲</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GalasysPlc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英国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英磅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主要经营业务位于欧洲</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575"/>
      <w:bookmarkEnd w:id="1576"/>
      <w:bookmarkEnd w:id="1578"/>
    </w:p>
    <w:p>
      <w:pPr>
        <w:pStyle w:val="Style32"/>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75"/>
      <w:bookmarkEnd w:id="1576"/>
      <w:bookmarkEnd w:id="15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疫情专项发展资金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ShijiCare</w:t>
            </w:r>
            <w:r>
              <w:rPr>
                <w:color w:val="000000"/>
                <w:spacing w:val="0"/>
                <w:w w:val="100"/>
                <w:position w:val="0"/>
                <w:sz w:val="17"/>
                <w:szCs w:val="17"/>
              </w:rPr>
              <w:t>在线应用支持系统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康桥云酒店管理系统专项资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百货商业信息管理系统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软件谷高企认定奖励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新技术新产品专项奖励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行业能力系统解决方案奖励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软件信息化</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sz w:val="17"/>
                <w:szCs w:val="17"/>
              </w:rPr>
              <w:t>评估专项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产业扶持资金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年度企业投融资奖励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年度高新技术企业认定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科技创新券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187,300.00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年高新企业奖励后补助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上规企业奖励资金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百货商业信息管理系统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软件和信息服务业专项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号文政策兑现</w:t>
            </w: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研发奖补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27,900.00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27,900.00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年度投融资奖励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一省两化融合贯标和企业上 云切块奖励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专精特新奖励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两直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年度软件人才综合补贴 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9,710.00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9,710.00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科技创新成果奖金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CMMI</w:t>
            </w:r>
            <w:r>
              <w:rPr>
                <w:color w:val="000000"/>
                <w:spacing w:val="0"/>
                <w:w w:val="100"/>
                <w:position w:val="0"/>
                <w:sz w:val="17"/>
                <w:szCs w:val="17"/>
              </w:rPr>
              <w:t>资质奖励、</w:t>
            </w:r>
            <w:r>
              <w:rPr>
                <w:rFonts w:ascii="Times New Roman" w:eastAsia="Times New Roman" w:hAnsi="Times New Roman" w:cs="Times New Roman"/>
                <w:color w:val="000000"/>
                <w:spacing w:val="0"/>
                <w:w w:val="100"/>
                <w:position w:val="0"/>
                <w:sz w:val="18"/>
                <w:szCs w:val="18"/>
              </w:rPr>
              <w:t>iso</w:t>
            </w:r>
            <w:r>
              <w:rPr>
                <w:color w:val="000000"/>
                <w:spacing w:val="0"/>
                <w:w w:val="100"/>
                <w:position w:val="0"/>
                <w:sz w:val="17"/>
                <w:szCs w:val="17"/>
              </w:rPr>
              <w:t>资质奖 励、软件著作权奖励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软件著作权补助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服务贸易统计监测企业补助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3,599.74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3,599.74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软著奖励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大型仪器共享奖补助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1,860.00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科技创新券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核酸检测补贴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1,440.00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软件产品增值税即征即退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49,205,340.39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49,205,340.39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3,619,930.01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3,619,930.01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1,813,886.40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1,813,886.40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2,047,657.89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2,047,657.89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附加税返还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104,412.03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104,412.03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增值税减免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境外疫情补贴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10,285,824.61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10,285,824.61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79,244,065.40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72,707,399.20</w:t>
            </w:r>
          </w:p>
        </w:tc>
      </w:tr>
    </w:tbl>
    <w:p>
      <w:pPr>
        <w:pStyle w:val="Style32"/>
        <w:keepNext/>
        <w:keepLines/>
        <w:widowControl w:val="0"/>
        <w:shd w:val="clear" w:color="auto" w:fill="auto"/>
        <w:bidi w:val="0"/>
        <w:spacing w:before="0" w:after="36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80"/>
      <w:bookmarkEnd w:id="1581"/>
      <w:bookmarkEnd w:id="158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八</w:t>
      </w:r>
      <w:bookmarkEnd w:id="1585"/>
      <w:r>
        <w:rPr>
          <w:color w:val="000000"/>
          <w:spacing w:val="0"/>
          <w:w w:val="100"/>
          <w:position w:val="0"/>
        </w:rPr>
        <w:t>、合并范围的变更</w:t>
      </w:r>
      <w:bookmarkEnd w:id="1583"/>
      <w:bookmarkEnd w:id="1584"/>
      <w:bookmarkEnd w:id="1586"/>
    </w:p>
    <w:p>
      <w:pPr>
        <w:pStyle w:val="Style32"/>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87"/>
      <w:bookmarkEnd w:id="1588"/>
      <w:bookmarkEnd w:id="1589"/>
    </w:p>
    <w:p>
      <w:pPr>
        <w:pStyle w:val="Style32"/>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87"/>
      <w:bookmarkEnd w:id="1588"/>
      <w:bookmarkEnd w:id="15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的收入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 的净利润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杭州西湖软 件有限公司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工商变更登 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91"/>
      <w:bookmarkEnd w:id="1592"/>
      <w:bookmarkEnd w:id="15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杭州西湖软件有限公司</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219" w:line="1" w:lineRule="exact"/>
      </w:pP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通过非同一控制下的企业合并取得的长期股权投资，以合并成本作为初始投资成本。</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通过多次交易分步取得非同一控制下被投资单位的股权，最终形成企业合并，属于一揽子交易的， 本集团将各项交易作为一项取得控制权的交易进行会计处理。不属于一揽子交易的，按照原持有的股 权投资账面价值加上新增投资成本之和，作为改按成本法核算的初始投资成本。购买日之前持有的股 权采用权益法核算的，原权益法核算的相关其他综合收益暂不做调整，在处置该项投资时采用与被投 资单位直接处置相关资产或负债相同的基础进行会计处理。购买日之前持有的股权在可供出售金融资 产中采用公允价值核算的，原计入其他综合收益的累计公允价值变动在合并日转入当期投资损益。</w:t>
      </w:r>
    </w:p>
    <w:p>
      <w:pPr>
        <w:pStyle w:val="Style35"/>
        <w:keepNext w:val="0"/>
        <w:keepLines w:val="0"/>
        <w:widowControl w:val="0"/>
        <w:shd w:val="clear" w:color="auto" w:fill="auto"/>
        <w:bidi w:val="0"/>
        <w:spacing w:before="0" w:after="440" w:line="312" w:lineRule="exact"/>
        <w:ind w:left="0" w:right="0" w:firstLine="460"/>
        <w:jc w:val="both"/>
        <w:rPr>
          <w:sz w:val="22"/>
          <w:szCs w:val="22"/>
        </w:rPr>
      </w:pPr>
      <w:r>
        <w:rPr>
          <w:color w:val="000000"/>
          <w:spacing w:val="0"/>
          <w:w w:val="100"/>
          <w:position w:val="0"/>
          <w:sz w:val="22"/>
          <w:szCs w:val="22"/>
        </w:rPr>
        <w:t xml:space="preserve">除上述通过企业合并取得的长期股权投资外，以支付现金取得的长期股权投资，按照实际支付的 </w:t>
      </w:r>
      <w:r>
        <w:rPr>
          <w:color w:val="000000"/>
          <w:spacing w:val="0"/>
          <w:w w:val="100"/>
          <w:position w:val="0"/>
          <w:sz w:val="22"/>
          <w:szCs w:val="22"/>
        </w:rPr>
        <w:t>购买价款作为投资成本；以发行权益性证券取得的长期股权投资，按照发行权益性证券的公允价值作 为投资成本；投资者投入的长期股权投资，按照投资合同或协议约定的价值作为投资成本。</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317" w:lineRule="exact"/>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94"/>
      <w:bookmarkEnd w:id="1595"/>
      <w:bookmarkEnd w:id="15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杭州西湖软件有限公司</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10,027.21</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10,027.21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10,027.21</w:t>
            </w:r>
          </w:p>
        </w:tc>
      </w:tr>
    </w:tbl>
    <w:p>
      <w:pPr>
        <w:pStyle w:val="Style28"/>
        <w:keepNext w:val="0"/>
        <w:keepLines w:val="0"/>
        <w:widowControl w:val="0"/>
        <w:shd w:val="clear" w:color="auto" w:fill="auto"/>
        <w:bidi w:val="0"/>
        <w:spacing w:before="0" w:after="440" w:line="350" w:lineRule="exact"/>
        <w:ind w:left="0" w:right="0" w:firstLine="0"/>
        <w:jc w:val="left"/>
      </w:pPr>
      <w:r>
        <w:rPr>
          <w:color w:val="000000"/>
          <w:spacing w:val="0"/>
          <w:w w:val="100"/>
          <w:position w:val="0"/>
        </w:rPr>
        <w:t>可辨认资产、负债公允价值的确定方法: 评估专家的工作确定的估值。</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598"/>
      <w:bookmarkEnd w:id="1599"/>
      <w:bookmarkEnd w:id="160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50"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置价款</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置比例</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 制权的 时点</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丧失控 制权时 点的确 定依据</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股权的 账面价 值</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股权的 公允价 值</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按照公 允价值 重新计 量剩余 股权产 生的利 得或损 失</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股权公 允价值 的确定 方法及 主要假 设</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与原子 公司股 权投资 相关的 其他综 合收益 转入投 资损益 的金额</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2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Stayntou ch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95,069,5</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314" w:lineRule="exact"/>
              <w:ind w:left="0" w:right="0" w:firstLine="0"/>
              <w:jc w:val="both"/>
              <w:rPr>
                <w:sz w:val="17"/>
                <w:szCs w:val="17"/>
              </w:rPr>
            </w:pPr>
            <w:r>
              <w:rPr>
                <w:color w:val="000000"/>
                <w:spacing w:val="0"/>
                <w:w w:val="100"/>
                <w:position w:val="0"/>
                <w:sz w:val="17"/>
                <w:szCs w:val="17"/>
              </w:rPr>
              <w:t>美国外 国投资 管理委 员会</w:t>
            </w:r>
          </w:p>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CFIUS</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确认撤 资完成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-173,890</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,080.26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3</w:t>
      </w:r>
      <w:bookmarkEnd w:id="1603"/>
      <w:r>
        <w:rPr>
          <w:color w:val="000000"/>
          <w:spacing w:val="0"/>
          <w:w w:val="100"/>
          <w:position w:val="0"/>
        </w:rPr>
        <w:t>、其他原因的合并范围变动</w:t>
      </w:r>
      <w:bookmarkEnd w:id="1601"/>
      <w:bookmarkEnd w:id="1602"/>
      <w:bookmarkEnd w:id="1604"/>
    </w:p>
    <w:p>
      <w:pPr>
        <w:pStyle w:val="Style28"/>
        <w:keepNext w:val="0"/>
        <w:keepLines w:val="0"/>
        <w:widowControl w:val="0"/>
        <w:shd w:val="clear" w:color="auto" w:fill="auto"/>
        <w:bidi w:val="0"/>
        <w:spacing w:before="0" w:after="0" w:line="566" w:lineRule="exact"/>
        <w:ind w:left="0" w:right="0" w:firstLine="0"/>
        <w:jc w:val="left"/>
      </w:pPr>
      <w:r>
        <w:rPr>
          <w:color w:val="000000"/>
          <w:spacing w:val="0"/>
          <w:w w:val="100"/>
          <w:position w:val="0"/>
          <w:shd w:val="clear" w:color="auto" w:fill="FFFFFF"/>
        </w:rPr>
        <w:t>说明其他原因导致的合并范围变动(如，新设子公司、清算子公司等)及其相关情况:</w:t>
      </w:r>
    </w:p>
    <w:p>
      <w:pPr>
        <w:pStyle w:val="Style35"/>
        <w:keepNext w:val="0"/>
        <w:keepLines w:val="0"/>
        <w:widowControl w:val="0"/>
        <w:shd w:val="clear" w:color="auto" w:fill="auto"/>
        <w:bidi w:val="0"/>
        <w:spacing w:before="0" w:after="680" w:line="566" w:lineRule="exact"/>
        <w:ind w:left="0" w:right="0" w:firstLine="460"/>
        <w:jc w:val="left"/>
        <w:rPr>
          <w:sz w:val="22"/>
          <w:szCs w:val="22"/>
        </w:rPr>
      </w:pPr>
      <w:r>
        <w:rPr>
          <w:color w:val="000000"/>
          <w:spacing w:val="0"/>
          <w:w w:val="100"/>
          <w:position w:val="0"/>
          <w:sz w:val="22"/>
          <w:szCs w:val="22"/>
        </w:rPr>
        <w:t>详见本报告第十二节财务报告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三、公司基本情况</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相关内容。</w:t>
      </w:r>
    </w:p>
    <w:p>
      <w:pPr>
        <w:pStyle w:val="Style24"/>
        <w:keepNext/>
        <w:keepLines/>
        <w:widowControl w:val="0"/>
        <w:shd w:val="clear" w:color="auto" w:fill="auto"/>
        <w:bidi w:val="0"/>
        <w:spacing w:before="0" w:after="38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九</w:t>
      </w:r>
      <w:bookmarkEnd w:id="1607"/>
      <w:r>
        <w:rPr>
          <w:color w:val="000000"/>
          <w:spacing w:val="0"/>
          <w:w w:val="100"/>
          <w:position w:val="0"/>
        </w:rPr>
        <w:t>、在其他主体中的权益</w:t>
      </w:r>
      <w:bookmarkEnd w:id="1605"/>
      <w:bookmarkEnd w:id="1606"/>
      <w:bookmarkEnd w:id="1608"/>
    </w:p>
    <w:p>
      <w:pPr>
        <w:pStyle w:val="Style32"/>
        <w:keepNext/>
        <w:keepLines/>
        <w:widowControl w:val="0"/>
        <w:shd w:val="clear" w:color="auto" w:fill="auto"/>
        <w:bidi w:val="0"/>
        <w:spacing w:before="0" w:after="380" w:line="240" w:lineRule="auto"/>
        <w:ind w:left="0" w:right="0" w:firstLine="0"/>
        <w:jc w:val="both"/>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09"/>
      <w:bookmarkEnd w:id="1610"/>
      <w:bookmarkEnd w:id="1611"/>
    </w:p>
    <w:p>
      <w:pPr>
        <w:pStyle w:val="Style32"/>
        <w:keepNext/>
        <w:keepLines/>
        <w:widowControl w:val="0"/>
        <w:shd w:val="clear" w:color="auto" w:fill="auto"/>
        <w:bidi w:val="0"/>
        <w:spacing w:before="0" w:after="320" w:line="240" w:lineRule="auto"/>
        <w:ind w:left="0" w:right="0" w:firstLine="140"/>
        <w:jc w:val="left"/>
      </w:pPr>
      <w:bookmarkStart w:id="1609" w:name="bookmark1609"/>
      <w:bookmarkStart w:id="1610" w:name="bookmark1610"/>
      <w:bookmarkStart w:id="1612" w:name="bookmark161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09"/>
      <w:bookmarkEnd w:id="1610"/>
      <w:bookmarkEnd w:id="161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北京中长石基软 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北海石基信息技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银石科技有限公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南京银石计算机 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南京银石支付系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南京银石电脑系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北海乐宿国际旅 行社有限公司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北京宝库在线网 络技术有限公司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北京绿行者旅行 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北海环企软件科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软件和信息技术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北京银科环企旅 行社有限公司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长沙石基软件有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敏付科技有限公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南宁敏付科技有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广西自贸区敏付 科技发展有限公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上海石基信息技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杭州西软科技有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杭州西软信息技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杭州连边科技有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杭州西湖软件有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北京石基昆仑软 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石基（香港）有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Shiji Information</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Infrasys (HK)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 Master 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销售终端系统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现化电脑系统</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北京现化信息技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(Macau)</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销售终端系统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Horwath</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Consulting</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 Asia</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Pacific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Horwath Asia</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Pacific</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酒店管理咨询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Horwath</w:t>
            </w:r>
            <w:r>
              <w:rPr>
                <w:color w:val="000000"/>
                <w:spacing w:val="0"/>
                <w:w w:val="100"/>
                <w:position w:val="0"/>
                <w:sz w:val="17"/>
                <w:szCs w:val="17"/>
              </w:rPr>
              <w:t>酒店管 理顾问（北京）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酒店管理咨询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浩华管理顾问</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酒店管理咨询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广州万迅电脑软 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Retail InformationT echnology 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北京石基大商信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北京富基融通信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北京长京益康信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北京长益联合信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上海时运信息技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广州合光信息科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Plc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 Holdings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英属维尔京群岛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英属维尔京群岛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Galasys</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石基环企软件</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(Singapore)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Malaysia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Sdn Bhd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India LLP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(Australia)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Pty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克罗地亚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克罗地亚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(Canada)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加拿大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加拿大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Denmark</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丹麦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丹麦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Shiji Japan </w:t>
            </w:r>
            <w:r>
              <w:rPr>
                <w:color w:val="000000"/>
                <w:spacing w:val="0"/>
                <w:w w:val="100"/>
                <w:position w:val="0"/>
                <w:sz w:val="17"/>
                <w:szCs w:val="17"/>
              </w:rPr>
              <w:t>株式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Korea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Middle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East-FZLLC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Dubai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Dubai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Slovakias.r.o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斯洛伐克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斯洛伐克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(Thailand)</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Vietnam</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越南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越南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Quick Check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以色列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以色列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酒店业支付和集</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(UK)</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酒店业支付和集</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My Check LLC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酒店业支付和集</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CONCEPTEK- SISTEMAS DE INFORMAQAO</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葡萄牙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葡萄牙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Poland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波兰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波兰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酒店数据服务业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Shiji Deutschland</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酒店数据服务业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Shiji 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奥地利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奥地利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酒店数据服务业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Shiji Information</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Spain,S.A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西班牙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西班牙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酒店业数据分析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Shiji (US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上海正品贵德软 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百望金税科技有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石基商用信息技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青岛海信智能商 用系统股份有限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批发业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青岛海石智能系 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软件和信息技术</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青岛海石信息技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软件和信息技术</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北京商用星联信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北京航信华仪软 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深圳市思迅软件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深圳市思迅网络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深圳市奥凯软件</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南京客至软件有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中国电子器件工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北京中长商通科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北京阳光物业管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香港精密模具有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北京中长元点科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科技推广和应用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ShijiMex</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Information</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S.A.</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 C.V</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墨西哥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墨西哥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Information</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(Philippines)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菲律宾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菲律宾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计算机应用服务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13"/>
      <w:bookmarkEnd w:id="1614"/>
      <w:bookmarkEnd w:id="16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本期归属于少数股东的</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本期向少数股东宣告分</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上海正品贵德软件有限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-1,408,695.72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3,575,701.81</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北京宝库在线网络技术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-3,585,731.44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-3,522,443.85</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北京石基昆仑软件有限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3,916,521.58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17,792,685.82</w:t>
            </w:r>
          </w:p>
        </w:tc>
      </w:tr>
    </w:tbl>
    <w:p>
      <w:pPr>
        <w:widowControl w:val="0"/>
        <w:spacing w:line="1" w:lineRule="exact"/>
      </w:pPr>
      <w:r>
        <w:br w:type="page"/>
      </w:r>
    </w:p>
    <w:tbl>
      <w:tblPr>
        <w:tblOverlap w:val="never"/>
        <w:jc w:val="center"/>
        <w:tblLayout w:type="fixed"/>
      </w:tblPr>
      <w:tblGrid>
        <w:gridCol w:w="1925"/>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深圳市思迅软件股份有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33,256,076.07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76,601,337.79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南京客至软件有限公司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-419,375.94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1,836,229.18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2,095,384.33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8,332,428.84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Retail Information</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40,288,209.75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566,294,627.11</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青岛海信智能商用系统</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6,435,525.61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1,966,776.00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81,821,452.65</w:t>
            </w:r>
          </w:p>
        </w:tc>
      </w:tr>
    </w:tbl>
    <w:p>
      <w:pPr>
        <w:pStyle w:val="Style28"/>
        <w:keepNext w:val="0"/>
        <w:keepLines w:val="0"/>
        <w:widowControl w:val="0"/>
        <w:shd w:val="clear" w:color="auto" w:fill="auto"/>
        <w:bidi w:val="0"/>
        <w:spacing w:before="0" w:after="0" w:line="370" w:lineRule="exact"/>
        <w:ind w:left="0" w:right="0" w:firstLine="0"/>
        <w:jc w:val="left"/>
      </w:pPr>
      <w:r>
        <w:rPr>
          <w:color w:val="000000"/>
          <w:spacing w:val="0"/>
          <w:w w:val="100"/>
          <w:position w:val="0"/>
        </w:rPr>
        <w:t>子公司少数股东的持股比例不同于表决权比例的说明: 无</w:t>
      </w:r>
    </w:p>
    <w:p>
      <w:pPr>
        <w:pStyle w:val="Style28"/>
        <w:keepNext w:val="0"/>
        <w:keepLines w:val="0"/>
        <w:widowControl w:val="0"/>
        <w:shd w:val="clear" w:color="auto" w:fill="auto"/>
        <w:bidi w:val="0"/>
        <w:spacing w:before="0" w:after="0" w:line="37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70" w:lineRule="exact"/>
        <w:ind w:left="0" w:right="0" w:firstLine="0"/>
        <w:jc w:val="left"/>
        <w:sectPr>
          <w:headerReference w:type="default" r:id="rId25"/>
          <w:footerReference w:type="default" r:id="rId26"/>
          <w:footnotePr>
            <w:pos w:val="pageBottom"/>
            <w:numFmt w:val="decimal"/>
            <w:numRestart w:val="continuous"/>
          </w:footnotePr>
          <w:pgSz w:w="11900" w:h="16840"/>
          <w:pgMar w:top="1383" w:right="1024" w:bottom="1446" w:left="1012" w:header="0" w:footer="3" w:gutter="0"/>
          <w:cols w:space="720"/>
          <w:noEndnote/>
          <w:rtlGutter w:val="0"/>
          <w:docGrid w:linePitch="360"/>
        </w:sectPr>
      </w:pPr>
      <w:r>
        <w:rPr>
          <w:color w:val="000000"/>
          <w:spacing w:val="0"/>
          <w:w w:val="100"/>
          <w:position w:val="0"/>
        </w:rPr>
        <w:t>无</w:t>
      </w:r>
    </w:p>
    <w:p>
      <w:pPr>
        <w:pStyle w:val="Style32"/>
        <w:keepNext/>
        <w:keepLines/>
        <w:widowControl w:val="0"/>
        <w:numPr>
          <w:ilvl w:val="0"/>
          <w:numId w:val="63"/>
        </w:numPr>
        <w:shd w:val="clear" w:color="auto" w:fill="auto"/>
        <w:bidi w:val="0"/>
        <w:spacing w:before="0" w:after="36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重要非全资子公司的主要财务信息</w:t>
      </w:r>
      <w:bookmarkEnd w:id="1616"/>
      <w:bookmarkEnd w:id="1617"/>
      <w:bookmarkEnd w:id="1619"/>
    </w:p>
    <w:p>
      <w:pPr>
        <w:pStyle w:val="Style26"/>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744"/>
        <w:gridCol w:w="1109"/>
        <w:gridCol w:w="1133"/>
        <w:gridCol w:w="1133"/>
        <w:gridCol w:w="1133"/>
        <w:gridCol w:w="1070"/>
        <w:gridCol w:w="1229"/>
        <w:gridCol w:w="1229"/>
        <w:gridCol w:w="1229"/>
        <w:gridCol w:w="1248"/>
        <w:gridCol w:w="1229"/>
        <w:gridCol w:w="739"/>
        <w:gridCol w:w="970"/>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子公司名 称</w:t>
            </w:r>
          </w:p>
        </w:tc>
        <w:tc>
          <w:tcPr>
            <w:gridSpan w:val="6"/>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6"/>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非流动负债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资产合计</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center"/>
              <w:rPr>
                <w:sz w:val="16"/>
                <w:szCs w:val="16"/>
              </w:rPr>
            </w:pPr>
            <w:r>
              <w:rPr>
                <w:color w:val="000000"/>
                <w:spacing w:val="0"/>
                <w:w w:val="100"/>
                <w:position w:val="0"/>
                <w:sz w:val="16"/>
                <w:szCs w:val="16"/>
              </w:rPr>
              <w:t>非流动负 债</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上海正品 贵德软件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15,961,947.12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7,456,955.52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23,418,902.64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12,041,440.10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746.64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12,042,186.74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15,959,323.89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4,463,122.73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20,422,446.62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4,563,720.78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4,563,720.78</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北京宝库 在线网络 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4,562,443.73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6,926,832.58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11,489,276.31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34,452,258.08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519,977.25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34,972,235.33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2,938,749.39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17,690,519.15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20,629,268.54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19,869,325.08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1,225,233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21,094,558.8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北京石基 昆仑软件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132,839,508.91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16,266,708.27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149,106,217.18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48,011,411.39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48,011,411.39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121,222,760.06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362,172.31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121,584,932.37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42,743,090.13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42,743,090.1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深圳市思 迅软件股 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284,394,447.35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58,489,350.90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342,883,798.25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54,910,268.29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250,609.26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55,160,877.55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245,319,303.47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60,064,887.75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305,384,191.22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47,893,364.56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312,126.2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48,205,490.8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南京客至 软件有限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3,427,609.49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3,095,007.30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6,522,616.79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2,217,086.26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225,021.25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2,442,107.51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5,224,480.22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2,866,874.71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8,091,354.93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2,766,772.87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312,126.2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3,078,899.12</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百望金税 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23,477,963.38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7,384.02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23,485,347.40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2,653,776.24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499.07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2,654,275.31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17,316,909.39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3,626.13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17,320,535.52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1,727,924.26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1,727,924.26</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Shiji</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Retail</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671,608,838.37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947,236,066.03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1,618,844,904.4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136,048,467.46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493,446.66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136,541,914.12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639,215,809.65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895,817,191.14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1,535,033,000.79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154,097,556.30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838,531.6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154,936,087.</w:t>
            </w:r>
          </w:p>
        </w:tc>
      </w:tr>
    </w:tbl>
    <w:p>
      <w:pPr>
        <w:spacing w:lineRule="exact" w:line="1"/>
        <w:rPr>
          <w:sz w:val="2"/>
          <w:szCs w:val="2"/>
        </w:rPr>
      </w:pPr>
      <w:r>
        <w:br w:type="page"/>
      </w:r>
    </w:p>
    <w:tbl>
      <w:tblPr>
        <w:tblOverlap w:val="never"/>
        <w:jc w:val="center"/>
        <w:tblLayout w:type="fixed"/>
      </w:tblPr>
      <w:tblGrid>
        <w:gridCol w:w="744"/>
        <w:gridCol w:w="1109"/>
        <w:gridCol w:w="1133"/>
        <w:gridCol w:w="1133"/>
        <w:gridCol w:w="1133"/>
        <w:gridCol w:w="1070"/>
        <w:gridCol w:w="1229"/>
        <w:gridCol w:w="1229"/>
        <w:gridCol w:w="1229"/>
        <w:gridCol w:w="1248"/>
        <w:gridCol w:w="1229"/>
        <w:gridCol w:w="739"/>
        <w:gridCol w:w="970"/>
      </w:tblGrid>
      <w:tr>
        <w:trPr>
          <w:trHeight w:val="16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418"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Informati on Technolo gy co.</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青岛海信 智能商用 系统股份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560,348,257.54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106,723,229.56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667,071,487.10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189,689,368.21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3,054,857.14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192,744,225.35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548,208,883.60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100,365,162.14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648,574,045.74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195,730,002.03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3,818,571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199,548,573.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w:t>
            </w:r>
          </w:p>
        </w:tc>
      </w:tr>
    </w:tbl>
    <w:p>
      <w:pPr>
        <w:pStyle w:val="Style26"/>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p>
      <w:pPr>
        <w:widowControl w:val="0"/>
        <w:spacing w:after="79" w:line="1" w:lineRule="exact"/>
      </w:pPr>
    </w:p>
    <w:tbl>
      <w:tblPr>
        <w:tblOverlap w:val="never"/>
        <w:jc w:val="center"/>
        <w:tblLayout w:type="fixed"/>
      </w:tblPr>
      <w:tblGrid>
        <w:gridCol w:w="2477"/>
        <w:gridCol w:w="1358"/>
        <w:gridCol w:w="1363"/>
        <w:gridCol w:w="1363"/>
        <w:gridCol w:w="1675"/>
        <w:gridCol w:w="1358"/>
        <w:gridCol w:w="1363"/>
        <w:gridCol w:w="1358"/>
        <w:gridCol w:w="1690"/>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经营活动现金流量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上海正品贵德软件有限公司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11,937,079.62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-4,482,009.94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-4,482,009.94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647,519.99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14,186,540.67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4,085,506.81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4,085,506.81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-5,402,529.07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北京宝库在线网络技术有限公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10,242,881.44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-23,904,876.28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-23,904,876.28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-12,018,331.42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9,147,512.88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-15,059,753.27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-15,059,753.27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-16,532,003.20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北京石基昆仑软件有限公司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50,026,762.52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22,252,963.55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22,252,963.55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17,079,906.65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55,637,362.92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23,334,705.20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23,334,705.20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2,692,445.16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深圳市思迅软件股份有限公司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317,385,892.19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123,696,462.10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123,696,462.10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105,720,803.02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275,059,264.79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103,488,351.69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103,488,351.69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95,729,773.97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南京客至软件有限公司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9,985,290.73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-931,946.53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-931,946.53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-1,797,477.04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8,658,090.75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-7,151,999.28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-7,151,999.28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-4,370,735.05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百望金税科技有限公司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8,557,607.55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5,238,460.83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5,238,460.83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-2,896,983.28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6,747,850.91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673,268.60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673,268.60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-775,049.68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Shiji Retail Information</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314,336,885.34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104,113,409.06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104,113,409.06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123,602,167.90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396,190,145.67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104,113,409.06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104,113,409.06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756,802,820.23</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青岛海信智能商用系统股份有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462,190,670.61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37,307,394.86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37,307,394.86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10,890,296.18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496,110,358.85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38,821,287.69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38,821,287.69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56,182,039.01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20" w:line="240" w:lineRule="auto"/>
        <w:ind w:left="0" w:right="0" w:firstLine="0"/>
        <w:jc w:val="left"/>
        <w:sectPr>
          <w:headerReference w:type="default" r:id="rId27"/>
          <w:footerReference w:type="default" r:id="rId28"/>
          <w:footnotePr>
            <w:pos w:val="pageBottom"/>
            <w:numFmt w:val="decimal"/>
            <w:numRestart w:val="continuous"/>
          </w:footnotePr>
          <w:pgSz w:w="16840" w:h="11900" w:orient="landscape"/>
          <w:pgMar w:top="1102" w:right="1215" w:bottom="1216" w:left="1431" w:header="0" w:footer="3" w:gutter="0"/>
          <w:cols w:space="720"/>
          <w:noEndnote/>
          <w:rtlGutter w:val="0"/>
          <w:docGrid w:linePitch="360"/>
        </w:sectPr>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20"/>
      <w:bookmarkEnd w:id="1621"/>
      <w:bookmarkEnd w:id="1622"/>
    </w:p>
    <w:p>
      <w:pPr>
        <w:pStyle w:val="Style32"/>
        <w:keepNext/>
        <w:keepLines/>
        <w:widowControl w:val="0"/>
        <w:shd w:val="clear" w:color="auto" w:fill="auto"/>
        <w:tabs>
          <w:tab w:pos="493" w:val="left"/>
        </w:tabs>
        <w:bidi w:val="0"/>
        <w:spacing w:before="0" w:after="320" w:line="240" w:lineRule="auto"/>
        <w:ind w:left="0" w:right="0" w:firstLine="0"/>
        <w:jc w:val="left"/>
      </w:pPr>
      <w:bookmarkStart w:id="1620" w:name="bookmark1620"/>
      <w:bookmarkStart w:id="1621" w:name="bookmark1621"/>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20"/>
      <w:bookmarkEnd w:id="1621"/>
      <w:bookmarkEnd w:id="1624"/>
    </w:p>
    <w:p>
      <w:pPr>
        <w:pStyle w:val="Style38"/>
        <w:keepNext w:val="0"/>
        <w:keepLines w:val="0"/>
        <w:widowControl w:val="0"/>
        <w:shd w:val="clear" w:color="auto" w:fill="auto"/>
        <w:bidi w:val="0"/>
        <w:spacing w:before="0" w:after="660" w:line="240" w:lineRule="auto"/>
        <w:ind w:left="0" w:right="0" w:firstLine="460"/>
        <w:jc w:val="left"/>
        <w:rPr>
          <w:sz w:val="22"/>
          <w:szCs w:val="22"/>
        </w:rPr>
      </w:pPr>
      <w:r>
        <w:rPr>
          <w:rFonts w:ascii="SimSun" w:eastAsia="SimSun" w:hAnsi="SimSun" w:cs="SimSun"/>
          <w:color w:val="000000"/>
          <w:spacing w:val="0"/>
          <w:w w:val="100"/>
          <w:position w:val="0"/>
          <w:sz w:val="22"/>
          <w:szCs w:val="22"/>
        </w:rPr>
        <w:t>本公司于</w:t>
      </w:r>
      <w:r>
        <w:rPr>
          <w:color w:val="000000"/>
          <w:spacing w:val="0"/>
          <w:w w:val="100"/>
          <w:position w:val="0"/>
          <w:sz w:val="22"/>
          <w:szCs w:val="22"/>
        </w:rPr>
        <w:t>2020</w:t>
      </w:r>
      <w:r>
        <w:rPr>
          <w:rFonts w:ascii="SimSun" w:eastAsia="SimSun" w:hAnsi="SimSun" w:cs="SimSun"/>
          <w:color w:val="000000"/>
          <w:spacing w:val="0"/>
          <w:w w:val="100"/>
          <w:position w:val="0"/>
          <w:sz w:val="22"/>
          <w:szCs w:val="22"/>
        </w:rPr>
        <w:t>年</w:t>
      </w:r>
      <w:r>
        <w:rPr>
          <w:color w:val="000000"/>
          <w:spacing w:val="0"/>
          <w:w w:val="100"/>
          <w:position w:val="0"/>
          <w:sz w:val="22"/>
          <w:szCs w:val="22"/>
        </w:rPr>
        <w:t>11</w:t>
      </w:r>
      <w:r>
        <w:rPr>
          <w:rFonts w:ascii="SimSun" w:eastAsia="SimSun" w:hAnsi="SimSun" w:cs="SimSun"/>
          <w:color w:val="000000"/>
          <w:spacing w:val="0"/>
          <w:w w:val="100"/>
          <w:position w:val="0"/>
          <w:sz w:val="22"/>
          <w:szCs w:val="22"/>
        </w:rPr>
        <w:t>月收购</w:t>
      </w:r>
      <w:r>
        <w:rPr>
          <w:color w:val="000000"/>
          <w:spacing w:val="0"/>
          <w:w w:val="100"/>
          <w:position w:val="0"/>
          <w:sz w:val="22"/>
          <w:szCs w:val="22"/>
        </w:rPr>
        <w:t xml:space="preserve">Galasys Plc </w:t>
      </w:r>
      <w:r>
        <w:rPr>
          <w:color w:val="000000"/>
          <w:spacing w:val="0"/>
          <w:w w:val="100"/>
          <w:position w:val="0"/>
          <w:sz w:val="22"/>
          <w:szCs w:val="22"/>
        </w:rPr>
        <w:t>0.63%</w:t>
      </w:r>
      <w:r>
        <w:rPr>
          <w:rFonts w:ascii="SimSun" w:eastAsia="SimSun" w:hAnsi="SimSun" w:cs="SimSun"/>
          <w:color w:val="000000"/>
          <w:spacing w:val="0"/>
          <w:w w:val="100"/>
          <w:position w:val="0"/>
          <w:sz w:val="22"/>
          <w:szCs w:val="22"/>
        </w:rPr>
        <w:t>股权，收购完成后本公司持有</w:t>
      </w:r>
      <w:r>
        <w:rPr>
          <w:color w:val="000000"/>
          <w:spacing w:val="0"/>
          <w:w w:val="100"/>
          <w:position w:val="0"/>
          <w:sz w:val="22"/>
          <w:szCs w:val="22"/>
        </w:rPr>
        <w:t>Galasys Plc</w:t>
      </w:r>
      <w:r>
        <w:rPr>
          <w:rFonts w:ascii="SimSun" w:eastAsia="SimSun" w:hAnsi="SimSun" w:cs="SimSun"/>
          <w:color w:val="000000"/>
          <w:spacing w:val="0"/>
          <w:w w:val="100"/>
          <w:position w:val="0"/>
          <w:sz w:val="22"/>
          <w:szCs w:val="22"/>
        </w:rPr>
        <w:t>股权</w:t>
      </w:r>
      <w:r>
        <w:rPr>
          <w:color w:val="000000"/>
          <w:spacing w:val="0"/>
          <w:w w:val="100"/>
          <w:position w:val="0"/>
          <w:sz w:val="22"/>
          <w:szCs w:val="22"/>
        </w:rPr>
        <w:t>86.93%</w:t>
      </w:r>
      <w:r>
        <w:rPr>
          <w:rFonts w:ascii="SimSun" w:eastAsia="SimSun" w:hAnsi="SimSun" w:cs="SimSun"/>
          <w:color w:val="000000"/>
          <w:spacing w:val="0"/>
          <w:w w:val="100"/>
          <w:position w:val="0"/>
          <w:sz w:val="22"/>
          <w:szCs w:val="22"/>
        </w:rPr>
        <w:t>。</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w:t>
      </w:r>
      <w:bookmarkEnd w:id="162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25"/>
      <w:bookmarkEnd w:id="1626"/>
      <w:bookmarkEnd w:id="16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Galasys Plc</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1,632,508.30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1,632,508.30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-134,213.10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1,766,721.40</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1,766,721.40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color w:val="000000"/>
          <w:spacing w:val="0"/>
          <w:w w:val="100"/>
          <w:position w:val="0"/>
        </w:rPr>
        <w:t>、在合营安排或联营企业中的权益</w:t>
      </w:r>
      <w:bookmarkEnd w:id="1629"/>
      <w:bookmarkEnd w:id="1630"/>
      <w:bookmarkEnd w:id="1632"/>
    </w:p>
    <w:p>
      <w:pPr>
        <w:pStyle w:val="Style32"/>
        <w:keepNext/>
        <w:keepLines/>
        <w:widowControl w:val="0"/>
        <w:shd w:val="clear" w:color="auto" w:fill="auto"/>
        <w:bidi w:val="0"/>
        <w:spacing w:before="0" w:after="320" w:line="240" w:lineRule="auto"/>
        <w:ind w:left="0" w:right="0" w:firstLine="140"/>
        <w:jc w:val="left"/>
      </w:pPr>
      <w:bookmarkStart w:id="1629" w:name="bookmark1629"/>
      <w:bookmarkStart w:id="1630" w:name="bookmark1630"/>
      <w:bookmarkStart w:id="1633" w:name="bookmark1633"/>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29"/>
      <w:bookmarkEnd w:id="1630"/>
      <w:bookmarkEnd w:id="163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迅付信息科技有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电子支付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科传计算机科技 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浙江未来酒店网 络技术有限公司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北京拓易科技有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追溯云信息发展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上海鸿鹊信息科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Kalibri Labs LLC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软件开发与销售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bl>
    <w:tbl>
      <w:tblPr>
        <w:tblOverlap w:val="never"/>
        <w:jc w:val="center"/>
        <w:tblLayout w:type="fixed"/>
      </w:tblPr>
      <w:tblGrid>
        <w:gridCol w:w="1378"/>
        <w:gridCol w:w="1368"/>
        <w:gridCol w:w="1368"/>
        <w:gridCol w:w="1368"/>
        <w:gridCol w:w="1368"/>
        <w:gridCol w:w="1363"/>
        <w:gridCol w:w="1378"/>
      </w:tblGrid>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联网技术股份有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60" w:line="374" w:lineRule="exact"/>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74" w:lineRule="exact"/>
        <w:ind w:left="0" w:right="0" w:firstLine="0"/>
        <w:jc w:val="left"/>
        <w:sectPr>
          <w:headerReference w:type="default" r:id="rId29"/>
          <w:footerReference w:type="default" r:id="rId30"/>
          <w:footnotePr>
            <w:pos w:val="pageBottom"/>
            <w:numFmt w:val="decimal"/>
            <w:numRestart w:val="continuous"/>
          </w:footnotePr>
          <w:pgSz w:w="11900" w:h="16840"/>
          <w:pgMar w:top="1441" w:right="1051" w:bottom="1503" w:left="1058" w:header="0" w:footer="3" w:gutter="0"/>
          <w:cols w:space="720"/>
          <w:noEndnote/>
          <w:rtlGutter w:val="0"/>
          <w:docGrid w:linePitch="360"/>
        </w:sectPr>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p>
    <w:p>
      <w:pPr>
        <w:pStyle w:val="Style32"/>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34"/>
      <w:bookmarkEnd w:id="1635"/>
      <w:bookmarkEnd w:id="1636"/>
    </w:p>
    <w:p>
      <w:pPr>
        <w:pStyle w:val="Style28"/>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605"/>
        <w:gridCol w:w="965"/>
        <w:gridCol w:w="1133"/>
        <w:gridCol w:w="1133"/>
        <w:gridCol w:w="994"/>
        <w:gridCol w:w="1133"/>
        <w:gridCol w:w="850"/>
        <w:gridCol w:w="854"/>
        <w:gridCol w:w="907"/>
        <w:gridCol w:w="1075"/>
        <w:gridCol w:w="994"/>
        <w:gridCol w:w="850"/>
        <w:gridCol w:w="710"/>
        <w:gridCol w:w="595"/>
        <w:gridCol w:w="677"/>
        <w:gridCol w:w="68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8"/>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本期发生额</w:t>
            </w:r>
          </w:p>
        </w:tc>
        <w:tc>
          <w:tcPr>
            <w:gridSpan w:val="7"/>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上期发生额</w:t>
            </w:r>
          </w:p>
        </w:tc>
      </w:tr>
      <w:tr>
        <w:trPr>
          <w:trHeight w:val="42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北京科码先</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追溯云</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5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上海鸿鹊信</w:t>
            </w: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科传计算机科</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浙江未来酒</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北京拓易</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信息发</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上海鸿鹊</w:t>
            </w:r>
          </w:p>
        </w:tc>
        <w:tc>
          <w:tcPr>
            <w:tcBorders>
              <w:left w:val="single" w:sz="4"/>
              <w:right w:val="single" w:sz="4"/>
            </w:tcBorders>
            <w:shd w:val="clear" w:color="auto" w:fill="D4D4D4"/>
            <w:vAlign w:val="bottom"/>
          </w:tcPr>
          <w:p>
            <w:pPr>
              <w:pStyle w:val="Style20"/>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rPr>
              <w:t>Kalibri</w:t>
            </w:r>
          </w:p>
        </w:tc>
      </w:tr>
      <w:tr>
        <w:trPr>
          <w:trHeight w:val="163" w:hRule="exact"/>
        </w:trPr>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迅付信息科技</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科传计算机科技</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浙江未来酒店网</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北京拓易科技</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追溯云信息发展</w:t>
            </w: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Kalibri</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锋互联网技</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迅付信息科技有</w:t>
            </w: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rPr>
              <w:t>Labs,</w:t>
            </w:r>
          </w:p>
        </w:tc>
      </w:tr>
      <w:tr>
        <w:trPr>
          <w:trHeight w:val="154"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息科技有限</w:t>
            </w: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技控股有限公</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店网络技术</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科技有限</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展股份</w:t>
            </w: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信息科技</w:t>
            </w:r>
          </w:p>
        </w:tc>
        <w:tc>
          <w:tcPr>
            <w:vMerge/>
            <w:tcBorders>
              <w:left w:val="single" w:sz="4"/>
              <w:right w:val="single" w:sz="4"/>
            </w:tcBorders>
            <w:shd w:val="clear" w:color="auto" w:fill="D4D4D4"/>
            <w:vAlign w:val="center"/>
          </w:tcPr>
          <w:p>
            <w:pPr/>
          </w:p>
        </w:tc>
      </w:tr>
      <w:tr>
        <w:trPr>
          <w:trHeight w:val="163"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有限公司</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控股有限公司</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络技术有限公司</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有限公司</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股份有限公司</w:t>
            </w: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Labs,LLC.</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术股份有限</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限公司</w:t>
            </w: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right w:val="single" w:sz="4"/>
            </w:tcBorders>
            <w:shd w:val="clear" w:color="auto" w:fill="D4D4D4"/>
            <w:vAlign w:val="center"/>
          </w:tcPr>
          <w:p>
            <w:pPr/>
          </w:p>
        </w:tc>
      </w:tr>
      <w:tr>
        <w:trPr>
          <w:trHeight w:val="586"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vMerge/>
            <w:tcBorders>
              <w:left w:val="single" w:sz="4"/>
            </w:tcBorders>
            <w:shd w:val="clear" w:color="auto" w:fill="D4D4D4"/>
            <w:vAlign w:val="top"/>
          </w:tcPr>
          <w:p>
            <w:pPr/>
          </w:p>
        </w:tc>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司</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有限公司</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公司</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有限公 司</w:t>
            </w:r>
          </w:p>
        </w:tc>
        <w:tc>
          <w:tcPr>
            <w:tcBorders>
              <w:lef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有限公司</w:t>
            </w:r>
          </w:p>
        </w:tc>
        <w:tc>
          <w:tcPr>
            <w:tcBorders>
              <w:left w:val="single" w:sz="4"/>
              <w:right w:val="single" w:sz="4"/>
            </w:tcBorders>
            <w:shd w:val="clear" w:color="auto" w:fill="D4D4D4"/>
            <w:vAlign w:val="top"/>
          </w:tcPr>
          <w:p>
            <w:pPr>
              <w:pStyle w:val="Style20"/>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rPr>
              <w:t>LLC.</w:t>
            </w:r>
          </w:p>
        </w:tc>
      </w:tr>
      <w:tr>
        <w:trPr>
          <w:trHeight w:val="293" w:hRule="exact"/>
        </w:trPr>
        <w:tc>
          <w:tcPr>
            <w:tcBorders>
              <w:top w:val="single" w:sz="4"/>
              <w:left w:val="single" w:sz="4"/>
            </w:tcBorders>
            <w:shd w:val="clear" w:color="auto" w:fill="D4D4D4"/>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1,139,105,939.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42,691,316.9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3,420,192.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143,501,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1,690,115.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19,618,74</w:t>
            </w:r>
          </w:p>
        </w:tc>
      </w:tr>
      <w:tr>
        <w:trPr>
          <w:trHeight w:val="418" w:hRule="exact"/>
        </w:trPr>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color w:val="000000"/>
                <w:spacing w:val="0"/>
                <w:w w:val="100"/>
                <w:position w:val="0"/>
                <w:sz w:val="14"/>
                <w:szCs w:val="14"/>
              </w:rPr>
              <w:t>94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154,132,307.20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141,607,157.93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826,582.08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161,083,186.28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2,006,832.32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6,559,253.29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76,996,119.21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1,649,241,658.15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168,701,535.00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091.72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65</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1.85</w:t>
            </w:r>
          </w:p>
        </w:tc>
      </w:tr>
      <w:tr>
        <w:trPr>
          <w:trHeight w:val="293" w:hRule="exact"/>
        </w:trPr>
        <w:tc>
          <w:tcPr>
            <w:tcBorders>
              <w:top w:val="single" w:sz="4"/>
              <w:left w:val="single" w:sz="4"/>
            </w:tcBorders>
            <w:shd w:val="clear" w:color="auto" w:fill="D4D4D4"/>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43,228,362.37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46,433,596.80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14,920,945.90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6,795,216.38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52,411.65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29,590.22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15,215.94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25,914,865.64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59,090,571.09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43,345,074.60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7,403,732.03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254,873.06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52,483.98</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36,935.63</w:t>
            </w:r>
          </w:p>
        </w:tc>
      </w:tr>
      <w:tr>
        <w:trPr>
          <w:trHeight w:val="26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资产合</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1,182,334,302.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200,565,904.00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156,528,103.83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7,621,798.46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161,135,597.93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2,036,422.54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6,574,469.23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102,910,984.8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1,708,332,229.24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212,046,609.60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50,095,048.9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3,675,066.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147,211,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1,742,599.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19,655,67</w:t>
            </w:r>
          </w:p>
        </w:tc>
      </w:tr>
      <w:tr>
        <w:trPr>
          <w:trHeight w:val="26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color w:val="000000"/>
                <w:spacing w:val="0"/>
                <w:w w:val="100"/>
                <w:position w:val="0"/>
                <w:sz w:val="14"/>
                <w:szCs w:val="14"/>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646.79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63</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7.48</w:t>
            </w:r>
          </w:p>
        </w:tc>
      </w:tr>
      <w:tr>
        <w:trPr>
          <w:trHeight w:val="293" w:hRule="exact"/>
        </w:trPr>
        <w:tc>
          <w:tcPr>
            <w:tcBorders>
              <w:top w:val="single" w:sz="4"/>
              <w:left w:val="single" w:sz="4"/>
            </w:tcBorders>
            <w:shd w:val="clear" w:color="auto" w:fill="D4D4D4"/>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1,145,068,595.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29,926,709.0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14,109,2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1,144,815.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9,841,187.</w:t>
            </w:r>
          </w:p>
        </w:tc>
      </w:tr>
      <w:tr>
        <w:trPr>
          <w:trHeight w:val="422" w:hRule="exact"/>
        </w:trPr>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color w:val="000000"/>
                <w:spacing w:val="0"/>
                <w:w w:val="100"/>
                <w:position w:val="0"/>
                <w:sz w:val="14"/>
                <w:szCs w:val="14"/>
              </w:rPr>
              <w:t>30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82,991,859.20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161,351,541.71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474,039.64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23,368,989.67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1,330,395.02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9,630,290.33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26,095,559.09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1,718,129,762.99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68,766,982.80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500,999.01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23.36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28</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28</w:t>
            </w:r>
          </w:p>
        </w:tc>
      </w:tr>
      <w:tr>
        <w:trPr>
          <w:trHeight w:val="293" w:hRule="exact"/>
        </w:trPr>
        <w:tc>
          <w:tcPr>
            <w:tcBorders>
              <w:top w:val="single" w:sz="4"/>
              <w:left w:val="single" w:sz="4"/>
            </w:tcBorders>
            <w:shd w:val="clear" w:color="auto" w:fill="D4D4D4"/>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负债</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8,249,363.20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1,760,000.00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750,000.00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7,176,253.80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0.00</w:t>
            </w:r>
          </w:p>
        </w:tc>
      </w:tr>
      <w:tr>
        <w:trPr>
          <w:trHeight w:val="451"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负债合</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1,145,068,595.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91,241,222.40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161,351,541.71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474,039.64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25,128,989.67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1,330,395.02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9,630,290.33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26,845,559.09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1,718,129,762.99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75,943,236.60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29,926,709.0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500,999.01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15,309,2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1,144,815.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9,841,187.</w:t>
            </w:r>
          </w:p>
        </w:tc>
      </w:tr>
      <w:tr>
        <w:trPr>
          <w:trHeight w:val="26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color w:val="000000"/>
                <w:spacing w:val="0"/>
                <w:w w:val="100"/>
                <w:position w:val="0"/>
                <w:sz w:val="14"/>
                <w:szCs w:val="14"/>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23.36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28</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28</w:t>
            </w:r>
          </w:p>
        </w:tc>
      </w:tr>
      <w:tr>
        <w:trPr>
          <w:trHeight w:val="288" w:hRule="exact"/>
        </w:trPr>
        <w:tc>
          <w:tcPr>
            <w:tcBorders>
              <w:top w:val="single" w:sz="4"/>
              <w:left w:val="single" w:sz="4"/>
            </w:tcBorders>
            <w:shd w:val="clear" w:color="auto" w:fill="D4D4D4"/>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东权益</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875,980.40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1,279,202.40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0.00</w:t>
            </w:r>
          </w:p>
        </w:tc>
      </w:tr>
      <w:tr>
        <w:trPr>
          <w:trHeight w:val="36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归属于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4D4D4"/>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母公司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-3,055,821.1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20,168,339.9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3,174,067.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131,902,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597,784.3</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9,814,490.</w:t>
            </w:r>
          </w:p>
        </w:tc>
      </w:tr>
      <w:tr>
        <w:trPr>
          <w:trHeight w:val="374" w:hRule="exact"/>
        </w:trPr>
        <w:tc>
          <w:tcPr>
            <w:tcBorders>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股东权</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37,265,707.01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108,448,701.20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-4,823,437.88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7,147,758.82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136,006,608.26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706,027.52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76,065,425.76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-9,797,533.75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134,824,170.60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423.43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20</w:t>
            </w:r>
          </w:p>
        </w:tc>
      </w:tr>
      <w:tr>
        <w:trPr>
          <w:trHeight w:val="370" w:hRule="exact"/>
        </w:trPr>
        <w:tc>
          <w:tcPr>
            <w:tcBorders>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965"/>
        <w:gridCol w:w="1133"/>
        <w:gridCol w:w="1133"/>
        <w:gridCol w:w="994"/>
        <w:gridCol w:w="1133"/>
        <w:gridCol w:w="850"/>
        <w:gridCol w:w="854"/>
        <w:gridCol w:w="907"/>
        <w:gridCol w:w="1075"/>
        <w:gridCol w:w="994"/>
        <w:gridCol w:w="850"/>
        <w:gridCol w:w="710"/>
        <w:gridCol w:w="595"/>
        <w:gridCol w:w="677"/>
        <w:gridCol w:w="682"/>
      </w:tblGrid>
      <w:tr>
        <w:trPr>
          <w:trHeight w:val="168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按持股 比例计 算的净 资产份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8,384,784.08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32,534,610.35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-1,012,921.95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2,706,727.61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34,804,091.05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159,849.13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-1,171,504.0</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15,213,085.15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-2,204,445.09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40,447,251.17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4,235,351.39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1,335,647.</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33,753,8</w:t>
            </w:r>
          </w:p>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30.16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148,429.8</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3,762,875.</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调整事</w:t>
            </w:r>
          </w:p>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26,766,487.19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81,852,483.68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7,731,535.71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68,492,250.58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5,975,206.66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56,950,927.3</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37,474,975.57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26,766,487.19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81,852,483.68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7,731,535.</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68,492,2</w:t>
            </w:r>
          </w:p>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50.58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5,975,206.</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56,950,92</w:t>
            </w:r>
          </w:p>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7.32</w:t>
            </w:r>
          </w:p>
        </w:tc>
      </w:tr>
      <w:tr>
        <w:trPr>
          <w:trHeight w:val="102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内部交 易未实 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-428,948.73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1,012,921.95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48,313.63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-428,948.73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0.00</w:t>
            </w:r>
          </w:p>
        </w:tc>
      </w:tr>
      <w:tr>
        <w:trPr>
          <w:trHeight w:val="16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对联营 企业权 益投资 的账面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34,722,322.54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114,387,094.03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10,438,263.32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103,344,655.26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6,135,055.79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55,779,423.3</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52,688,060.72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24,133,093.37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122,299,734.85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4,235,351.39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9,067,183.</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102,246,</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080.74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6,123,636.</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60,713,80</w:t>
            </w:r>
          </w:p>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2.86</w:t>
            </w:r>
          </w:p>
        </w:tc>
      </w:tr>
      <w:tr>
        <w:trPr>
          <w:trHeight w:val="227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存在公 开报价 的联营 企业权 益投资 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营业收</w:t>
            </w:r>
          </w:p>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1,730,094,194.</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204,068,923.10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414,850,934.26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1,104,038.82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12,233,249.50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2,785,295.42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18,876,998.4</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51,213,879.83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1,806,796,981.56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186,369,214.00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161,028,353.</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553,213.60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21,821,1</w:t>
            </w:r>
          </w:p>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25.94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4,976,657.</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20,319,03</w:t>
            </w:r>
          </w:p>
          <w:p>
            <w:pPr>
              <w:pStyle w:val="Style2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5.66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42,967,269.50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33,058,378.50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-26,014,918.64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869,061.42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4,292,983.68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-1,396,756.8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-13,185,082.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13,440,303.61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-148,859,936.57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35,130,786.00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-16,045,249.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-6,391,346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8,777,18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-1,669,37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-29,196,0</w:t>
            </w:r>
          </w:p>
        </w:tc>
      </w:tr>
    </w:tbl>
    <w:p>
      <w:pPr>
        <w:spacing w:lineRule="exact" w:line="1"/>
        <w:rPr>
          <w:sz w:val="2"/>
          <w:szCs w:val="2"/>
        </w:rPr>
      </w:pPr>
      <w:r>
        <w:br w:type="page"/>
      </w:r>
    </w:p>
    <w:tbl>
      <w:tblPr>
        <w:tblOverlap w:val="never"/>
        <w:jc w:val="center"/>
        <w:tblLayout w:type="fixed"/>
      </w:tblPr>
      <w:tblGrid>
        <w:gridCol w:w="605"/>
        <w:gridCol w:w="965"/>
        <w:gridCol w:w="1133"/>
        <w:gridCol w:w="1133"/>
        <w:gridCol w:w="994"/>
        <w:gridCol w:w="1133"/>
        <w:gridCol w:w="850"/>
        <w:gridCol w:w="854"/>
        <w:gridCol w:w="907"/>
        <w:gridCol w:w="1075"/>
        <w:gridCol w:w="994"/>
        <w:gridCol w:w="850"/>
        <w:gridCol w:w="710"/>
        <w:gridCol w:w="595"/>
        <w:gridCol w:w="677"/>
        <w:gridCol w:w="682"/>
      </w:tblGrid>
      <w:tr>
        <w:trPr>
          <w:trHeight w:val="3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2.69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95.77</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其他综</w:t>
            </w:r>
          </w:p>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4,095,971.26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-2,098,986.00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-224,735.37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197,351.13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5,178,638.52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-370,744.</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综合收</w:t>
            </w:r>
          </w:p>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47,063,240.76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30,959,392.50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-26,014,918.64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869,061.42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4,292,983.68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-1,396,756.8</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-13,409,817.</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13,440,303.61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-148,662,585.44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40,309,424.52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-16,045,249.</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-6,391,346</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8,777,18</w:t>
            </w:r>
          </w:p>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-1,669,37</w:t>
            </w:r>
          </w:p>
          <w:p>
            <w:pPr>
              <w:pStyle w:val="Style20"/>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2.69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-29,566,8</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39.91</w:t>
            </w:r>
          </w:p>
        </w:tc>
      </w:tr>
      <w:tr>
        <w:trPr>
          <w:trHeight w:val="1339"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以前年 度调整 净利润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-26,532,742.53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-399,505.29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-1,585.89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538,687.08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-41,571,027.72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716,227.78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16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以前年 度调整 其他综 合收益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-3,502,119.37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-5,748,576.34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1661"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本年度 收到的 来自联 营企业 的股利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8,190,000.00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120" w:line="240" w:lineRule="auto"/>
        <w:ind w:left="0" w:right="0" w:firstLine="0"/>
        <w:jc w:val="both"/>
        <w:sectPr>
          <w:headerReference w:type="default" r:id="rId31"/>
          <w:footerReference w:type="default" r:id="rId32"/>
          <w:footnotePr>
            <w:pos w:val="pageBottom"/>
            <w:numFmt w:val="decimal"/>
            <w:numRestart w:val="continuous"/>
          </w:footnotePr>
          <w:pgSz w:w="16840" w:h="11900" w:orient="landscape"/>
          <w:pgMar w:top="1100" w:right="1253" w:bottom="1210" w:left="1431" w:header="0" w:footer="3" w:gutter="0"/>
          <w:cols w:space="720"/>
          <w:noEndnote/>
          <w:rtlGutter w:val="0"/>
          <w:docGrid w:linePitch="360"/>
        </w:sectPr>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0"/>
        <w:jc w:val="left"/>
      </w:pPr>
      <w:bookmarkStart w:id="1637" w:name="bookmark1637"/>
      <w:bookmarkStart w:id="1638" w:name="bookmark1638"/>
      <w:bookmarkStart w:id="1639" w:name="bookmark1639"/>
      <w:r>
        <w:rPr>
          <w:color w:val="000000"/>
          <w:spacing w:val="0"/>
          <w:w w:val="100"/>
          <w:position w:val="0"/>
        </w:rPr>
        <w:t>十、与金融工具相关的风险</w:t>
      </w:r>
      <w:bookmarkEnd w:id="1637"/>
      <w:bookmarkEnd w:id="1638"/>
      <w:bookmarkEnd w:id="1639"/>
    </w:p>
    <w:p>
      <w:pPr>
        <w:pStyle w:val="Style35"/>
        <w:keepNext w:val="0"/>
        <w:keepLines w:val="0"/>
        <w:widowControl w:val="0"/>
        <w:shd w:val="clear" w:color="auto" w:fill="auto"/>
        <w:bidi w:val="0"/>
        <w:spacing w:before="0" w:after="200" w:line="314" w:lineRule="exact"/>
        <w:ind w:left="0" w:right="0" w:firstLine="460"/>
        <w:jc w:val="both"/>
        <w:rPr>
          <w:sz w:val="22"/>
          <w:szCs w:val="22"/>
        </w:rPr>
      </w:pPr>
      <w:r>
        <w:rPr>
          <w:color w:val="000000"/>
          <w:spacing w:val="0"/>
          <w:w w:val="100"/>
          <w:position w:val="0"/>
          <w:sz w:val="22"/>
          <w:szCs w:val="22"/>
        </w:rPr>
        <w:t>本集团的主要金融工具包括交易性金融资产、借款、应收款项、应付款项、其他流动资产（银行 理财产品投资）等，各项金融工具的详细情况说明见本附注六。与这些金融工具有关的风险，以及本 集团为降低这些风险所采取的风险管理政策如下所述。本集团管理层对这些风险敞口进行管理和监控 以确保将上述风险控制在限定的范围之内。</w:t>
      </w:r>
    </w:p>
    <w:p>
      <w:pPr>
        <w:pStyle w:val="Style35"/>
        <w:keepNext w:val="0"/>
        <w:keepLines w:val="0"/>
        <w:widowControl w:val="0"/>
        <w:shd w:val="clear" w:color="auto" w:fill="auto"/>
        <w:bidi w:val="0"/>
        <w:spacing w:before="0" w:after="200" w:line="318" w:lineRule="exact"/>
        <w:ind w:left="0" w:right="0" w:firstLine="0"/>
        <w:jc w:val="both"/>
        <w:rPr>
          <w:sz w:val="22"/>
          <w:szCs w:val="22"/>
        </w:rPr>
      </w:pPr>
      <w:r>
        <w:rPr>
          <w:color w:val="000000"/>
          <w:spacing w:val="0"/>
          <w:w w:val="100"/>
          <w:position w:val="0"/>
          <w:sz w:val="22"/>
          <w:szCs w:val="22"/>
        </w:rPr>
        <w:t>1.</w:t>
      </w:r>
      <w:r>
        <w:rPr>
          <w:color w:val="000000"/>
          <w:spacing w:val="0"/>
          <w:w w:val="100"/>
          <w:position w:val="0"/>
          <w:sz w:val="22"/>
          <w:szCs w:val="22"/>
        </w:rPr>
        <w:t>各类风险管理目标和政策</w:t>
      </w:r>
    </w:p>
    <w:p>
      <w:pPr>
        <w:pStyle w:val="Style35"/>
        <w:keepNext w:val="0"/>
        <w:keepLines w:val="0"/>
        <w:widowControl w:val="0"/>
        <w:shd w:val="clear" w:color="auto" w:fill="auto"/>
        <w:bidi w:val="0"/>
        <w:spacing w:before="0" w:after="200" w:line="323" w:lineRule="exact"/>
        <w:ind w:left="0" w:right="0" w:firstLine="460"/>
        <w:jc w:val="both"/>
        <w:rPr>
          <w:sz w:val="22"/>
          <w:szCs w:val="22"/>
        </w:rPr>
      </w:pPr>
      <w:r>
        <w:rPr>
          <w:color w:val="000000"/>
          <w:spacing w:val="0"/>
          <w:w w:val="100"/>
          <w:position w:val="0"/>
          <w:sz w:val="22"/>
          <w:szCs w:val="22"/>
        </w:rPr>
        <w:t>本集团从事风险管理的目标是在风险和收益之间取得适当的平衡，将风险对本集团经营业绩的负 面影响降低到最低水平，使股东及其它权益投资者的利益最大化。基于该风险管理目标，本集团风险 管理的基本策略是确定和分析本集团所面临的各种风险，建立适当的风险承受底线并进行风险管理， 并及时可靠地对各种风险进行监督，将风险控制在限定的范围之内。</w:t>
      </w:r>
    </w:p>
    <w:p>
      <w:pPr>
        <w:pStyle w:val="Style35"/>
        <w:keepNext w:val="0"/>
        <w:keepLines w:val="0"/>
        <w:widowControl w:val="0"/>
        <w:shd w:val="clear" w:color="auto" w:fill="auto"/>
        <w:bidi w:val="0"/>
        <w:spacing w:before="0" w:after="280" w:line="318" w:lineRule="exact"/>
        <w:ind w:left="0" w:right="0" w:firstLine="360"/>
        <w:jc w:val="both"/>
        <w:rPr>
          <w:sz w:val="22"/>
          <w:szCs w:val="22"/>
        </w:rPr>
      </w:pPr>
      <w:r>
        <w:rPr>
          <w:color w:val="000000"/>
          <w:spacing w:val="0"/>
          <w:w w:val="100"/>
          <w:position w:val="0"/>
          <w:sz w:val="22"/>
          <w:szCs w:val="22"/>
        </w:rPr>
        <w:t xml:space="preserve">（1） </w:t>
      </w:r>
      <w:r>
        <w:rPr>
          <w:color w:val="000000"/>
          <w:spacing w:val="0"/>
          <w:w w:val="100"/>
          <w:position w:val="0"/>
          <w:sz w:val="22"/>
          <w:szCs w:val="22"/>
        </w:rPr>
        <w:t>市场风险</w:t>
      </w:r>
    </w:p>
    <w:p>
      <w:pPr>
        <w:pStyle w:val="Style26"/>
        <w:keepNext w:val="0"/>
        <w:keepLines w:val="0"/>
        <w:widowControl w:val="0"/>
        <w:shd w:val="clear" w:color="auto" w:fill="auto"/>
        <w:bidi w:val="0"/>
        <w:spacing w:before="0" w:after="0" w:line="240" w:lineRule="auto"/>
        <w:ind w:left="365" w:right="0" w:firstLine="0"/>
        <w:jc w:val="left"/>
        <w:rPr>
          <w:sz w:val="22"/>
          <w:szCs w:val="22"/>
        </w:rPr>
      </w:pPr>
      <w:r>
        <w:rPr>
          <w:color w:val="000000"/>
          <w:spacing w:val="0"/>
          <w:w w:val="100"/>
          <w:position w:val="0"/>
          <w:sz w:val="22"/>
          <w:szCs w:val="22"/>
        </w:rPr>
        <w:t>1）</w:t>
      </w:r>
      <w:r>
        <w:rPr>
          <w:color w:val="000000"/>
          <w:spacing w:val="0"/>
          <w:w w:val="100"/>
          <w:position w:val="0"/>
          <w:sz w:val="22"/>
          <w:szCs w:val="22"/>
        </w:rPr>
        <w:t>汇率风险</w:t>
      </w:r>
    </w:p>
    <w:tbl>
      <w:tblPr>
        <w:tblOverlap w:val="never"/>
        <w:jc w:val="center"/>
        <w:tblLayout w:type="fixed"/>
      </w:tblPr>
      <w:tblGrid>
        <w:gridCol w:w="3610"/>
        <w:gridCol w:w="2918"/>
        <w:gridCol w:w="2702"/>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日</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191,795,820.87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250,127,226.21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22"/>
                <w:szCs w:val="22"/>
              </w:rPr>
            </w:pPr>
            <w:r>
              <w:rPr>
                <w:rFonts w:ascii="Times New Roman" w:eastAsia="Times New Roman" w:hAnsi="Times New Roman" w:cs="Times New Roman"/>
                <w:color w:val="000000"/>
                <w:spacing w:val="0"/>
                <w:w w:val="100"/>
                <w:position w:val="0"/>
                <w:sz w:val="22"/>
                <w:szCs w:val="22"/>
              </w:rPr>
              <w:t>10,564,064.84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7,485,027.96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22"/>
                <w:szCs w:val="22"/>
              </w:rPr>
            </w:pPr>
            <w:r>
              <w:rPr>
                <w:rFonts w:ascii="Times New Roman" w:eastAsia="Times New Roman" w:hAnsi="Times New Roman" w:cs="Times New Roman"/>
                <w:color w:val="000000"/>
                <w:spacing w:val="0"/>
                <w:w w:val="100"/>
                <w:position w:val="0"/>
                <w:sz w:val="22"/>
                <w:szCs w:val="22"/>
              </w:rPr>
              <w:t>23,732,537.75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7,116,274.74</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69,636.19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rPr>
                <w:sz w:val="22"/>
                <w:szCs w:val="22"/>
              </w:rPr>
            </w:pPr>
            <w:r>
              <w:rPr>
                <w:rFonts w:ascii="Times New Roman" w:eastAsia="Times New Roman" w:hAnsi="Times New Roman" w:cs="Times New Roman"/>
                <w:color w:val="000000"/>
                <w:spacing w:val="0"/>
                <w:w w:val="100"/>
                <w:position w:val="0"/>
                <w:sz w:val="22"/>
                <w:szCs w:val="22"/>
              </w:rPr>
              <w:t>58,068.69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22"/>
                <w:szCs w:val="22"/>
              </w:rPr>
            </w:pPr>
            <w:r>
              <w:rPr>
                <w:rFonts w:ascii="Times New Roman" w:eastAsia="Times New Roman" w:hAnsi="Times New Roman" w:cs="Times New Roman"/>
                <w:color w:val="000000"/>
                <w:spacing w:val="0"/>
                <w:w w:val="100"/>
                <w:position w:val="0"/>
                <w:sz w:val="22"/>
                <w:szCs w:val="22"/>
              </w:rPr>
              <w:t>15,001,849.72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594.16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2"/>
                <w:szCs w:val="22"/>
              </w:rPr>
            </w:pPr>
            <w:r>
              <w:rPr>
                <w:rFonts w:ascii="Times New Roman" w:eastAsia="Times New Roman" w:hAnsi="Times New Roman" w:cs="Times New Roman"/>
                <w:color w:val="000000"/>
                <w:spacing w:val="0"/>
                <w:w w:val="100"/>
                <w:position w:val="0"/>
                <w:sz w:val="22"/>
                <w:szCs w:val="22"/>
              </w:rPr>
              <w:t>1,112,186.80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2"/>
                <w:szCs w:val="22"/>
              </w:rPr>
            </w:pPr>
            <w:r>
              <w:rPr>
                <w:rFonts w:ascii="Times New Roman" w:eastAsia="Times New Roman" w:hAnsi="Times New Roman" w:cs="Times New Roman"/>
                <w:color w:val="000000"/>
                <w:spacing w:val="0"/>
                <w:w w:val="100"/>
                <w:position w:val="0"/>
                <w:sz w:val="22"/>
                <w:szCs w:val="22"/>
              </w:rPr>
              <w:t>1,097,222.98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12.71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澳门币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2,850.53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1,950.30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2"/>
                <w:szCs w:val="22"/>
              </w:rPr>
            </w:pPr>
            <w:r>
              <w:rPr>
                <w:rFonts w:ascii="Times New Roman" w:eastAsia="Times New Roman" w:hAnsi="Times New Roman" w:cs="Times New Roman"/>
                <w:color w:val="000000"/>
                <w:spacing w:val="0"/>
                <w:w w:val="100"/>
                <w:position w:val="0"/>
                <w:sz w:val="22"/>
                <w:szCs w:val="22"/>
              </w:rPr>
              <w:t>7,770,987.54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2,580,672.60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2"/>
                <w:szCs w:val="22"/>
              </w:rPr>
            </w:pPr>
            <w:r>
              <w:rPr>
                <w:rFonts w:ascii="Times New Roman" w:eastAsia="Times New Roman" w:hAnsi="Times New Roman" w:cs="Times New Roman"/>
                <w:color w:val="000000"/>
                <w:spacing w:val="0"/>
                <w:w w:val="100"/>
                <w:position w:val="0"/>
                <w:sz w:val="22"/>
                <w:szCs w:val="22"/>
              </w:rPr>
              <w:t>2,584,201.47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3,411,984.39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2"/>
                <w:szCs w:val="22"/>
              </w:rPr>
            </w:pPr>
            <w:r>
              <w:rPr>
                <w:rFonts w:ascii="Times New Roman" w:eastAsia="Times New Roman" w:hAnsi="Times New Roman" w:cs="Times New Roman"/>
                <w:color w:val="000000"/>
                <w:spacing w:val="0"/>
                <w:w w:val="100"/>
                <w:position w:val="0"/>
                <w:sz w:val="22"/>
                <w:szCs w:val="22"/>
              </w:rPr>
              <w:t>2,841,143.18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3,637,201.11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22"/>
                <w:szCs w:val="22"/>
              </w:rPr>
            </w:pPr>
            <w:r>
              <w:rPr>
                <w:rFonts w:ascii="Times New Roman" w:eastAsia="Times New Roman" w:hAnsi="Times New Roman" w:cs="Times New Roman"/>
                <w:color w:val="000000"/>
                <w:spacing w:val="0"/>
                <w:w w:val="100"/>
                <w:position w:val="0"/>
                <w:sz w:val="22"/>
                <w:szCs w:val="22"/>
              </w:rPr>
              <w:t>646,561.44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376,411.12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2"/>
                <w:szCs w:val="22"/>
              </w:rPr>
            </w:pPr>
            <w:r>
              <w:rPr>
                <w:rFonts w:ascii="Times New Roman" w:eastAsia="Times New Roman" w:hAnsi="Times New Roman" w:cs="Times New Roman"/>
                <w:color w:val="000000"/>
                <w:spacing w:val="0"/>
                <w:w w:val="100"/>
                <w:position w:val="0"/>
                <w:sz w:val="22"/>
                <w:szCs w:val="22"/>
              </w:rPr>
              <w:t>2,506,107.26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668,423.91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2"/>
                <w:szCs w:val="22"/>
              </w:rPr>
            </w:pPr>
            <w:r>
              <w:rPr>
                <w:rFonts w:ascii="Times New Roman" w:eastAsia="Times New Roman" w:hAnsi="Times New Roman" w:cs="Times New Roman"/>
                <w:color w:val="000000"/>
                <w:spacing w:val="0"/>
                <w:w w:val="100"/>
                <w:position w:val="0"/>
                <w:sz w:val="22"/>
                <w:szCs w:val="22"/>
              </w:rPr>
              <w:t>1,784,231.39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2,129,756.35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2"/>
                <w:szCs w:val="22"/>
              </w:rPr>
            </w:pPr>
            <w:r>
              <w:rPr>
                <w:rFonts w:ascii="Times New Roman" w:eastAsia="Times New Roman" w:hAnsi="Times New Roman" w:cs="Times New Roman"/>
                <w:color w:val="000000"/>
                <w:spacing w:val="0"/>
                <w:w w:val="100"/>
                <w:position w:val="0"/>
                <w:sz w:val="22"/>
                <w:szCs w:val="22"/>
              </w:rPr>
              <w:t>6,205,121.35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104,283.82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22"/>
                <w:szCs w:val="22"/>
              </w:rPr>
            </w:pPr>
            <w:r>
              <w:rPr>
                <w:rFonts w:ascii="Times New Roman" w:eastAsia="Times New Roman" w:hAnsi="Times New Roman" w:cs="Times New Roman"/>
                <w:color w:val="000000"/>
                <w:spacing w:val="0"/>
                <w:w w:val="100"/>
                <w:position w:val="0"/>
                <w:sz w:val="22"/>
                <w:szCs w:val="22"/>
              </w:rPr>
              <w:t>543,050.28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26,187,709.92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22"/>
                <w:szCs w:val="22"/>
              </w:rPr>
            </w:pPr>
            <w:r>
              <w:rPr>
                <w:rFonts w:ascii="Times New Roman" w:eastAsia="Times New Roman" w:hAnsi="Times New Roman" w:cs="Times New Roman"/>
                <w:color w:val="000000"/>
                <w:spacing w:val="0"/>
                <w:w w:val="100"/>
                <w:position w:val="0"/>
                <w:sz w:val="22"/>
                <w:szCs w:val="22"/>
              </w:rPr>
              <w:t>15,057,476.28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1,287,306.47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22"/>
                <w:szCs w:val="22"/>
              </w:rPr>
            </w:pPr>
            <w:r>
              <w:rPr>
                <w:rFonts w:ascii="Times New Roman" w:eastAsia="Times New Roman" w:hAnsi="Times New Roman" w:cs="Times New Roman"/>
                <w:color w:val="000000"/>
                <w:spacing w:val="0"/>
                <w:w w:val="100"/>
                <w:position w:val="0"/>
                <w:sz w:val="22"/>
                <w:szCs w:val="22"/>
              </w:rPr>
              <w:t>30,817,612.80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1,017,518.22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22"/>
                <w:szCs w:val="22"/>
              </w:rPr>
            </w:pPr>
            <w:r>
              <w:rPr>
                <w:rFonts w:ascii="Times New Roman" w:eastAsia="Times New Roman" w:hAnsi="Times New Roman" w:cs="Times New Roman"/>
                <w:color w:val="000000"/>
                <w:spacing w:val="0"/>
                <w:w w:val="100"/>
                <w:position w:val="0"/>
                <w:sz w:val="22"/>
                <w:szCs w:val="22"/>
              </w:rPr>
              <w:t>423,467.39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26,256.14</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2"/>
                <w:szCs w:val="22"/>
              </w:rPr>
            </w:pPr>
            <w:r>
              <w:rPr>
                <w:rFonts w:ascii="Times New Roman" w:eastAsia="Times New Roman" w:hAnsi="Times New Roman" w:cs="Times New Roman"/>
                <w:color w:val="000000"/>
                <w:spacing w:val="0"/>
                <w:w w:val="100"/>
                <w:position w:val="0"/>
                <w:sz w:val="22"/>
                <w:szCs w:val="22"/>
              </w:rPr>
              <w:t>2,529,097.20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1,867,271.00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22"/>
                <w:szCs w:val="22"/>
              </w:rPr>
            </w:pPr>
            <w:r>
              <w:rPr>
                <w:rFonts w:ascii="Times New Roman" w:eastAsia="Times New Roman" w:hAnsi="Times New Roman" w:cs="Times New Roman"/>
                <w:color w:val="000000"/>
                <w:spacing w:val="0"/>
                <w:w w:val="100"/>
                <w:position w:val="0"/>
                <w:sz w:val="22"/>
                <w:szCs w:val="22"/>
              </w:rPr>
              <w:t>352,804.41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362,284.57</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22"/>
                <w:szCs w:val="22"/>
              </w:rPr>
            </w:pPr>
            <w:r>
              <w:rPr>
                <w:rFonts w:ascii="Times New Roman" w:eastAsia="Times New Roman" w:hAnsi="Times New Roman" w:cs="Times New Roman"/>
                <w:color w:val="000000"/>
                <w:spacing w:val="0"/>
                <w:w w:val="100"/>
                <w:position w:val="0"/>
                <w:sz w:val="22"/>
                <w:szCs w:val="22"/>
              </w:rPr>
              <w:t>560,495.47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493,728.36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22"/>
                <w:szCs w:val="22"/>
              </w:rPr>
            </w:pPr>
            <w:r>
              <w:rPr>
                <w:rFonts w:ascii="Times New Roman" w:eastAsia="Times New Roman" w:hAnsi="Times New Roman" w:cs="Times New Roman"/>
                <w:color w:val="000000"/>
                <w:spacing w:val="0"/>
                <w:w w:val="100"/>
                <w:position w:val="0"/>
                <w:sz w:val="22"/>
                <w:szCs w:val="22"/>
              </w:rPr>
              <w:t>23,099,847.58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237,114.02</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阿联酋迪拉姆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22"/>
                <w:szCs w:val="22"/>
              </w:rPr>
            </w:pPr>
            <w:r>
              <w:rPr>
                <w:rFonts w:ascii="Times New Roman" w:eastAsia="Times New Roman" w:hAnsi="Times New Roman" w:cs="Times New Roman"/>
                <w:color w:val="000000"/>
                <w:spacing w:val="0"/>
                <w:w w:val="100"/>
                <w:position w:val="0"/>
                <w:sz w:val="22"/>
                <w:szCs w:val="22"/>
              </w:rPr>
              <w:t>106,924.92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163,915.46</w:t>
            </w:r>
          </w:p>
        </w:tc>
      </w:tr>
    </w:tbl>
    <w:tbl>
      <w:tblPr>
        <w:tblOverlap w:val="never"/>
        <w:jc w:val="center"/>
        <w:tblLayout w:type="fixed"/>
      </w:tblPr>
      <w:tblGrid>
        <w:gridCol w:w="3610"/>
        <w:gridCol w:w="2918"/>
        <w:gridCol w:w="270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22"/>
                <w:szCs w:val="22"/>
              </w:rPr>
            </w:pPr>
            <w:r>
              <w:rPr>
                <w:rFonts w:ascii="Times New Roman" w:eastAsia="Times New Roman" w:hAnsi="Times New Roman" w:cs="Times New Roman"/>
                <w:color w:val="000000"/>
                <w:spacing w:val="0"/>
                <w:w w:val="100"/>
                <w:position w:val="0"/>
                <w:sz w:val="22"/>
                <w:szCs w:val="22"/>
              </w:rPr>
              <w:t>1,977,000.30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4,450,603.38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22"/>
                <w:szCs w:val="22"/>
              </w:rPr>
            </w:pPr>
            <w:r>
              <w:rPr>
                <w:rFonts w:ascii="Times New Roman" w:eastAsia="Times New Roman" w:hAnsi="Times New Roman" w:cs="Times New Roman"/>
                <w:color w:val="000000"/>
                <w:spacing w:val="0"/>
                <w:w w:val="100"/>
                <w:position w:val="0"/>
                <w:sz w:val="22"/>
                <w:szCs w:val="22"/>
              </w:rPr>
              <w:t>1,374,211.05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1,489,467.62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22"/>
                <w:szCs w:val="22"/>
              </w:rPr>
            </w:pPr>
            <w:r>
              <w:rPr>
                <w:rFonts w:ascii="Times New Roman" w:eastAsia="Times New Roman" w:hAnsi="Times New Roman" w:cs="Times New Roman"/>
                <w:color w:val="000000"/>
                <w:spacing w:val="0"/>
                <w:w w:val="100"/>
                <w:position w:val="0"/>
                <w:sz w:val="22"/>
                <w:szCs w:val="22"/>
              </w:rPr>
              <w:t>910,553.48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1,334,745.51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22"/>
                <w:szCs w:val="22"/>
              </w:rPr>
            </w:pPr>
            <w:r>
              <w:rPr>
                <w:rFonts w:ascii="Times New Roman" w:eastAsia="Times New Roman" w:hAnsi="Times New Roman" w:cs="Times New Roman"/>
                <w:color w:val="000000"/>
                <w:spacing w:val="0"/>
                <w:w w:val="100"/>
                <w:position w:val="0"/>
                <w:sz w:val="22"/>
                <w:szCs w:val="22"/>
              </w:rPr>
              <w:t>1,861,979.15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140,722.49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22"/>
                <w:szCs w:val="22"/>
              </w:rPr>
            </w:pPr>
            <w:r>
              <w:rPr>
                <w:rFonts w:ascii="Times New Roman" w:eastAsia="Times New Roman" w:hAnsi="Times New Roman" w:cs="Times New Roman"/>
                <w:color w:val="000000"/>
                <w:spacing w:val="0"/>
                <w:w w:val="100"/>
                <w:position w:val="0"/>
                <w:sz w:val="22"/>
                <w:szCs w:val="22"/>
              </w:rPr>
              <w:t>1,239,397.68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41,381.77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22"/>
                <w:szCs w:val="22"/>
              </w:rPr>
            </w:pPr>
            <w:r>
              <w:rPr>
                <w:rFonts w:ascii="Times New Roman" w:eastAsia="Times New Roman" w:hAnsi="Times New Roman" w:cs="Times New Roman"/>
                <w:color w:val="000000"/>
                <w:spacing w:val="0"/>
                <w:w w:val="100"/>
                <w:position w:val="0"/>
                <w:sz w:val="22"/>
                <w:szCs w:val="22"/>
              </w:rPr>
              <w:t>128,587.59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441,333.02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泰铢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22"/>
                <w:szCs w:val="22"/>
              </w:rPr>
            </w:pPr>
            <w:r>
              <w:rPr>
                <w:rFonts w:ascii="Times New Roman" w:eastAsia="Times New Roman" w:hAnsi="Times New Roman" w:cs="Times New Roman"/>
                <w:color w:val="000000"/>
                <w:spacing w:val="0"/>
                <w:w w:val="100"/>
                <w:position w:val="0"/>
                <w:sz w:val="22"/>
                <w:szCs w:val="22"/>
              </w:rPr>
              <w:t>516,312.21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22"/>
                <w:szCs w:val="22"/>
              </w:rPr>
            </w:pPr>
            <w:r>
              <w:rPr>
                <w:rFonts w:ascii="Times New Roman" w:eastAsia="Times New Roman" w:hAnsi="Times New Roman" w:cs="Times New Roman"/>
                <w:color w:val="000000"/>
                <w:spacing w:val="0"/>
                <w:w w:val="100"/>
                <w:position w:val="0"/>
                <w:sz w:val="22"/>
                <w:szCs w:val="22"/>
              </w:rPr>
              <w:t>180,301.66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22"/>
                <w:szCs w:val="22"/>
              </w:rPr>
            </w:pPr>
            <w:r>
              <w:rPr>
                <w:rFonts w:ascii="Times New Roman" w:eastAsia="Times New Roman" w:hAnsi="Times New Roman" w:cs="Times New Roman"/>
                <w:color w:val="000000"/>
                <w:spacing w:val="0"/>
                <w:w w:val="100"/>
                <w:position w:val="0"/>
                <w:sz w:val="22"/>
                <w:szCs w:val="22"/>
              </w:rPr>
              <w:t>6,896,763.47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22"/>
                <w:szCs w:val="22"/>
              </w:rPr>
            </w:pPr>
            <w:r>
              <w:rPr>
                <w:rFonts w:ascii="Times New Roman" w:eastAsia="Times New Roman" w:hAnsi="Times New Roman" w:cs="Times New Roman"/>
                <w:color w:val="000000"/>
                <w:spacing w:val="0"/>
                <w:w w:val="100"/>
                <w:position w:val="0"/>
                <w:sz w:val="22"/>
                <w:szCs w:val="22"/>
              </w:rPr>
              <w:t>2,832,709.99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102,169,570.14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22"/>
                <w:szCs w:val="22"/>
              </w:rPr>
            </w:pPr>
            <w:r>
              <w:rPr>
                <w:rFonts w:ascii="Times New Roman" w:eastAsia="Times New Roman" w:hAnsi="Times New Roman" w:cs="Times New Roman"/>
                <w:color w:val="000000"/>
                <w:spacing w:val="0"/>
                <w:w w:val="100"/>
                <w:position w:val="0"/>
                <w:sz w:val="22"/>
                <w:szCs w:val="22"/>
              </w:rPr>
              <w:t>71,059,273.05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22"/>
                <w:szCs w:val="22"/>
              </w:rPr>
            </w:pPr>
            <w:r>
              <w:rPr>
                <w:rFonts w:ascii="Times New Roman" w:eastAsia="Times New Roman" w:hAnsi="Times New Roman" w:cs="Times New Roman"/>
                <w:color w:val="000000"/>
                <w:spacing w:val="0"/>
                <w:w w:val="100"/>
                <w:position w:val="0"/>
                <w:sz w:val="22"/>
                <w:szCs w:val="22"/>
              </w:rPr>
              <w:t>2,273,810.36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22"/>
                <w:szCs w:val="22"/>
              </w:rPr>
            </w:pPr>
            <w:r>
              <w:rPr>
                <w:rFonts w:ascii="Times New Roman" w:eastAsia="Times New Roman" w:hAnsi="Times New Roman" w:cs="Times New Roman"/>
                <w:color w:val="000000"/>
                <w:spacing w:val="0"/>
                <w:w w:val="100"/>
                <w:position w:val="0"/>
                <w:sz w:val="22"/>
                <w:szCs w:val="22"/>
              </w:rPr>
              <w:t>13,838,970.44</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澳门币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22"/>
                <w:szCs w:val="22"/>
              </w:rPr>
            </w:pPr>
            <w:r>
              <w:rPr>
                <w:rFonts w:ascii="Times New Roman" w:eastAsia="Times New Roman" w:hAnsi="Times New Roman" w:cs="Times New Roman"/>
                <w:color w:val="000000"/>
                <w:spacing w:val="0"/>
                <w:w w:val="100"/>
                <w:position w:val="0"/>
                <w:sz w:val="22"/>
                <w:szCs w:val="22"/>
              </w:rPr>
              <w:t>159,546.00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5,968.00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短期借款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22"/>
                <w:szCs w:val="22"/>
              </w:rPr>
            </w:pPr>
            <w:r>
              <w:rPr>
                <w:rFonts w:ascii="Times New Roman" w:eastAsia="Times New Roman" w:hAnsi="Times New Roman" w:cs="Times New Roman"/>
                <w:color w:val="000000"/>
                <w:spacing w:val="0"/>
                <w:w w:val="100"/>
                <w:position w:val="0"/>
                <w:sz w:val="22"/>
                <w:szCs w:val="22"/>
              </w:rPr>
              <w:t>20,434.98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短期借款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22"/>
                <w:szCs w:val="22"/>
              </w:rPr>
            </w:pPr>
            <w:r>
              <w:rPr>
                <w:rFonts w:ascii="Times New Roman" w:eastAsia="Times New Roman" w:hAnsi="Times New Roman" w:cs="Times New Roman"/>
                <w:color w:val="000000"/>
                <w:spacing w:val="0"/>
                <w:w w:val="100"/>
                <w:position w:val="0"/>
                <w:sz w:val="22"/>
                <w:szCs w:val="22"/>
              </w:rPr>
              <w:t>21,770.16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短期借款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以色列谢客尔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22"/>
                <w:szCs w:val="22"/>
              </w:rPr>
            </w:pPr>
            <w:r>
              <w:rPr>
                <w:rFonts w:ascii="Times New Roman" w:eastAsia="Times New Roman" w:hAnsi="Times New Roman" w:cs="Times New Roman"/>
                <w:color w:val="000000"/>
                <w:spacing w:val="0"/>
                <w:w w:val="100"/>
                <w:position w:val="0"/>
                <w:sz w:val="22"/>
                <w:szCs w:val="22"/>
              </w:rPr>
              <w:t>21,812.13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bl>
    <w:p>
      <w:pPr>
        <w:pStyle w:val="Style26"/>
        <w:keepNext w:val="0"/>
        <w:keepLines w:val="0"/>
        <w:widowControl w:val="0"/>
        <w:shd w:val="clear" w:color="auto" w:fill="auto"/>
        <w:bidi w:val="0"/>
        <w:spacing w:before="0" w:after="0" w:line="240" w:lineRule="auto"/>
        <w:ind w:left="432" w:right="0" w:firstLine="0"/>
        <w:jc w:val="left"/>
        <w:rPr>
          <w:sz w:val="22"/>
          <w:szCs w:val="22"/>
        </w:rPr>
      </w:pPr>
      <w:r>
        <w:rPr>
          <w:color w:val="000000"/>
          <w:spacing w:val="0"/>
          <w:w w:val="100"/>
          <w:position w:val="0"/>
          <w:sz w:val="22"/>
          <w:szCs w:val="22"/>
        </w:rPr>
        <w:t>本集团密切关注汇率变动对本集团的影响，重视对汇率风险管理政策和策略的研究。</w:t>
      </w:r>
    </w:p>
    <w:p>
      <w:pPr>
        <w:widowControl w:val="0"/>
        <w:spacing w:after="219" w:line="1" w:lineRule="exact"/>
      </w:pPr>
    </w:p>
    <w:p>
      <w:pPr>
        <w:pStyle w:val="Style35"/>
        <w:keepNext w:val="0"/>
        <w:keepLines w:val="0"/>
        <w:widowControl w:val="0"/>
        <w:shd w:val="clear" w:color="auto" w:fill="auto"/>
        <w:tabs>
          <w:tab w:pos="808" w:val="left"/>
        </w:tabs>
        <w:bidi w:val="0"/>
        <w:spacing w:before="0" w:after="220" w:line="314" w:lineRule="exact"/>
        <w:ind w:left="0" w:right="0" w:firstLine="440"/>
        <w:jc w:val="both"/>
        <w:rPr>
          <w:sz w:val="22"/>
          <w:szCs w:val="22"/>
        </w:rPr>
      </w:pPr>
      <w:bookmarkStart w:id="1640" w:name="bookmark1640"/>
      <w:r>
        <w:rPr>
          <w:rFonts w:ascii="Times New Roman" w:eastAsia="Times New Roman" w:hAnsi="Times New Roman" w:cs="Times New Roman"/>
          <w:color w:val="000000"/>
          <w:spacing w:val="0"/>
          <w:w w:val="100"/>
          <w:position w:val="0"/>
          <w:sz w:val="22"/>
          <w:szCs w:val="22"/>
        </w:rPr>
        <w:t>2</w:t>
      </w:r>
      <w:bookmarkEnd w:id="1640"/>
      <w:r>
        <w:rPr>
          <w:rFonts w:ascii="Times New Roman" w:eastAsia="Times New Roman" w:hAnsi="Times New Roman" w:cs="Times New Roman"/>
          <w:color w:val="000000"/>
          <w:spacing w:val="0"/>
          <w:w w:val="100"/>
          <w:position w:val="0"/>
          <w:sz w:val="22"/>
          <w:szCs w:val="22"/>
        </w:rPr>
        <w:t>）</w:t>
        <w:tab/>
      </w:r>
      <w:r>
        <w:rPr>
          <w:color w:val="000000"/>
          <w:spacing w:val="0"/>
          <w:w w:val="100"/>
          <w:position w:val="0"/>
          <w:sz w:val="22"/>
          <w:szCs w:val="22"/>
        </w:rPr>
        <w:t>利率风险</w:t>
      </w:r>
    </w:p>
    <w:p>
      <w:pPr>
        <w:pStyle w:val="Style35"/>
        <w:keepNext w:val="0"/>
        <w:keepLines w:val="0"/>
        <w:widowControl w:val="0"/>
        <w:shd w:val="clear" w:color="auto" w:fill="auto"/>
        <w:bidi w:val="0"/>
        <w:spacing w:before="0" w:after="220" w:line="314" w:lineRule="exact"/>
        <w:ind w:left="0" w:right="0" w:firstLine="440"/>
        <w:jc w:val="both"/>
        <w:rPr>
          <w:sz w:val="22"/>
          <w:szCs w:val="22"/>
        </w:rPr>
      </w:pPr>
      <w:r>
        <w:rPr>
          <w:color w:val="000000"/>
          <w:spacing w:val="0"/>
          <w:w w:val="100"/>
          <w:position w:val="0"/>
          <w:sz w:val="22"/>
          <w:szCs w:val="22"/>
        </w:rPr>
        <w:t>本集团期末无银行借款及无应付债券，不存在利率风险。</w:t>
      </w:r>
    </w:p>
    <w:p>
      <w:pPr>
        <w:pStyle w:val="Style35"/>
        <w:keepNext w:val="0"/>
        <w:keepLines w:val="0"/>
        <w:widowControl w:val="0"/>
        <w:shd w:val="clear" w:color="auto" w:fill="auto"/>
        <w:tabs>
          <w:tab w:pos="837" w:val="left"/>
        </w:tabs>
        <w:bidi w:val="0"/>
        <w:spacing w:before="0" w:after="220" w:line="314" w:lineRule="exact"/>
        <w:ind w:left="0" w:right="0" w:firstLine="440"/>
        <w:jc w:val="both"/>
        <w:rPr>
          <w:sz w:val="22"/>
          <w:szCs w:val="22"/>
        </w:rPr>
      </w:pPr>
      <w:bookmarkStart w:id="1641" w:name="bookmark1641"/>
      <w:r>
        <w:rPr>
          <w:rFonts w:ascii="Times New Roman" w:eastAsia="Times New Roman" w:hAnsi="Times New Roman" w:cs="Times New Roman"/>
          <w:color w:val="000000"/>
          <w:spacing w:val="0"/>
          <w:w w:val="100"/>
          <w:position w:val="0"/>
          <w:sz w:val="22"/>
          <w:szCs w:val="22"/>
        </w:rPr>
        <w:t>3</w:t>
      </w:r>
      <w:bookmarkEnd w:id="1641"/>
      <w:r>
        <w:rPr>
          <w:color w:val="000000"/>
          <w:spacing w:val="0"/>
          <w:w w:val="100"/>
          <w:position w:val="0"/>
          <w:sz w:val="22"/>
          <w:szCs w:val="22"/>
        </w:rPr>
        <w:t>）</w:t>
        <w:tab/>
        <w:t>价格风险</w:t>
      </w:r>
    </w:p>
    <w:p>
      <w:pPr>
        <w:pStyle w:val="Style35"/>
        <w:keepNext w:val="0"/>
        <w:keepLines w:val="0"/>
        <w:widowControl w:val="0"/>
        <w:shd w:val="clear" w:color="auto" w:fill="auto"/>
        <w:bidi w:val="0"/>
        <w:spacing w:before="0" w:after="220" w:line="314" w:lineRule="exact"/>
        <w:ind w:left="0" w:right="0" w:firstLine="440"/>
        <w:jc w:val="both"/>
        <w:rPr>
          <w:sz w:val="22"/>
          <w:szCs w:val="22"/>
        </w:rPr>
      </w:pPr>
      <w:r>
        <w:rPr>
          <w:color w:val="000000"/>
          <w:spacing w:val="0"/>
          <w:w w:val="100"/>
          <w:position w:val="0"/>
          <w:sz w:val="22"/>
          <w:szCs w:val="22"/>
        </w:rPr>
        <w:t>本集团目前未面临其他重大价格风险。</w:t>
      </w:r>
    </w:p>
    <w:p>
      <w:pPr>
        <w:pStyle w:val="Style35"/>
        <w:keepNext w:val="0"/>
        <w:keepLines w:val="0"/>
        <w:widowControl w:val="0"/>
        <w:shd w:val="clear" w:color="auto" w:fill="auto"/>
        <w:tabs>
          <w:tab w:pos="862" w:val="left"/>
        </w:tabs>
        <w:bidi w:val="0"/>
        <w:spacing w:before="0" w:after="220" w:line="314" w:lineRule="exact"/>
        <w:ind w:left="0" w:right="0" w:firstLine="360"/>
        <w:jc w:val="both"/>
        <w:rPr>
          <w:sz w:val="22"/>
          <w:szCs w:val="22"/>
        </w:rPr>
      </w:pPr>
      <w:bookmarkStart w:id="1642" w:name="bookmark1642"/>
      <w:r>
        <w:rPr>
          <w:color w:val="000000"/>
          <w:spacing w:val="0"/>
          <w:w w:val="100"/>
          <w:position w:val="0"/>
          <w:sz w:val="22"/>
          <w:szCs w:val="22"/>
        </w:rPr>
        <w:t>（</w:t>
      </w:r>
      <w:bookmarkEnd w:id="1642"/>
      <w:r>
        <w:rPr>
          <w:color w:val="000000"/>
          <w:spacing w:val="0"/>
          <w:w w:val="100"/>
          <w:position w:val="0"/>
          <w:sz w:val="22"/>
          <w:szCs w:val="22"/>
        </w:rPr>
        <w:t>2）</w:t>
        <w:tab/>
      </w:r>
      <w:r>
        <w:rPr>
          <w:color w:val="000000"/>
          <w:spacing w:val="0"/>
          <w:w w:val="100"/>
          <w:position w:val="0"/>
          <w:sz w:val="22"/>
          <w:szCs w:val="22"/>
        </w:rPr>
        <w:t>信用风险</w:t>
      </w:r>
    </w:p>
    <w:p>
      <w:pPr>
        <w:pStyle w:val="Style35"/>
        <w:keepNext w:val="0"/>
        <w:keepLines w:val="0"/>
        <w:widowControl w:val="0"/>
        <w:shd w:val="clear" w:color="auto" w:fill="auto"/>
        <w:bidi w:val="0"/>
        <w:spacing w:before="0" w:after="220" w:line="331" w:lineRule="exact"/>
        <w:ind w:left="360" w:right="0" w:firstLine="44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0</w:t>
      </w:r>
      <w:r>
        <w:rPr>
          <w:color w:val="000000"/>
          <w:spacing w:val="0"/>
          <w:w w:val="100"/>
          <w:position w:val="0"/>
          <w:sz w:val="22"/>
          <w:szCs w:val="22"/>
        </w:rPr>
        <w:t>，可能引起本集团财务损失的最大信用风险敞口主要来自于合同另一方未 能履行义务而导致本集团金融资产产生的损失，具体包括：</w:t>
      </w:r>
    </w:p>
    <w:p>
      <w:pPr>
        <w:pStyle w:val="Style35"/>
        <w:keepNext w:val="0"/>
        <w:keepLines w:val="0"/>
        <w:widowControl w:val="0"/>
        <w:shd w:val="clear" w:color="auto" w:fill="auto"/>
        <w:bidi w:val="0"/>
        <w:spacing w:before="0" w:after="220" w:line="314" w:lineRule="exact"/>
        <w:ind w:left="360" w:right="0" w:firstLine="440"/>
        <w:jc w:val="both"/>
        <w:rPr>
          <w:sz w:val="22"/>
          <w:szCs w:val="22"/>
        </w:rPr>
      </w:pPr>
      <w:r>
        <w:rPr>
          <w:color w:val="000000"/>
          <w:spacing w:val="0"/>
          <w:w w:val="100"/>
          <w:position w:val="0"/>
          <w:sz w:val="22"/>
          <w:szCs w:val="22"/>
        </w:rPr>
        <w:t>合并资产负债表中已确认的金融资产的账面金额；对于以公允价值计量的金融工具而言，账 面价值反映了其风险敞口，但并非最大风险敞口，其最大风险敞口将随着未来公允价值的变化而 改变。</w:t>
      </w:r>
    </w:p>
    <w:p>
      <w:pPr>
        <w:pStyle w:val="Style35"/>
        <w:keepNext w:val="0"/>
        <w:keepLines w:val="0"/>
        <w:widowControl w:val="0"/>
        <w:shd w:val="clear" w:color="auto" w:fill="auto"/>
        <w:bidi w:val="0"/>
        <w:spacing w:before="0" w:after="220" w:line="314" w:lineRule="exact"/>
        <w:ind w:left="0" w:right="0" w:firstLine="800"/>
        <w:jc w:val="both"/>
        <w:rPr>
          <w:sz w:val="22"/>
          <w:szCs w:val="22"/>
        </w:rPr>
      </w:pPr>
      <w:r>
        <w:rPr>
          <w:color w:val="000000"/>
          <w:spacing w:val="0"/>
          <w:w w:val="100"/>
          <w:position w:val="0"/>
          <w:sz w:val="22"/>
          <w:szCs w:val="22"/>
        </w:rPr>
        <w:t>本集团的流动资金存放在信用评级较高的银行，故流动资金的信用风险较低。</w:t>
      </w:r>
    </w:p>
    <w:p>
      <w:pPr>
        <w:pStyle w:val="Style35"/>
        <w:keepNext w:val="0"/>
        <w:keepLines w:val="0"/>
        <w:widowControl w:val="0"/>
        <w:shd w:val="clear" w:color="auto" w:fill="auto"/>
        <w:bidi w:val="0"/>
        <w:spacing w:before="0" w:after="220" w:line="312" w:lineRule="exact"/>
        <w:ind w:left="360" w:right="0" w:firstLine="440"/>
        <w:jc w:val="both"/>
        <w:rPr>
          <w:sz w:val="22"/>
          <w:szCs w:val="22"/>
        </w:rPr>
      </w:pPr>
      <w:r>
        <w:rPr>
          <w:color w:val="000000"/>
          <w:spacing w:val="0"/>
          <w:w w:val="100"/>
          <w:position w:val="0"/>
          <w:sz w:val="22"/>
          <w:szCs w:val="22"/>
        </w:rPr>
        <w:t>本集团采用了必要的政策确保所有销售客户均具有良好的信用记录。除应收账款金额前五名 夕卜，本集团无其他重大信用集中风险。</w:t>
      </w:r>
    </w:p>
    <w:p>
      <w:pPr>
        <w:pStyle w:val="Style35"/>
        <w:keepNext w:val="0"/>
        <w:keepLines w:val="0"/>
        <w:widowControl w:val="0"/>
        <w:shd w:val="clear" w:color="auto" w:fill="auto"/>
        <w:bidi w:val="0"/>
        <w:spacing w:before="0" w:after="220" w:line="314" w:lineRule="exact"/>
        <w:ind w:left="0" w:right="0" w:firstLine="800"/>
        <w:jc w:val="both"/>
        <w:rPr>
          <w:sz w:val="22"/>
          <w:szCs w:val="22"/>
        </w:rPr>
      </w:pPr>
      <w:r>
        <w:rPr>
          <w:color w:val="000000"/>
          <w:spacing w:val="0"/>
          <w:w w:val="100"/>
          <w:position w:val="0"/>
          <w:sz w:val="22"/>
          <w:szCs w:val="22"/>
        </w:rPr>
        <w:t>应收账款前五名金额合计：</w:t>
      </w:r>
      <w:r>
        <w:rPr>
          <w:rFonts w:ascii="Times New Roman" w:eastAsia="Times New Roman" w:hAnsi="Times New Roman" w:cs="Times New Roman"/>
          <w:color w:val="000000"/>
          <w:spacing w:val="0"/>
          <w:w w:val="100"/>
          <w:position w:val="0"/>
          <w:sz w:val="22"/>
          <w:szCs w:val="22"/>
        </w:rPr>
        <w:t>50,658,640.4</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元。</w:t>
      </w:r>
    </w:p>
    <w:p>
      <w:pPr>
        <w:pStyle w:val="Style35"/>
        <w:keepNext w:val="0"/>
        <w:keepLines w:val="0"/>
        <w:widowControl w:val="0"/>
        <w:shd w:val="clear" w:color="auto" w:fill="auto"/>
        <w:tabs>
          <w:tab w:pos="862" w:val="left"/>
        </w:tabs>
        <w:bidi w:val="0"/>
        <w:spacing w:before="0" w:after="220" w:line="314" w:lineRule="exact"/>
        <w:ind w:left="0" w:right="0" w:firstLine="360"/>
        <w:jc w:val="both"/>
        <w:rPr>
          <w:sz w:val="22"/>
          <w:szCs w:val="22"/>
        </w:rPr>
      </w:pPr>
      <w:bookmarkStart w:id="1643" w:name="bookmark1643"/>
      <w:r>
        <w:rPr>
          <w:color w:val="000000"/>
          <w:spacing w:val="0"/>
          <w:w w:val="100"/>
          <w:position w:val="0"/>
          <w:sz w:val="22"/>
          <w:szCs w:val="22"/>
        </w:rPr>
        <w:t>（</w:t>
      </w:r>
      <w:bookmarkEnd w:id="1643"/>
      <w:r>
        <w:rPr>
          <w:color w:val="000000"/>
          <w:spacing w:val="0"/>
          <w:w w:val="100"/>
          <w:position w:val="0"/>
          <w:sz w:val="22"/>
          <w:szCs w:val="22"/>
        </w:rPr>
        <w:t>3）</w:t>
        <w:tab/>
      </w:r>
      <w:r>
        <w:rPr>
          <w:color w:val="000000"/>
          <w:spacing w:val="0"/>
          <w:w w:val="100"/>
          <w:position w:val="0"/>
          <w:sz w:val="22"/>
          <w:szCs w:val="22"/>
        </w:rPr>
        <w:t>流动风险</w:t>
      </w:r>
    </w:p>
    <w:p>
      <w:pPr>
        <w:pStyle w:val="Style35"/>
        <w:keepNext w:val="0"/>
        <w:keepLines w:val="0"/>
        <w:widowControl w:val="0"/>
        <w:shd w:val="clear" w:color="auto" w:fill="auto"/>
        <w:bidi w:val="0"/>
        <w:spacing w:before="0" w:after="220" w:line="314" w:lineRule="exact"/>
        <w:ind w:left="0" w:right="0" w:firstLine="440"/>
        <w:jc w:val="both"/>
        <w:rPr>
          <w:sz w:val="22"/>
          <w:szCs w:val="22"/>
        </w:rPr>
      </w:pPr>
      <w:r>
        <w:rPr>
          <w:color w:val="000000"/>
          <w:spacing w:val="0"/>
          <w:w w:val="100"/>
          <w:position w:val="0"/>
          <w:sz w:val="22"/>
          <w:szCs w:val="22"/>
        </w:rPr>
        <w:t>流动风险为本集团在到期日无法履行其财务义务的风险。本集团管理流动性风险的方法是确保有 足够的资金流动性来履行到期债务，而不至于造成不可接受的损失或对企业信誉造成损害。本集团定 期分析负债结构和期限，以确保有充裕的资金。</w:t>
      </w:r>
    </w:p>
    <w:p>
      <w:pPr>
        <w:pStyle w:val="Style35"/>
        <w:keepNext w:val="0"/>
        <w:keepLines w:val="0"/>
        <w:widowControl w:val="0"/>
        <w:shd w:val="clear" w:color="auto" w:fill="auto"/>
        <w:bidi w:val="0"/>
        <w:spacing w:before="0" w:after="240" w:line="312" w:lineRule="exact"/>
        <w:ind w:left="0" w:right="0" w:firstLine="440"/>
        <w:jc w:val="both"/>
        <w:rPr>
          <w:sz w:val="22"/>
          <w:szCs w:val="22"/>
        </w:rPr>
      </w:pPr>
      <w:r>
        <w:rPr>
          <w:i/>
          <w:iCs/>
          <w:color w:val="000000"/>
          <w:spacing w:val="0"/>
          <w:w w:val="100"/>
          <w:position w:val="0"/>
          <w:sz w:val="22"/>
          <w:szCs w:val="22"/>
        </w:rPr>
        <w:t>本集团通过利用银行存款及债务维持资金延续性与灵活性之间的平衡,以管理其流动性风险,本 集团的目标是运用多种融资手段以保持公司的正常运行。</w:t>
      </w:r>
    </w:p>
    <w:p>
      <w:pPr>
        <w:pStyle w:val="Style35"/>
        <w:keepNext w:val="0"/>
        <w:keepLines w:val="0"/>
        <w:widowControl w:val="0"/>
        <w:shd w:val="clear" w:color="auto" w:fill="auto"/>
        <w:bidi w:val="0"/>
        <w:spacing w:before="0" w:after="240" w:line="312" w:lineRule="exact"/>
        <w:ind w:left="0" w:right="0" w:firstLine="380"/>
        <w:jc w:val="both"/>
        <w:rPr>
          <w:sz w:val="22"/>
          <w:szCs w:val="22"/>
        </w:rPr>
      </w:pPr>
      <w:r>
        <w:rPr>
          <w:color w:val="000000"/>
          <w:spacing w:val="0"/>
          <w:w w:val="100"/>
          <w:position w:val="0"/>
          <w:sz w:val="22"/>
          <w:szCs w:val="22"/>
        </w:rPr>
        <w:t>2</w:t>
      </w:r>
      <w:r>
        <w:rPr>
          <w:color w:val="000000"/>
          <w:spacing w:val="0"/>
          <w:w w:val="100"/>
          <w:position w:val="0"/>
          <w:sz w:val="22"/>
          <w:szCs w:val="22"/>
        </w:rPr>
        <w:t>、敏感性分析</w:t>
      </w:r>
    </w:p>
    <w:p>
      <w:pPr>
        <w:pStyle w:val="Style35"/>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本集团采用敏感性分析技术分析风险变量的合理、可能变化对当期损益或股东权益可能产生的影 响。由于任何风险变量很少孤立的发生变化，而变量之间存在的相关性对某一风险变量变化的最终影 响金额将产生重大作用，因此下述内容是在假设每一变量的变化是独立的情况下进行的。</w:t>
      </w:r>
    </w:p>
    <w:p>
      <w:pPr>
        <w:pStyle w:val="Style35"/>
        <w:keepNext w:val="0"/>
        <w:keepLines w:val="0"/>
        <w:widowControl w:val="0"/>
        <w:shd w:val="clear" w:color="auto" w:fill="auto"/>
        <w:bidi w:val="0"/>
        <w:spacing w:before="0" w:after="240" w:line="312" w:lineRule="exact"/>
        <w:ind w:left="0" w:right="0" w:firstLine="380"/>
        <w:jc w:val="both"/>
        <w:rPr>
          <w:sz w:val="22"/>
          <w:szCs w:val="22"/>
        </w:rPr>
      </w:pPr>
      <w:r>
        <w:rPr>
          <w:color w:val="000000"/>
          <w:spacing w:val="0"/>
          <w:w w:val="100"/>
          <w:position w:val="0"/>
          <w:sz w:val="22"/>
          <w:szCs w:val="22"/>
        </w:rPr>
        <w:t>(1)</w:t>
      </w:r>
      <w:r>
        <w:rPr>
          <w:color w:val="000000"/>
          <w:spacing w:val="0"/>
          <w:w w:val="100"/>
          <w:position w:val="0"/>
          <w:sz w:val="22"/>
          <w:szCs w:val="22"/>
        </w:rPr>
        <w:t>外汇风险敏感性分析</w:t>
      </w:r>
    </w:p>
    <w:p>
      <w:pPr>
        <w:pStyle w:val="Style35"/>
        <w:keepNext w:val="0"/>
        <w:keepLines w:val="0"/>
        <w:widowControl w:val="0"/>
        <w:shd w:val="clear" w:color="auto" w:fill="auto"/>
        <w:bidi w:val="0"/>
        <w:spacing w:before="0" w:after="240" w:line="312" w:lineRule="exact"/>
        <w:ind w:left="0" w:right="0" w:firstLine="380"/>
        <w:jc w:val="both"/>
        <w:rPr>
          <w:sz w:val="22"/>
          <w:szCs w:val="22"/>
        </w:rPr>
      </w:pPr>
      <w:r>
        <w:rPr>
          <w:color w:val="000000"/>
          <w:spacing w:val="0"/>
          <w:w w:val="100"/>
          <w:position w:val="0"/>
          <w:sz w:val="22"/>
          <w:szCs w:val="22"/>
        </w:rPr>
        <w:t>外汇风险敏感性分析假设：所有境外经营净投资套期及现金流量套期均高度有效。</w:t>
      </w:r>
    </w:p>
    <w:p>
      <w:pPr>
        <w:pStyle w:val="Style35"/>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在上述假设的基础上，在其它变量不变的情况下，汇率可能发生的合理变动对当期损益和权益的 税后影响如下：</w:t>
      </w:r>
    </w:p>
    <w:tbl>
      <w:tblPr>
        <w:tblOverlap w:val="never"/>
        <w:jc w:val="left"/>
        <w:tblLayout w:type="fixed"/>
      </w:tblPr>
      <w:tblGrid>
        <w:gridCol w:w="1003"/>
        <w:gridCol w:w="1814"/>
        <w:gridCol w:w="1354"/>
        <w:gridCol w:w="1742"/>
        <w:gridCol w:w="1363"/>
        <w:gridCol w:w="1579"/>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汇率变动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2"/>
                <w:szCs w:val="22"/>
              </w:rPr>
              <w:t>年度</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2"/>
                <w:szCs w:val="22"/>
              </w:rPr>
              <w:t>年度</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22"/>
                <w:szCs w:val="22"/>
              </w:rPr>
            </w:pPr>
            <w:r>
              <w:rPr>
                <w:b/>
                <w:bCs/>
                <w:color w:val="000000"/>
                <w:spacing w:val="0"/>
                <w:w w:val="100"/>
                <w:position w:val="0"/>
                <w:sz w:val="22"/>
                <w:szCs w:val="22"/>
              </w:rPr>
              <w:t>对净利润 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rPr>
                <w:sz w:val="22"/>
                <w:szCs w:val="22"/>
              </w:rPr>
            </w:pPr>
            <w:r>
              <w:rPr>
                <w:b/>
                <w:bCs/>
                <w:color w:val="000000"/>
                <w:spacing w:val="0"/>
                <w:w w:val="100"/>
                <w:position w:val="0"/>
                <w:sz w:val="22"/>
                <w:szCs w:val="22"/>
              </w:rPr>
              <w:t>对所有者权益 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22"/>
                <w:szCs w:val="22"/>
              </w:rPr>
            </w:pPr>
            <w:r>
              <w:rPr>
                <w:b/>
                <w:bCs/>
                <w:color w:val="000000"/>
                <w:spacing w:val="0"/>
                <w:w w:val="100"/>
                <w:position w:val="0"/>
                <w:sz w:val="22"/>
                <w:szCs w:val="22"/>
              </w:rPr>
              <w:t>对净利润 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22"/>
                <w:szCs w:val="22"/>
              </w:rPr>
            </w:pPr>
            <w:r>
              <w:rPr>
                <w:b/>
                <w:bCs/>
                <w:color w:val="000000"/>
                <w:spacing w:val="0"/>
                <w:w w:val="100"/>
                <w:position w:val="0"/>
                <w:sz w:val="22"/>
                <w:szCs w:val="22"/>
              </w:rPr>
              <w:t>对所有者权益 的影响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所有外币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对人民币升值</w:t>
            </w: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2,974,894.47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102,115,522.10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2,765,176.21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114,166,899.42</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所有外币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对人民币贬值</w:t>
            </w:r>
            <w:r>
              <w:rPr>
                <w:rFonts w:ascii="Times New Roman" w:eastAsia="Times New Roman" w:hAnsi="Times New Roman" w:cs="Times New Roman"/>
                <w:color w:val="000000"/>
                <w:spacing w:val="0"/>
                <w:w w:val="100"/>
                <w:position w:val="0"/>
                <w:sz w:val="22"/>
                <w:szCs w:val="22"/>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-2,974,894.47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-102,115,522.10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-2,765,176.21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-114,166,899.42</w:t>
            </w:r>
          </w:p>
        </w:tc>
      </w:tr>
    </w:tbl>
    <w:p>
      <w:pPr>
        <w:pStyle w:val="Style26"/>
        <w:keepNext w:val="0"/>
        <w:keepLines w:val="0"/>
        <w:widowControl w:val="0"/>
        <w:shd w:val="clear" w:color="auto" w:fill="auto"/>
        <w:bidi w:val="0"/>
        <w:spacing w:before="0" w:after="0" w:line="240" w:lineRule="auto"/>
        <w:ind w:left="466" w:right="0" w:firstLine="0"/>
        <w:jc w:val="left"/>
        <w:rPr>
          <w:sz w:val="22"/>
          <w:szCs w:val="22"/>
        </w:rPr>
      </w:pPr>
      <w:r>
        <w:rPr>
          <w:color w:val="000000"/>
          <w:spacing w:val="0"/>
          <w:w w:val="100"/>
          <w:position w:val="0"/>
          <w:sz w:val="22"/>
          <w:szCs w:val="22"/>
        </w:rPr>
        <w:t>(2)</w:t>
      </w:r>
      <w:r>
        <w:rPr>
          <w:color w:val="000000"/>
          <w:spacing w:val="0"/>
          <w:w w:val="100"/>
          <w:position w:val="0"/>
          <w:sz w:val="22"/>
          <w:szCs w:val="22"/>
        </w:rPr>
        <w:t>利率风险敏感性分析</w:t>
      </w:r>
    </w:p>
    <w:p>
      <w:pPr>
        <w:widowControl w:val="0"/>
        <w:spacing w:after="239" w:line="1" w:lineRule="exact"/>
      </w:pPr>
    </w:p>
    <w:p>
      <w:pPr>
        <w:pStyle w:val="Style35"/>
        <w:keepNext w:val="0"/>
        <w:keepLines w:val="0"/>
        <w:widowControl w:val="0"/>
        <w:shd w:val="clear" w:color="auto" w:fill="auto"/>
        <w:bidi w:val="0"/>
        <w:spacing w:before="0" w:after="240" w:line="312" w:lineRule="exact"/>
        <w:ind w:left="0" w:right="0" w:firstLine="380"/>
        <w:jc w:val="both"/>
        <w:rPr>
          <w:sz w:val="22"/>
          <w:szCs w:val="22"/>
        </w:rPr>
      </w:pPr>
      <w:r>
        <w:rPr>
          <w:color w:val="000000"/>
          <w:spacing w:val="0"/>
          <w:w w:val="100"/>
          <w:position w:val="0"/>
          <w:sz w:val="22"/>
          <w:szCs w:val="22"/>
        </w:rPr>
        <w:t>利率风险敏感性分析基于下述假设：</w:t>
      </w:r>
    </w:p>
    <w:p>
      <w:pPr>
        <w:pStyle w:val="Style35"/>
        <w:keepNext w:val="0"/>
        <w:keepLines w:val="0"/>
        <w:widowControl w:val="0"/>
        <w:shd w:val="clear" w:color="auto" w:fill="auto"/>
        <w:bidi w:val="0"/>
        <w:spacing w:before="0" w:after="240" w:line="312" w:lineRule="exact"/>
        <w:ind w:left="0" w:right="0" w:firstLine="380"/>
        <w:jc w:val="both"/>
        <w:rPr>
          <w:sz w:val="22"/>
          <w:szCs w:val="22"/>
        </w:rPr>
      </w:pPr>
      <w:r>
        <w:rPr>
          <w:color w:val="000000"/>
          <w:spacing w:val="0"/>
          <w:w w:val="100"/>
          <w:position w:val="0"/>
          <w:sz w:val="22"/>
          <w:szCs w:val="22"/>
        </w:rPr>
        <w:t>市场利率变化影响可变利率金融工具的利息收入或费用；</w:t>
      </w:r>
    </w:p>
    <w:p>
      <w:pPr>
        <w:pStyle w:val="Style35"/>
        <w:keepNext w:val="0"/>
        <w:keepLines w:val="0"/>
        <w:widowControl w:val="0"/>
        <w:shd w:val="clear" w:color="auto" w:fill="auto"/>
        <w:bidi w:val="0"/>
        <w:spacing w:before="0" w:after="240" w:line="312" w:lineRule="exact"/>
        <w:ind w:left="0" w:right="0" w:firstLine="380"/>
        <w:jc w:val="both"/>
        <w:rPr>
          <w:sz w:val="22"/>
          <w:szCs w:val="22"/>
        </w:rPr>
      </w:pPr>
      <w:r>
        <w:rPr>
          <w:color w:val="000000"/>
          <w:spacing w:val="0"/>
          <w:w w:val="100"/>
          <w:position w:val="0"/>
          <w:sz w:val="22"/>
          <w:szCs w:val="22"/>
        </w:rPr>
        <w:t>对于以公允价值计量的固定利率金融工具，市场利率变化仅仅影响其利息收入或费用；</w:t>
      </w:r>
    </w:p>
    <w:p>
      <w:pPr>
        <w:pStyle w:val="Style35"/>
        <w:keepNext w:val="0"/>
        <w:keepLines w:val="0"/>
        <w:widowControl w:val="0"/>
        <w:shd w:val="clear" w:color="auto" w:fill="auto"/>
        <w:bidi w:val="0"/>
        <w:spacing w:before="0" w:after="240" w:line="312" w:lineRule="exact"/>
        <w:ind w:left="0" w:right="0" w:firstLine="440"/>
        <w:jc w:val="left"/>
        <w:rPr>
          <w:sz w:val="22"/>
          <w:szCs w:val="22"/>
        </w:rPr>
      </w:pPr>
      <w:r>
        <w:rPr>
          <w:color w:val="000000"/>
          <w:spacing w:val="0"/>
          <w:w w:val="100"/>
          <w:position w:val="0"/>
          <w:sz w:val="22"/>
          <w:szCs w:val="22"/>
        </w:rPr>
        <w:t>以资产负债表日市场利率采用现金流量折现法计算衍生金融工具及其它金融资产和负债的公允 价值变化。</w:t>
      </w:r>
    </w:p>
    <w:p>
      <w:pPr>
        <w:pStyle w:val="Style35"/>
        <w:keepNext w:val="0"/>
        <w:keepLines w:val="0"/>
        <w:widowControl w:val="0"/>
        <w:shd w:val="clear" w:color="auto" w:fill="auto"/>
        <w:bidi w:val="0"/>
        <w:spacing w:before="0" w:after="160" w:line="312" w:lineRule="exact"/>
        <w:ind w:left="0" w:right="0" w:firstLine="440"/>
        <w:jc w:val="left"/>
        <w:rPr>
          <w:sz w:val="22"/>
          <w:szCs w:val="22"/>
        </w:rPr>
      </w:pPr>
      <w:r>
        <w:rPr>
          <w:color w:val="000000"/>
          <w:spacing w:val="0"/>
          <w:w w:val="100"/>
          <w:position w:val="0"/>
          <w:sz w:val="22"/>
          <w:szCs w:val="22"/>
        </w:rPr>
        <w:t>在上述假设的基础上，在其它变量不变的情况下，利率可能发生的合理变动对当期损益和权益的 税后影响如下：</w:t>
      </w:r>
    </w:p>
    <w:tbl>
      <w:tblPr>
        <w:tblOverlap w:val="never"/>
        <w:jc w:val="center"/>
        <w:tblLayout w:type="fixed"/>
      </w:tblPr>
      <w:tblGrid>
        <w:gridCol w:w="2462"/>
        <w:gridCol w:w="1805"/>
        <w:gridCol w:w="2530"/>
        <w:gridCol w:w="2419"/>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2"/>
                <w:szCs w:val="22"/>
              </w:rPr>
            </w:pPr>
            <w:r>
              <w:rPr>
                <w:b/>
                <w:bCs/>
                <w:color w:val="000000"/>
                <w:spacing w:val="0"/>
                <w:w w:val="100"/>
                <w:position w:val="0"/>
                <w:sz w:val="22"/>
                <w:szCs w:val="22"/>
              </w:rPr>
              <w:t>利率变动</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2"/>
                <w:szCs w:val="22"/>
              </w:rPr>
              <w:t>年度</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对净利润的影响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2"/>
                <w:szCs w:val="22"/>
              </w:rPr>
            </w:pPr>
            <w:r>
              <w:rPr>
                <w:b/>
                <w:bCs/>
                <w:color w:val="000000"/>
                <w:spacing w:val="0"/>
                <w:w w:val="100"/>
                <w:position w:val="0"/>
                <w:sz w:val="22"/>
                <w:szCs w:val="22"/>
              </w:rPr>
              <w:t>对股东权益的影响</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浮动利率借款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增加</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3,522.77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3,522.77</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浮动利率借款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减少</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-3,522.77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-3,522.77</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r>
        <w:rPr>
          <w:color w:val="000000"/>
          <w:spacing w:val="0"/>
          <w:w w:val="100"/>
          <w:position w:val="0"/>
        </w:rPr>
        <w:t>十^一、公允价值的披露</w:t>
      </w:r>
      <w:bookmarkEnd w:id="1644"/>
      <w:bookmarkEnd w:id="1645"/>
      <w:bookmarkEnd w:id="1646"/>
    </w:p>
    <w:p>
      <w:pPr>
        <w:pStyle w:val="Style32"/>
        <w:keepNext/>
        <w:keepLines/>
        <w:widowControl w:val="0"/>
        <w:shd w:val="clear" w:color="auto" w:fill="auto"/>
        <w:bidi w:val="0"/>
        <w:spacing w:before="0" w:after="320" w:line="240" w:lineRule="auto"/>
        <w:ind w:left="0" w:right="0" w:firstLine="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47"/>
      <w:bookmarkEnd w:id="1648"/>
      <w:bookmarkEnd w:id="16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第一层次公允价值计</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87,483,051.18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87,483,051.18</w:t>
            </w:r>
          </w:p>
        </w:tc>
      </w:tr>
      <w:tr>
        <w:trPr>
          <w:trHeight w:val="1022"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87,483,051.18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87,483,051.18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87,483,051.18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87,483,051.18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11,051,721.39</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11,051,721.39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11,051,721.39</w:t>
            </w:r>
          </w:p>
        </w:tc>
      </w:tr>
      <w:tr>
        <w:trPr>
          <w:trHeight w:val="720"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color w:val="000000"/>
          <w:spacing w:val="0"/>
          <w:w w:val="100"/>
          <w:position w:val="0"/>
        </w:rPr>
        <w:t>十二、关联方及关联交易</w:t>
      </w:r>
      <w:bookmarkEnd w:id="1650"/>
      <w:bookmarkEnd w:id="1651"/>
      <w:bookmarkEnd w:id="1652"/>
    </w:p>
    <w:p>
      <w:pPr>
        <w:pStyle w:val="Style32"/>
        <w:keepNext/>
        <w:keepLines/>
        <w:widowControl w:val="0"/>
        <w:shd w:val="clear" w:color="auto" w:fill="auto"/>
        <w:bidi w:val="0"/>
        <w:spacing w:before="0" w:after="32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53"/>
      <w:bookmarkEnd w:id="1654"/>
      <w:bookmarkEnd w:id="1655"/>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李仲初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本企业最终控制方是李仲初。</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2</w:t>
      </w:r>
      <w:bookmarkEnd w:id="1658"/>
      <w:r>
        <w:rPr>
          <w:color w:val="000000"/>
          <w:spacing w:val="0"/>
          <w:w w:val="100"/>
          <w:position w:val="0"/>
        </w:rPr>
        <w:t>、</w:t>
        <w:tab/>
        <w:t>本企业的子公司情况</w:t>
      </w:r>
      <w:bookmarkEnd w:id="1656"/>
      <w:bookmarkEnd w:id="1657"/>
      <w:bookmarkEnd w:id="165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3</w:t>
      </w:r>
      <w:bookmarkEnd w:id="1662"/>
      <w:r>
        <w:rPr>
          <w:color w:val="000000"/>
          <w:spacing w:val="0"/>
          <w:w w:val="100"/>
          <w:position w:val="0"/>
        </w:rPr>
        <w:t>、</w:t>
        <w:tab/>
        <w:t>本企业合营和联营企业情况</w:t>
      </w:r>
      <w:bookmarkEnd w:id="1660"/>
      <w:bookmarkEnd w:id="1661"/>
      <w:bookmarkEnd w:id="166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）重要的合营企业或联营企业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科传计算机科技控股有限公司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北京拓易科技有限公司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迅付信息科技有限公司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上海鸿鹊信息科技有限公司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2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4</w:t>
      </w:r>
      <w:bookmarkEnd w:id="1666"/>
      <w:r>
        <w:rPr>
          <w:color w:val="000000"/>
          <w:spacing w:val="0"/>
          <w:w w:val="100"/>
          <w:position w:val="0"/>
        </w:rPr>
        <w:t>、其他关联方情况</w:t>
      </w:r>
      <w:bookmarkEnd w:id="1664"/>
      <w:bookmarkEnd w:id="1665"/>
      <w:bookmarkEnd w:id="16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淘宝（中国）软件有限公司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其他持股在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以上的法人股东</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color w:val="000000"/>
          <w:spacing w:val="0"/>
          <w:w w:val="100"/>
          <w:position w:val="0"/>
        </w:rPr>
        <w:t>、关联交易情况</w:t>
      </w:r>
      <w:bookmarkEnd w:id="1668"/>
      <w:bookmarkEnd w:id="1669"/>
      <w:bookmarkEnd w:id="1671"/>
    </w:p>
    <w:p>
      <w:pPr>
        <w:pStyle w:val="Style32"/>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68"/>
      <w:bookmarkEnd w:id="1669"/>
      <w:bookmarkEnd w:id="167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013"/>
        <w:gridCol w:w="1450"/>
        <w:gridCol w:w="1709"/>
        <w:gridCol w:w="1709"/>
        <w:gridCol w:w="1714"/>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关联交易内 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北京科码先锋互联网技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北京拓易科技有限公司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57,431.44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上海鸿鹊信息科技有限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31,114.85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科传计算机科技控股有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25,471.70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727,225.52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727,225.52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6,432,566.67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6,110,407.73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上海鸿鹊信息科技有限公司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迅付信息科技有限公司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3,836.21</w:t>
            </w:r>
          </w:p>
        </w:tc>
      </w:tr>
    </w:tbl>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6,439,048.97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6,114,243.94</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673"/>
      <w:bookmarkEnd w:id="1674"/>
      <w:bookmarkEnd w:id="167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薪酬合计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7,942,400.00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9,033,400.00</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6</w:t>
      </w:r>
      <w:bookmarkEnd w:id="1678"/>
      <w:r>
        <w:rPr>
          <w:color w:val="000000"/>
          <w:spacing w:val="0"/>
          <w:w w:val="100"/>
          <w:position w:val="0"/>
        </w:rPr>
        <w:t>、关联方应收应付款项</w:t>
      </w:r>
      <w:bookmarkEnd w:id="1676"/>
      <w:bookmarkEnd w:id="1677"/>
      <w:bookmarkEnd w:id="1679"/>
    </w:p>
    <w:p>
      <w:pPr>
        <w:pStyle w:val="Style32"/>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6"/>
      <w:bookmarkEnd w:id="1677"/>
      <w:bookmarkEnd w:id="168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3120"/>
        <w:gridCol w:w="1277"/>
        <w:gridCol w:w="1272"/>
        <w:gridCol w:w="1277"/>
        <w:gridCol w:w="1214"/>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淘宝（中国）软件有限公司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4,130,773.76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206,538.69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3,484,388.43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174,219.42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240"/>
        <w:jc w:val="left"/>
      </w:pPr>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81"/>
      <w:bookmarkEnd w:id="1682"/>
      <w:bookmarkEnd w:id="168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3403"/>
        <w:gridCol w:w="2074"/>
        <w:gridCol w:w="2400"/>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2,773,937.37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科传计算机科技控股有限公司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北京拓易科技有限公司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北京科码先锋互联网技术股份有限公司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2"/>
        <w:keepNext/>
        <w:keepLines/>
        <w:widowControl w:val="0"/>
        <w:shd w:val="clear" w:color="auto" w:fill="auto"/>
        <w:bidi w:val="0"/>
        <w:spacing w:before="0" w:after="300" w:line="313" w:lineRule="exact"/>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7</w:t>
      </w:r>
      <w:bookmarkEnd w:id="1686"/>
      <w:r>
        <w:rPr>
          <w:color w:val="000000"/>
          <w:spacing w:val="0"/>
          <w:w w:val="100"/>
          <w:position w:val="0"/>
        </w:rPr>
        <w:t>、关联方承诺</w:t>
      </w:r>
      <w:bookmarkEnd w:id="1684"/>
      <w:bookmarkEnd w:id="1685"/>
      <w:bookmarkEnd w:id="1687"/>
    </w:p>
    <w:p>
      <w:pPr>
        <w:pStyle w:val="Style35"/>
        <w:keepNext w:val="0"/>
        <w:keepLines w:val="0"/>
        <w:widowControl w:val="0"/>
        <w:numPr>
          <w:ilvl w:val="0"/>
          <w:numId w:val="65"/>
        </w:numPr>
        <w:shd w:val="clear" w:color="auto" w:fill="auto"/>
        <w:tabs>
          <w:tab w:pos="353" w:val="left"/>
        </w:tabs>
        <w:bidi w:val="0"/>
        <w:spacing w:before="0" w:after="240" w:line="313" w:lineRule="exact"/>
        <w:ind w:left="380" w:right="0" w:hanging="380"/>
        <w:jc w:val="both"/>
        <w:rPr>
          <w:sz w:val="22"/>
          <w:szCs w:val="22"/>
        </w:rPr>
      </w:pPr>
      <w:bookmarkStart w:id="1688" w:name="bookmark1688"/>
      <w:bookmarkEnd w:id="1688"/>
      <w:r>
        <w:rPr>
          <w:color w:val="000000"/>
          <w:spacing w:val="0"/>
          <w:w w:val="100"/>
          <w:position w:val="0"/>
          <w:sz w:val="22"/>
          <w:szCs w:val="22"/>
        </w:rPr>
        <w:t>本集团之子公司中电器件固定资产中位于北京朝阳区新源街</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号楼房产目前未取得土地使用权 证。该房产建筑面积为</w:t>
      </w:r>
      <w:r>
        <w:rPr>
          <w:rFonts w:ascii="Times New Roman" w:eastAsia="Times New Roman" w:hAnsi="Times New Roman" w:cs="Times New Roman"/>
          <w:color w:val="000000"/>
          <w:spacing w:val="0"/>
          <w:w w:val="100"/>
          <w:position w:val="0"/>
          <w:sz w:val="22"/>
          <w:szCs w:val="22"/>
        </w:rPr>
        <w:t>1,521.80</w:t>
      </w:r>
      <w:r>
        <w:rPr>
          <w:color w:val="000000"/>
          <w:spacing w:val="0"/>
          <w:w w:val="100"/>
          <w:position w:val="0"/>
          <w:sz w:val="22"/>
          <w:szCs w:val="22"/>
        </w:rPr>
        <w:t>平方米，房产账面原值为</w:t>
      </w:r>
      <w:r>
        <w:rPr>
          <w:rFonts w:ascii="Times New Roman" w:eastAsia="Times New Roman" w:hAnsi="Times New Roman" w:cs="Times New Roman"/>
          <w:color w:val="000000"/>
          <w:spacing w:val="0"/>
          <w:w w:val="100"/>
          <w:position w:val="0"/>
          <w:sz w:val="22"/>
          <w:szCs w:val="22"/>
        </w:rPr>
        <w:t>1,157.84</w:t>
      </w:r>
      <w:r>
        <w:rPr>
          <w:color w:val="000000"/>
          <w:spacing w:val="0"/>
          <w:w w:val="100"/>
          <w:position w:val="0"/>
          <w:sz w:val="22"/>
          <w:szCs w:val="22"/>
        </w:rPr>
        <w:t>万元，目前用于对外出租，该房 产在公司</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年改制前由子公司的前身中国电子器件工业总公司所有，并已取得</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朝全字第</w:t>
      </w:r>
      <w:r>
        <w:rPr>
          <w:rFonts w:ascii="Times New Roman" w:eastAsia="Times New Roman" w:hAnsi="Times New Roman" w:cs="Times New Roman"/>
          <w:color w:val="000000"/>
          <w:spacing w:val="0"/>
          <w:w w:val="100"/>
          <w:position w:val="0"/>
          <w:sz w:val="22"/>
          <w:szCs w:val="22"/>
        </w:rPr>
        <w:t xml:space="preserve">08263 </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房产证，但未取得对应土地使用权证。中电器件</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年改制后，该房产一直由中电器件实际所 有并用于对外出租，且租金收益归中电器件所有。公司控股股东及实际控制人李仲初先生承诺， 如未来上市公司在正常运行中，因未取得该房产权属证明而遭受任何损失，李仲初先生承诺将给 予足额补偿。</w:t>
      </w:r>
    </w:p>
    <w:p>
      <w:pPr>
        <w:pStyle w:val="Style35"/>
        <w:keepNext w:val="0"/>
        <w:keepLines w:val="0"/>
        <w:widowControl w:val="0"/>
        <w:numPr>
          <w:ilvl w:val="0"/>
          <w:numId w:val="65"/>
        </w:numPr>
        <w:shd w:val="clear" w:color="auto" w:fill="auto"/>
        <w:tabs>
          <w:tab w:pos="353" w:val="left"/>
        </w:tabs>
        <w:bidi w:val="0"/>
        <w:spacing w:before="0" w:after="0" w:line="312" w:lineRule="exact"/>
        <w:ind w:left="380" w:right="0" w:hanging="380"/>
        <w:jc w:val="both"/>
        <w:rPr>
          <w:sz w:val="22"/>
          <w:szCs w:val="22"/>
        </w:rPr>
      </w:pPr>
      <w:bookmarkStart w:id="1689" w:name="bookmark1689"/>
      <w:bookmarkEnd w:id="1689"/>
      <w:r>
        <w:rPr>
          <w:color w:val="000000"/>
          <w:spacing w:val="0"/>
          <w:w w:val="100"/>
          <w:position w:val="0"/>
          <w:sz w:val="22"/>
          <w:szCs w:val="22"/>
        </w:rPr>
        <w:t>本集团之子公司中电器件投资性房地产中账面原值为</w:t>
      </w:r>
      <w:r>
        <w:rPr>
          <w:rFonts w:ascii="Times New Roman" w:eastAsia="Times New Roman" w:hAnsi="Times New Roman" w:cs="Times New Roman"/>
          <w:color w:val="000000"/>
          <w:spacing w:val="0"/>
          <w:w w:val="100"/>
          <w:position w:val="0"/>
          <w:sz w:val="22"/>
          <w:szCs w:val="22"/>
        </w:rPr>
        <w:t>3,100.92</w:t>
      </w:r>
      <w:r>
        <w:rPr>
          <w:color w:val="000000"/>
          <w:spacing w:val="0"/>
          <w:w w:val="100"/>
          <w:position w:val="0"/>
          <w:sz w:val="22"/>
          <w:szCs w:val="22"/>
        </w:rPr>
        <w:t>万元位于海淀区复兴路甲</w:t>
      </w:r>
      <w:r>
        <w:rPr>
          <w:rFonts w:ascii="Times New Roman" w:eastAsia="Times New Roman" w:hAnsi="Times New Roman" w:cs="Times New Roman"/>
          <w:color w:val="000000"/>
          <w:spacing w:val="0"/>
          <w:w w:val="100"/>
          <w:position w:val="0"/>
          <w:sz w:val="22"/>
          <w:szCs w:val="22"/>
        </w:rPr>
        <w:t>65</w:t>
      </w:r>
      <w:r>
        <w:rPr>
          <w:color w:val="000000"/>
          <w:spacing w:val="0"/>
          <w:w w:val="100"/>
          <w:position w:val="0"/>
          <w:sz w:val="22"/>
          <w:szCs w:val="22"/>
        </w:rPr>
        <w:t>号（底商 部分）的房产，在中电器件</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 xml:space="preserve">年改制前由中电器件的前身中国电子器件工业总公司所有，并已 </w:t>
      </w:r>
      <w:r>
        <w:rPr>
          <w:color w:val="000000"/>
          <w:spacing w:val="0"/>
          <w:w w:val="100"/>
          <w:position w:val="0"/>
          <w:sz w:val="22"/>
          <w:szCs w:val="22"/>
        </w:rPr>
        <w:t>取得</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京房权证海国更字第</w:t>
      </w:r>
      <w:r>
        <w:rPr>
          <w:rFonts w:ascii="Times New Roman" w:eastAsia="Times New Roman" w:hAnsi="Times New Roman" w:cs="Times New Roman"/>
          <w:color w:val="000000"/>
          <w:spacing w:val="0"/>
          <w:w w:val="100"/>
          <w:position w:val="0"/>
          <w:sz w:val="22"/>
          <w:szCs w:val="22"/>
        </w:rPr>
        <w:t>00701</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房产证。中电器件</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年改制后，该房产一直由中电器件实际 所有并用于对外出租，且租金收益归中电器件所有。公司控股股东及实际控制人李仲初先生承诺, 如未来上市公司在正常运行中，因未取得该房产权属证明而遭受任何损失，李仲初先生将给予足 额补偿。</w:t>
      </w:r>
    </w:p>
    <w:p>
      <w:pPr>
        <w:pStyle w:val="Style35"/>
        <w:keepNext w:val="0"/>
        <w:keepLines w:val="0"/>
        <w:widowControl w:val="0"/>
        <w:numPr>
          <w:ilvl w:val="0"/>
          <w:numId w:val="65"/>
        </w:numPr>
        <w:shd w:val="clear" w:color="auto" w:fill="auto"/>
        <w:bidi w:val="0"/>
        <w:spacing w:before="0" w:after="300" w:line="316" w:lineRule="exact"/>
        <w:ind w:left="380" w:right="0" w:hanging="380"/>
        <w:jc w:val="both"/>
        <w:rPr>
          <w:sz w:val="22"/>
          <w:szCs w:val="22"/>
        </w:rPr>
      </w:pPr>
      <w:bookmarkStart w:id="1690" w:name="bookmark1690"/>
      <w:bookmarkEnd w:id="1690"/>
      <w:r>
        <w:rPr>
          <w:color w:val="000000"/>
          <w:spacing w:val="0"/>
          <w:w w:val="100"/>
          <w:position w:val="0"/>
          <w:sz w:val="22"/>
          <w:szCs w:val="22"/>
        </w:rPr>
        <w:t>本公司之控股子公司深圳京宝实业有限公司因营业期限过期（超期经营），自</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 xml:space="preserve">日至 </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0</w:t>
      </w:r>
      <w:r>
        <w:rPr>
          <w:color w:val="000000"/>
          <w:spacing w:val="0"/>
          <w:w w:val="100"/>
          <w:position w:val="0"/>
          <w:sz w:val="22"/>
          <w:szCs w:val="22"/>
        </w:rPr>
        <w:t>被自动限制超期经营。目前，深圳京宝实业有限公司的锁定限制信息状态栏显示 其仍处于</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限制中</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。本公司控股股东及实际控制人李仲初先生承诺，如深圳京宝实业有限公司需 承担任何形式的负债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或有负债对中电器件造成损失，其愿意承担经济补偿责任。</w:t>
      </w:r>
    </w:p>
    <w:p>
      <w:pPr>
        <w:pStyle w:val="Style24"/>
        <w:keepNext/>
        <w:keepLines/>
        <w:widowControl w:val="0"/>
        <w:shd w:val="clear" w:color="auto" w:fill="auto"/>
        <w:bidi w:val="0"/>
        <w:spacing w:before="0" w:after="300" w:line="316" w:lineRule="exact"/>
        <w:ind w:left="0" w:right="0" w:firstLine="0"/>
        <w:jc w:val="left"/>
      </w:pPr>
      <w:bookmarkStart w:id="1691" w:name="bookmark1691"/>
      <w:bookmarkStart w:id="1692" w:name="bookmark1692"/>
      <w:bookmarkStart w:id="1693" w:name="bookmark1693"/>
      <w:r>
        <w:rPr>
          <w:color w:val="000000"/>
          <w:spacing w:val="0"/>
          <w:w w:val="100"/>
          <w:position w:val="0"/>
        </w:rPr>
        <w:t>十三、股份支付</w:t>
      </w:r>
      <w:bookmarkEnd w:id="1691"/>
      <w:bookmarkEnd w:id="1692"/>
      <w:bookmarkEnd w:id="1693"/>
    </w:p>
    <w:p>
      <w:pPr>
        <w:pStyle w:val="Style32"/>
        <w:keepNext/>
        <w:keepLines/>
        <w:widowControl w:val="0"/>
        <w:shd w:val="clear" w:color="auto" w:fill="auto"/>
        <w:tabs>
          <w:tab w:pos="368" w:val="left"/>
        </w:tabs>
        <w:bidi w:val="0"/>
        <w:spacing w:before="0" w:after="380" w:line="316" w:lineRule="exact"/>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1</w:t>
      </w:r>
      <w:bookmarkEnd w:id="1696"/>
      <w:r>
        <w:rPr>
          <w:color w:val="000000"/>
          <w:spacing w:val="0"/>
          <w:w w:val="100"/>
          <w:position w:val="0"/>
        </w:rPr>
        <w:t>、</w:t>
        <w:tab/>
        <w:t>股份支付总体情况</w:t>
      </w:r>
      <w:bookmarkEnd w:id="1694"/>
      <w:bookmarkEnd w:id="1695"/>
      <w:bookmarkEnd w:id="1697"/>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316" w:lineRule="exact"/>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2</w:t>
      </w:r>
      <w:bookmarkEnd w:id="1700"/>
      <w:r>
        <w:rPr>
          <w:color w:val="000000"/>
          <w:spacing w:val="0"/>
          <w:w w:val="100"/>
          <w:position w:val="0"/>
        </w:rPr>
        <w:t>、</w:t>
        <w:tab/>
        <w:t>以权益结算的股份支付情况</w:t>
      </w:r>
      <w:bookmarkEnd w:id="1698"/>
      <w:bookmarkEnd w:id="1699"/>
      <w:bookmarkEnd w:id="1701"/>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316" w:lineRule="exact"/>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3</w:t>
      </w:r>
      <w:bookmarkEnd w:id="1704"/>
      <w:r>
        <w:rPr>
          <w:color w:val="000000"/>
          <w:spacing w:val="0"/>
          <w:w w:val="100"/>
          <w:position w:val="0"/>
        </w:rPr>
        <w:t>、</w:t>
        <w:tab/>
        <w:t>以现金结算的股份支付情况</w:t>
      </w:r>
      <w:bookmarkEnd w:id="1702"/>
      <w:bookmarkEnd w:id="1703"/>
      <w:bookmarkEnd w:id="1705"/>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316" w:lineRule="exact"/>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4</w:t>
      </w:r>
      <w:bookmarkEnd w:id="1708"/>
      <w:r>
        <w:rPr>
          <w:color w:val="000000"/>
          <w:spacing w:val="0"/>
          <w:w w:val="100"/>
          <w:position w:val="0"/>
        </w:rPr>
        <w:t>、</w:t>
        <w:tab/>
        <w:t>股份支付的修改、终止情况</w:t>
      </w:r>
      <w:bookmarkEnd w:id="1706"/>
      <w:bookmarkEnd w:id="1707"/>
      <w:bookmarkEnd w:id="1709"/>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00" w:line="316" w:lineRule="exact"/>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color w:val="000000"/>
          <w:spacing w:val="0"/>
          <w:w w:val="100"/>
          <w:position w:val="0"/>
        </w:rPr>
        <w:t>、</w:t>
        <w:tab/>
        <w:t>其他</w:t>
      </w:r>
      <w:bookmarkEnd w:id="1710"/>
      <w:bookmarkEnd w:id="1711"/>
      <w:bookmarkEnd w:id="1713"/>
    </w:p>
    <w:p>
      <w:pPr>
        <w:pStyle w:val="Style35"/>
        <w:keepNext w:val="0"/>
        <w:keepLines w:val="0"/>
        <w:widowControl w:val="0"/>
        <w:shd w:val="clear" w:color="auto" w:fill="auto"/>
        <w:tabs>
          <w:tab w:pos="1064" w:val="left"/>
        </w:tabs>
        <w:bidi w:val="0"/>
        <w:spacing w:before="0" w:after="240" w:line="315" w:lineRule="exact"/>
        <w:ind w:left="0" w:right="0" w:firstLine="460"/>
        <w:jc w:val="both"/>
        <w:rPr>
          <w:sz w:val="22"/>
          <w:szCs w:val="22"/>
        </w:rPr>
      </w:pPr>
      <w:bookmarkStart w:id="1714" w:name="bookmark1714"/>
      <w:r>
        <w:rPr>
          <w:color w:val="000000"/>
          <w:spacing w:val="0"/>
          <w:w w:val="100"/>
          <w:position w:val="0"/>
          <w:sz w:val="22"/>
          <w:szCs w:val="22"/>
        </w:rPr>
        <w:t>（</w:t>
      </w:r>
      <w:bookmarkEnd w:id="1714"/>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本集团之子公司宝库在线在北海石基完成增资后，原始股东承诺将其持有</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 xml:space="preserve">的股份中的 </w:t>
      </w:r>
      <w:r>
        <w:rPr>
          <w:rFonts w:ascii="Times New Roman" w:eastAsia="Times New Roman" w:hAnsi="Times New Roman" w:cs="Times New Roman"/>
          <w:color w:val="000000"/>
          <w:spacing w:val="0"/>
          <w:w w:val="100"/>
          <w:position w:val="0"/>
          <w:sz w:val="22"/>
          <w:szCs w:val="22"/>
        </w:rPr>
        <w:t xml:space="preserve">6% </w:t>
      </w:r>
      <w:r>
        <w:rPr>
          <w:color w:val="000000"/>
          <w:spacing w:val="0"/>
          <w:w w:val="100"/>
          <w:position w:val="0"/>
          <w:sz w:val="22"/>
          <w:szCs w:val="22"/>
        </w:rPr>
        <w:t>（对应注册资金</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,457,336.82</w:t>
      </w:r>
      <w:r>
        <w:rPr>
          <w:color w:val="000000"/>
          <w:spacing w:val="0"/>
          <w:w w:val="100"/>
          <w:position w:val="0"/>
          <w:sz w:val="22"/>
          <w:szCs w:val="22"/>
        </w:rPr>
        <w:t xml:space="preserve">元）将作为给目标公司高管和关键员工的股权激励，股权激励费用共 </w:t>
      </w:r>
      <w:r>
        <w:rPr>
          <w:rFonts w:ascii="Times New Roman" w:eastAsia="Times New Roman" w:hAnsi="Times New Roman" w:cs="Times New Roman"/>
          <w:color w:val="000000"/>
          <w:spacing w:val="0"/>
          <w:w w:val="100"/>
          <w:position w:val="0"/>
          <w:sz w:val="22"/>
          <w:szCs w:val="22"/>
        </w:rPr>
        <w:t>3,981,174.18</w:t>
      </w:r>
      <w:r>
        <w:rPr>
          <w:color w:val="000000"/>
          <w:spacing w:val="0"/>
          <w:w w:val="100"/>
          <w:position w:val="0"/>
          <w:sz w:val="22"/>
          <w:szCs w:val="22"/>
        </w:rPr>
        <w:t>元，归属于本年</w:t>
      </w:r>
      <w:r>
        <w:rPr>
          <w:rFonts w:ascii="Times New Roman" w:eastAsia="Times New Roman" w:hAnsi="Times New Roman" w:cs="Times New Roman"/>
          <w:color w:val="000000"/>
          <w:spacing w:val="0"/>
          <w:w w:val="100"/>
          <w:position w:val="0"/>
          <w:sz w:val="22"/>
          <w:szCs w:val="22"/>
        </w:rPr>
        <w:t>887,207.55</w:t>
      </w:r>
      <w:r>
        <w:rPr>
          <w:color w:val="000000"/>
          <w:spacing w:val="0"/>
          <w:w w:val="100"/>
          <w:position w:val="0"/>
          <w:sz w:val="22"/>
          <w:szCs w:val="22"/>
        </w:rPr>
        <w:t>元，归属于母公司</w:t>
      </w:r>
      <w:r>
        <w:rPr>
          <w:rFonts w:ascii="Times New Roman" w:eastAsia="Times New Roman" w:hAnsi="Times New Roman" w:cs="Times New Roman"/>
          <w:color w:val="000000"/>
          <w:spacing w:val="0"/>
          <w:w w:val="100"/>
          <w:position w:val="0"/>
          <w:sz w:val="22"/>
          <w:szCs w:val="22"/>
        </w:rPr>
        <w:t>754,126.42</w:t>
      </w:r>
      <w:r>
        <w:rPr>
          <w:color w:val="000000"/>
          <w:spacing w:val="0"/>
          <w:w w:val="100"/>
          <w:position w:val="0"/>
          <w:sz w:val="22"/>
          <w:szCs w:val="22"/>
        </w:rPr>
        <w:t>元，计入当期成本费用和资本公 积。</w:t>
      </w:r>
    </w:p>
    <w:p>
      <w:pPr>
        <w:pStyle w:val="Style35"/>
        <w:keepNext w:val="0"/>
        <w:keepLines w:val="0"/>
        <w:widowControl w:val="0"/>
        <w:shd w:val="clear" w:color="auto" w:fill="auto"/>
        <w:tabs>
          <w:tab w:pos="1064" w:val="left"/>
        </w:tabs>
        <w:bidi w:val="0"/>
        <w:spacing w:before="0" w:after="300" w:line="312" w:lineRule="exact"/>
        <w:ind w:left="0" w:right="0" w:firstLine="460"/>
        <w:jc w:val="both"/>
        <w:rPr>
          <w:sz w:val="22"/>
          <w:szCs w:val="22"/>
        </w:rPr>
        <w:sectPr>
          <w:headerReference w:type="default" r:id="rId33"/>
          <w:footerReference w:type="default" r:id="rId34"/>
          <w:footnotePr>
            <w:pos w:val="pageBottom"/>
            <w:numFmt w:val="decimal"/>
            <w:numRestart w:val="continuous"/>
          </w:footnotePr>
          <w:pgSz w:w="11900" w:h="16840"/>
          <w:pgMar w:top="1407" w:right="1048" w:bottom="1469" w:left="1061" w:header="0" w:footer="3" w:gutter="0"/>
          <w:cols w:space="720"/>
          <w:noEndnote/>
          <w:rtlGutter w:val="0"/>
          <w:docGrid w:linePitch="360"/>
        </w:sectPr>
      </w:pPr>
      <w:bookmarkStart w:id="1715" w:name="bookmark1715"/>
      <w:r>
        <w:rPr>
          <w:color w:val="000000"/>
          <w:spacing w:val="0"/>
          <w:w w:val="100"/>
          <w:position w:val="0"/>
          <w:sz w:val="22"/>
          <w:szCs w:val="22"/>
        </w:rPr>
        <w:t>（</w:t>
      </w:r>
      <w:bookmarkEnd w:id="1715"/>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本集团之子公司思迅软件本年通过持股平台授予员工</w:t>
      </w:r>
      <w:r>
        <w:rPr>
          <w:rFonts w:ascii="Times New Roman" w:eastAsia="Times New Roman" w:hAnsi="Times New Roman" w:cs="Times New Roman"/>
          <w:color w:val="000000"/>
          <w:spacing w:val="0"/>
          <w:w w:val="100"/>
          <w:position w:val="0"/>
          <w:sz w:val="22"/>
          <w:szCs w:val="22"/>
        </w:rPr>
        <w:t>0.2%</w:t>
      </w:r>
      <w:r>
        <w:rPr>
          <w:color w:val="000000"/>
          <w:spacing w:val="0"/>
          <w:w w:val="100"/>
          <w:position w:val="0"/>
          <w:sz w:val="22"/>
          <w:szCs w:val="22"/>
        </w:rPr>
        <w:t>的股份，股权以接近</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年末每 股净资产的价格转让给公司高管和关键员工。在持有期间员工仅享有分红权以及经营积累利得，不构 成完整的股东权利，思迅软件按照分红权的公允价值确定股份支付费用共</w:t>
      </w:r>
      <w:r>
        <w:rPr>
          <w:rFonts w:ascii="Times New Roman" w:eastAsia="Times New Roman" w:hAnsi="Times New Roman" w:cs="Times New Roman"/>
          <w:color w:val="000000"/>
          <w:spacing w:val="0"/>
          <w:w w:val="100"/>
          <w:position w:val="0"/>
          <w:sz w:val="22"/>
          <w:szCs w:val="22"/>
        </w:rPr>
        <w:t>897,758.19</w:t>
      </w:r>
      <w:r>
        <w:rPr>
          <w:color w:val="000000"/>
          <w:spacing w:val="0"/>
          <w:w w:val="100"/>
          <w:position w:val="0"/>
          <w:sz w:val="22"/>
          <w:szCs w:val="22"/>
        </w:rPr>
        <w:t xml:space="preserve">元，归属于本年 </w:t>
      </w:r>
      <w:r>
        <w:rPr>
          <w:rFonts w:ascii="Times New Roman" w:eastAsia="Times New Roman" w:hAnsi="Times New Roman" w:cs="Times New Roman"/>
          <w:color w:val="000000"/>
          <w:spacing w:val="0"/>
          <w:w w:val="100"/>
          <w:position w:val="0"/>
          <w:sz w:val="22"/>
          <w:szCs w:val="22"/>
        </w:rPr>
        <w:t>897,758.19</w:t>
      </w:r>
      <w:r>
        <w:rPr>
          <w:color w:val="000000"/>
          <w:spacing w:val="0"/>
          <w:w w:val="100"/>
          <w:position w:val="0"/>
          <w:sz w:val="22"/>
          <w:szCs w:val="22"/>
        </w:rPr>
        <w:t>元，归属于母公司</w:t>
      </w:r>
      <w:r>
        <w:rPr>
          <w:rFonts w:ascii="Times New Roman" w:eastAsia="Times New Roman" w:hAnsi="Times New Roman" w:cs="Times New Roman"/>
          <w:color w:val="000000"/>
          <w:spacing w:val="0"/>
          <w:w w:val="100"/>
          <w:position w:val="0"/>
          <w:sz w:val="22"/>
          <w:szCs w:val="22"/>
        </w:rPr>
        <w:t>657,210.17</w:t>
      </w:r>
      <w:r>
        <w:rPr>
          <w:color w:val="000000"/>
          <w:spacing w:val="0"/>
          <w:w w:val="100"/>
          <w:position w:val="0"/>
          <w:sz w:val="22"/>
          <w:szCs w:val="22"/>
        </w:rPr>
        <w:t>元，计入当期成本费用和资本公积。</w:t>
      </w:r>
    </w:p>
    <w:p>
      <w:pPr>
        <w:pStyle w:val="Style24"/>
        <w:keepNext/>
        <w:keepLines/>
        <w:widowControl w:val="0"/>
        <w:shd w:val="clear" w:color="auto" w:fill="auto"/>
        <w:bidi w:val="0"/>
        <w:spacing w:before="0" w:after="360" w:line="240" w:lineRule="auto"/>
        <w:ind w:left="0" w:right="0" w:firstLine="0"/>
        <w:jc w:val="left"/>
      </w:pPr>
      <w:bookmarkStart w:id="1716" w:name="bookmark1716"/>
      <w:bookmarkStart w:id="1717" w:name="bookmark1717"/>
      <w:bookmarkStart w:id="1718" w:name="bookmark1718"/>
      <w:r>
        <w:rPr>
          <w:color w:val="000000"/>
          <w:spacing w:val="0"/>
          <w:w w:val="100"/>
          <w:position w:val="0"/>
        </w:rPr>
        <w:t>十四、承诺及或有事项</w:t>
      </w:r>
      <w:bookmarkEnd w:id="1716"/>
      <w:bookmarkEnd w:id="1717"/>
      <w:bookmarkEnd w:id="1718"/>
    </w:p>
    <w:p>
      <w:pPr>
        <w:pStyle w:val="Style32"/>
        <w:keepNext/>
        <w:keepLines/>
        <w:widowControl w:val="0"/>
        <w:shd w:val="clear" w:color="auto" w:fill="auto"/>
        <w:bidi w:val="0"/>
        <w:spacing w:before="0" w:after="360" w:line="240" w:lineRule="auto"/>
        <w:ind w:left="0" w:right="0" w:firstLine="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19"/>
      <w:bookmarkEnd w:id="1720"/>
      <w:bookmarkEnd w:id="1721"/>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0" w:line="240" w:lineRule="auto"/>
        <w:ind w:left="437" w:right="0" w:firstLine="0"/>
        <w:jc w:val="left"/>
        <w:rPr>
          <w:sz w:val="22"/>
          <w:szCs w:val="22"/>
        </w:rPr>
      </w:pPr>
      <w:r>
        <w:rPr>
          <w:color w:val="000000"/>
          <w:spacing w:val="0"/>
          <w:w w:val="100"/>
          <w:position w:val="0"/>
          <w:sz w:val="22"/>
          <w:szCs w:val="22"/>
        </w:rPr>
        <w:t>不可撤销经营租赁</w:t>
      </w:r>
    </w:p>
    <w:tbl>
      <w:tblPr>
        <w:tblOverlap w:val="never"/>
        <w:jc w:val="left"/>
        <w:tblLayout w:type="fixed"/>
      </w:tblPr>
      <w:tblGrid>
        <w:gridCol w:w="5688"/>
        <w:gridCol w:w="2995"/>
      </w:tblGrid>
      <w:tr>
        <w:trPr>
          <w:trHeight w:val="35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2620" w:right="0" w:firstLine="0"/>
              <w:jc w:val="left"/>
              <w:rPr>
                <w:sz w:val="22"/>
                <w:szCs w:val="22"/>
              </w:rPr>
            </w:pPr>
            <w:r>
              <w:rPr>
                <w:b/>
                <w:bCs/>
                <w:color w:val="000000"/>
                <w:spacing w:val="0"/>
                <w:w w:val="100"/>
                <w:position w:val="0"/>
                <w:sz w:val="22"/>
                <w:szCs w:val="22"/>
              </w:rPr>
              <w:t>项目</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2"/>
                <w:szCs w:val="22"/>
              </w:rPr>
              <w:t>日</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不可撤销经营租赁的最低租赁付款额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一</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资产负债表日后第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22"/>
                <w:szCs w:val="22"/>
              </w:rPr>
            </w:pPr>
            <w:r>
              <w:rPr>
                <w:rFonts w:ascii="Times New Roman" w:eastAsia="Times New Roman" w:hAnsi="Times New Roman" w:cs="Times New Roman"/>
                <w:color w:val="000000"/>
                <w:spacing w:val="0"/>
                <w:w w:val="100"/>
                <w:position w:val="0"/>
                <w:sz w:val="22"/>
                <w:szCs w:val="22"/>
              </w:rPr>
              <w:t>56,486,557.01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资产负债表日后第</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22"/>
                <w:szCs w:val="22"/>
              </w:rPr>
            </w:pPr>
            <w:r>
              <w:rPr>
                <w:rFonts w:ascii="Times New Roman" w:eastAsia="Times New Roman" w:hAnsi="Times New Roman" w:cs="Times New Roman"/>
                <w:color w:val="000000"/>
                <w:spacing w:val="0"/>
                <w:w w:val="100"/>
                <w:position w:val="0"/>
                <w:sz w:val="22"/>
                <w:szCs w:val="22"/>
              </w:rPr>
              <w:t>27,550,184.82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资产负债表日后第</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年及以后年度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22"/>
                <w:szCs w:val="22"/>
              </w:rPr>
            </w:pPr>
            <w:r>
              <w:rPr>
                <w:rFonts w:ascii="Times New Roman" w:eastAsia="Times New Roman" w:hAnsi="Times New Roman" w:cs="Times New Roman"/>
                <w:color w:val="000000"/>
                <w:spacing w:val="0"/>
                <w:w w:val="100"/>
                <w:position w:val="0"/>
                <w:sz w:val="22"/>
                <w:szCs w:val="22"/>
              </w:rPr>
              <w:t>22,573,910.84</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106,610,652.68</w:t>
            </w:r>
          </w:p>
        </w:tc>
      </w:tr>
    </w:tbl>
    <w:p>
      <w:pPr>
        <w:widowControl w:val="0"/>
        <w:spacing w:after="559" w:line="1" w:lineRule="exact"/>
      </w:pPr>
    </w:p>
    <w:p>
      <w:pPr>
        <w:pStyle w:val="Style35"/>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、或有事项</w:t>
      </w:r>
    </w:p>
    <w:p>
      <w:pPr>
        <w:pStyle w:val="Style32"/>
        <w:keepNext/>
        <w:keepLines/>
        <w:widowControl w:val="0"/>
        <w:shd w:val="clear" w:color="auto" w:fill="auto"/>
        <w:bidi w:val="0"/>
        <w:spacing w:before="0" w:after="240" w:line="312" w:lineRule="exact"/>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22"/>
      <w:bookmarkEnd w:id="1723"/>
      <w:bookmarkEnd w:id="1724"/>
    </w:p>
    <w:p>
      <w:pPr>
        <w:pStyle w:val="Style35"/>
        <w:keepNext w:val="0"/>
        <w:keepLines w:val="0"/>
        <w:widowControl w:val="0"/>
        <w:shd w:val="clear" w:color="auto" w:fill="auto"/>
        <w:bidi w:val="0"/>
        <w:spacing w:before="0" w:after="240" w:line="312" w:lineRule="exact"/>
        <w:ind w:left="0" w:right="0" w:firstLine="460"/>
        <w:jc w:val="left"/>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日，本集团存在以下</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起重大或有事项，具体如下：</w:t>
      </w:r>
    </w:p>
    <w:p>
      <w:pPr>
        <w:pStyle w:val="Style35"/>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 xml:space="preserve">）本集团之子公司中电器件应收南京汇贤科技有限公司（以下简称南京汇贤）应收款项 </w:t>
      </w:r>
      <w:r>
        <w:rPr>
          <w:rFonts w:ascii="Times New Roman" w:eastAsia="Times New Roman" w:hAnsi="Times New Roman" w:cs="Times New Roman"/>
          <w:color w:val="000000"/>
          <w:spacing w:val="0"/>
          <w:w w:val="100"/>
          <w:position w:val="0"/>
          <w:sz w:val="22"/>
          <w:szCs w:val="22"/>
        </w:rPr>
        <w:t>2,052,636.89</w:t>
      </w:r>
      <w:r>
        <w:rPr>
          <w:color w:val="000000"/>
          <w:spacing w:val="0"/>
          <w:w w:val="100"/>
          <w:position w:val="0"/>
          <w:sz w:val="22"/>
          <w:szCs w:val="22"/>
        </w:rPr>
        <w:t>元；账龄：</w:t>
      </w:r>
      <w:r>
        <w:rPr>
          <w:rFonts w:ascii="Times New Roman" w:eastAsia="Times New Roman" w:hAnsi="Times New Roman" w:cs="Times New Roman"/>
          <w:color w:val="000000"/>
          <w:spacing w:val="0"/>
          <w:w w:val="100"/>
          <w:position w:val="0"/>
          <w:sz w:val="22"/>
          <w:szCs w:val="22"/>
        </w:rPr>
        <w:t>3-4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827,880.00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4-5</w:t>
      </w:r>
      <w:r>
        <w:rPr>
          <w:color w:val="000000"/>
          <w:spacing w:val="0"/>
          <w:w w:val="100"/>
          <w:position w:val="0"/>
          <w:sz w:val="22"/>
          <w:szCs w:val="22"/>
        </w:rPr>
        <w:t>年为</w:t>
      </w:r>
      <w:r>
        <w:rPr>
          <w:rFonts w:ascii="Times New Roman" w:eastAsia="Times New Roman" w:hAnsi="Times New Roman" w:cs="Times New Roman"/>
          <w:color w:val="000000"/>
          <w:spacing w:val="0"/>
          <w:w w:val="100"/>
          <w:position w:val="0"/>
          <w:sz w:val="22"/>
          <w:szCs w:val="22"/>
        </w:rPr>
        <w:t>1,224,756.89</w:t>
      </w:r>
      <w:r>
        <w:rPr>
          <w:color w:val="000000"/>
          <w:spacing w:val="0"/>
          <w:w w:val="100"/>
          <w:position w:val="0"/>
          <w:sz w:val="22"/>
          <w:szCs w:val="22"/>
        </w:rPr>
        <w:t>元。因南京汇贤（法定代表人：高国 峰）与第三方单位存在买卖合同纠纷，南京汇贤被申请破产清算，本公司于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日向法院申 请财产保全，请求对被申请人南京汇贤、高国峰名下价值</w:t>
      </w:r>
      <w:r>
        <w:rPr>
          <w:rFonts w:ascii="Times New Roman" w:eastAsia="Times New Roman" w:hAnsi="Times New Roman" w:cs="Times New Roman"/>
          <w:color w:val="000000"/>
          <w:spacing w:val="0"/>
          <w:w w:val="100"/>
          <w:position w:val="0"/>
          <w:sz w:val="22"/>
          <w:szCs w:val="22"/>
        </w:rPr>
        <w:t>2,212,392</w:t>
      </w:r>
      <w:r>
        <w:rPr>
          <w:color w:val="000000"/>
          <w:spacing w:val="0"/>
          <w:w w:val="100"/>
          <w:position w:val="0"/>
          <w:sz w:val="22"/>
          <w:szCs w:val="22"/>
        </w:rPr>
        <w:t>元的财产提供担保。经法院经审查 认为，申请人（中电器件）的申请符合法律规定，裁定如下：冻结南京汇贤、高国峰名下价值二百二 十^一万二千三百九十二元的财产，并于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日立即执行财产保全措施。</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日北京 市海淀区人民法院作出（</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）京</w:t>
      </w:r>
      <w:r>
        <w:rPr>
          <w:rFonts w:ascii="Times New Roman" w:eastAsia="Times New Roman" w:hAnsi="Times New Roman" w:cs="Times New Roman"/>
          <w:color w:val="000000"/>
          <w:spacing w:val="0"/>
          <w:w w:val="100"/>
          <w:position w:val="0"/>
          <w:sz w:val="22"/>
          <w:szCs w:val="22"/>
        </w:rPr>
        <w:t>0108</w:t>
      </w:r>
      <w:r>
        <w:rPr>
          <w:color w:val="000000"/>
          <w:spacing w:val="0"/>
          <w:w w:val="100"/>
          <w:position w:val="0"/>
          <w:sz w:val="22"/>
          <w:szCs w:val="22"/>
        </w:rPr>
        <w:t>民初</w:t>
      </w:r>
      <w:r>
        <w:rPr>
          <w:rFonts w:ascii="Times New Roman" w:eastAsia="Times New Roman" w:hAnsi="Times New Roman" w:cs="Times New Roman"/>
          <w:color w:val="000000"/>
          <w:spacing w:val="0"/>
          <w:w w:val="100"/>
          <w:position w:val="0"/>
          <w:sz w:val="22"/>
          <w:szCs w:val="22"/>
        </w:rPr>
        <w:t>8177</w:t>
      </w:r>
      <w:r>
        <w:rPr>
          <w:color w:val="000000"/>
          <w:spacing w:val="0"/>
          <w:w w:val="100"/>
          <w:position w:val="0"/>
          <w:sz w:val="22"/>
          <w:szCs w:val="22"/>
        </w:rPr>
        <w:t xml:space="preserve">号判决书，判决如下：一、南京汇贤支付中电器件 </w:t>
      </w:r>
      <w:r>
        <w:rPr>
          <w:rFonts w:ascii="Times New Roman" w:eastAsia="Times New Roman" w:hAnsi="Times New Roman" w:cs="Times New Roman"/>
          <w:color w:val="000000"/>
          <w:spacing w:val="0"/>
          <w:w w:val="100"/>
          <w:position w:val="0"/>
          <w:sz w:val="22"/>
          <w:szCs w:val="22"/>
        </w:rPr>
        <w:t>2,164,214.40</w:t>
      </w:r>
      <w:r>
        <w:rPr>
          <w:color w:val="000000"/>
          <w:spacing w:val="0"/>
          <w:w w:val="100"/>
          <w:position w:val="0"/>
          <w:sz w:val="22"/>
          <w:szCs w:val="22"/>
        </w:rPr>
        <w:t>元，并支付违约金（截止</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日的违约金金额</w:t>
      </w:r>
      <w:r>
        <w:rPr>
          <w:rFonts w:ascii="Times New Roman" w:eastAsia="Times New Roman" w:hAnsi="Times New Roman" w:cs="Times New Roman"/>
          <w:color w:val="000000"/>
          <w:spacing w:val="0"/>
          <w:w w:val="100"/>
          <w:position w:val="0"/>
          <w:sz w:val="22"/>
          <w:szCs w:val="22"/>
        </w:rPr>
        <w:t>76,195.11</w:t>
      </w:r>
      <w:r>
        <w:rPr>
          <w:color w:val="000000"/>
          <w:spacing w:val="0"/>
          <w:w w:val="100"/>
          <w:position w:val="0"/>
          <w:sz w:val="22"/>
          <w:szCs w:val="22"/>
        </w:rPr>
        <w:t>元，违约金以</w:t>
      </w:r>
      <w:r>
        <w:rPr>
          <w:rFonts w:ascii="Times New Roman" w:eastAsia="Times New Roman" w:hAnsi="Times New Roman" w:cs="Times New Roman"/>
          <w:color w:val="000000"/>
          <w:spacing w:val="0"/>
          <w:w w:val="100"/>
          <w:position w:val="0"/>
          <w:sz w:val="22"/>
          <w:szCs w:val="22"/>
        </w:rPr>
        <w:t xml:space="preserve">2,164,214.40 </w:t>
      </w:r>
      <w:r>
        <w:rPr>
          <w:color w:val="000000"/>
          <w:spacing w:val="0"/>
          <w:w w:val="100"/>
          <w:position w:val="0"/>
          <w:sz w:val="22"/>
          <w:szCs w:val="22"/>
        </w:rPr>
        <w:t>元为计算基数，以</w:t>
      </w:r>
      <w:r>
        <w:rPr>
          <w:rFonts w:ascii="Times New Roman" w:eastAsia="Times New Roman" w:hAnsi="Times New Roman" w:cs="Times New Roman"/>
          <w:color w:val="000000"/>
          <w:spacing w:val="0"/>
          <w:w w:val="100"/>
          <w:position w:val="0"/>
          <w:sz w:val="22"/>
          <w:szCs w:val="22"/>
        </w:rPr>
        <w:t>466,400.00</w:t>
      </w:r>
      <w:r>
        <w:rPr>
          <w:color w:val="000000"/>
          <w:spacing w:val="0"/>
          <w:w w:val="100"/>
          <w:position w:val="0"/>
          <w:sz w:val="22"/>
          <w:szCs w:val="22"/>
        </w:rPr>
        <w:t>元为基数，按照中国人民银行同期贷款利率四倍，继续计算至货款实际 付清之日止），均于判决生效之日起十日内付清；二、南京汇贤支付本公司律师费</w:t>
      </w:r>
      <w:r>
        <w:rPr>
          <w:rFonts w:ascii="Times New Roman" w:eastAsia="Times New Roman" w:hAnsi="Times New Roman" w:cs="Times New Roman"/>
          <w:color w:val="000000"/>
          <w:spacing w:val="0"/>
          <w:w w:val="100"/>
          <w:position w:val="0"/>
          <w:sz w:val="22"/>
          <w:szCs w:val="22"/>
        </w:rPr>
        <w:t>4.5</w:t>
      </w:r>
      <w:r>
        <w:rPr>
          <w:color w:val="000000"/>
          <w:spacing w:val="0"/>
          <w:w w:val="100"/>
          <w:position w:val="0"/>
          <w:sz w:val="22"/>
          <w:szCs w:val="22"/>
        </w:rPr>
        <w:t>万元，于判决生 效之日起十日内付清。中电器件不服一审判决，上诉于北京市第一中级人民法院。</w:t>
      </w:r>
    </w:p>
    <w:p>
      <w:pPr>
        <w:pStyle w:val="Style35"/>
        <w:keepNext w:val="0"/>
        <w:keepLines w:val="0"/>
        <w:widowControl w:val="0"/>
        <w:shd w:val="clear" w:color="auto" w:fill="auto"/>
        <w:bidi w:val="0"/>
        <w:spacing w:before="0" w:after="240" w:line="314"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日北京市第一中级人民法院作出（</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）京</w:t>
      </w:r>
      <w:r>
        <w:rPr>
          <w:rFonts w:ascii="Times New Roman" w:eastAsia="Times New Roman" w:hAnsi="Times New Roman" w:cs="Times New Roman"/>
          <w:color w:val="000000"/>
          <w:spacing w:val="0"/>
          <w:w w:val="100"/>
          <w:position w:val="0"/>
          <w:sz w:val="22"/>
          <w:szCs w:val="22"/>
        </w:rPr>
        <w:t>01</w:t>
      </w:r>
      <w:r>
        <w:rPr>
          <w:color w:val="000000"/>
          <w:spacing w:val="0"/>
          <w:w w:val="100"/>
          <w:position w:val="0"/>
          <w:sz w:val="22"/>
          <w:szCs w:val="22"/>
        </w:rPr>
        <w:t>民再</w:t>
      </w:r>
      <w:r>
        <w:rPr>
          <w:rFonts w:ascii="Times New Roman" w:eastAsia="Times New Roman" w:hAnsi="Times New Roman" w:cs="Times New Roman"/>
          <w:color w:val="000000"/>
          <w:spacing w:val="0"/>
          <w:w w:val="100"/>
          <w:position w:val="0"/>
          <w:sz w:val="22"/>
          <w:szCs w:val="22"/>
        </w:rPr>
        <w:t>143</w:t>
      </w:r>
      <w:r>
        <w:rPr>
          <w:color w:val="000000"/>
          <w:spacing w:val="0"/>
          <w:w w:val="100"/>
          <w:position w:val="0"/>
          <w:sz w:val="22"/>
          <w:szCs w:val="22"/>
        </w:rPr>
        <w:t>号判决书，判决如下：一、 撤销北京市海淀区人民法院（</w:t>
      </w:r>
      <w:r>
        <w:rPr>
          <w:rFonts w:ascii="Times New Roman" w:eastAsia="Times New Roman" w:hAnsi="Times New Roman" w:cs="Times New Roman"/>
          <w:color w:val="000000"/>
          <w:spacing w:val="0"/>
          <w:w w:val="100"/>
          <w:position w:val="0"/>
          <w:sz w:val="22"/>
          <w:szCs w:val="22"/>
        </w:rPr>
        <w:t xml:space="preserve">2017 </w:t>
      </w:r>
      <w:r>
        <w:rPr>
          <w:color w:val="000000"/>
          <w:spacing w:val="0"/>
          <w:w w:val="100"/>
          <w:position w:val="0"/>
          <w:sz w:val="22"/>
          <w:szCs w:val="22"/>
        </w:rPr>
        <w:t>）京</w:t>
      </w:r>
      <w:r>
        <w:rPr>
          <w:rFonts w:ascii="Times New Roman" w:eastAsia="Times New Roman" w:hAnsi="Times New Roman" w:cs="Times New Roman"/>
          <w:color w:val="000000"/>
          <w:spacing w:val="0"/>
          <w:w w:val="100"/>
          <w:position w:val="0"/>
          <w:sz w:val="22"/>
          <w:szCs w:val="22"/>
        </w:rPr>
        <w:t>0108</w:t>
      </w:r>
      <w:r>
        <w:rPr>
          <w:color w:val="000000"/>
          <w:spacing w:val="0"/>
          <w:w w:val="100"/>
          <w:position w:val="0"/>
          <w:sz w:val="22"/>
          <w:szCs w:val="22"/>
        </w:rPr>
        <w:t>民初</w:t>
      </w:r>
      <w:r>
        <w:rPr>
          <w:rFonts w:ascii="Times New Roman" w:eastAsia="Times New Roman" w:hAnsi="Times New Roman" w:cs="Times New Roman"/>
          <w:color w:val="000000"/>
          <w:spacing w:val="0"/>
          <w:w w:val="100"/>
          <w:position w:val="0"/>
          <w:sz w:val="22"/>
          <w:szCs w:val="22"/>
        </w:rPr>
        <w:t>8177</w:t>
      </w:r>
      <w:r>
        <w:rPr>
          <w:color w:val="000000"/>
          <w:spacing w:val="0"/>
          <w:w w:val="100"/>
          <w:position w:val="0"/>
          <w:sz w:val="22"/>
          <w:szCs w:val="22"/>
        </w:rPr>
        <w:t>号民事判决；二、南京汇贤支付本公司</w:t>
      </w:r>
      <w:r>
        <w:rPr>
          <w:rFonts w:ascii="Times New Roman" w:eastAsia="Times New Roman" w:hAnsi="Times New Roman" w:cs="Times New Roman"/>
          <w:color w:val="000000"/>
          <w:spacing w:val="0"/>
          <w:w w:val="100"/>
          <w:position w:val="0"/>
          <w:sz w:val="22"/>
          <w:szCs w:val="22"/>
        </w:rPr>
        <w:t xml:space="preserve">2,164,214.40 </w:t>
      </w:r>
      <w:r>
        <w:rPr>
          <w:color w:val="000000"/>
          <w:spacing w:val="0"/>
          <w:w w:val="100"/>
          <w:position w:val="0"/>
          <w:sz w:val="22"/>
          <w:szCs w:val="22"/>
        </w:rPr>
        <w:t>元，并支付违约金（截止</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日的违约金金额</w:t>
      </w:r>
      <w:r>
        <w:rPr>
          <w:rFonts w:ascii="Times New Roman" w:eastAsia="Times New Roman" w:hAnsi="Times New Roman" w:cs="Times New Roman"/>
          <w:color w:val="000000"/>
          <w:spacing w:val="0"/>
          <w:w w:val="100"/>
          <w:position w:val="0"/>
          <w:sz w:val="22"/>
          <w:szCs w:val="22"/>
        </w:rPr>
        <w:t>76,195.11</w:t>
      </w:r>
      <w:r>
        <w:rPr>
          <w:color w:val="000000"/>
          <w:spacing w:val="0"/>
          <w:w w:val="100"/>
          <w:position w:val="0"/>
          <w:sz w:val="22"/>
          <w:szCs w:val="22"/>
        </w:rPr>
        <w:t>元，违约金以</w:t>
      </w:r>
      <w:r>
        <w:rPr>
          <w:rFonts w:ascii="Times New Roman" w:eastAsia="Times New Roman" w:hAnsi="Times New Roman" w:cs="Times New Roman"/>
          <w:color w:val="000000"/>
          <w:spacing w:val="0"/>
          <w:w w:val="100"/>
          <w:position w:val="0"/>
          <w:sz w:val="22"/>
          <w:szCs w:val="22"/>
        </w:rPr>
        <w:t>2,164,214.40</w:t>
      </w:r>
      <w:r>
        <w:rPr>
          <w:color w:val="000000"/>
          <w:spacing w:val="0"/>
          <w:w w:val="100"/>
          <w:position w:val="0"/>
          <w:sz w:val="22"/>
          <w:szCs w:val="22"/>
        </w:rPr>
        <w:t>元为计算基 数，按照中国人民银行同期贷款利率四倍，继续计算至货款实际付清之日止），均于判决生效之日起 十日内付清；三、南京汇贤支付本公司律师费</w:t>
      </w:r>
      <w:r>
        <w:rPr>
          <w:rFonts w:ascii="Times New Roman" w:eastAsia="Times New Roman" w:hAnsi="Times New Roman" w:cs="Times New Roman"/>
          <w:color w:val="000000"/>
          <w:spacing w:val="0"/>
          <w:w w:val="100"/>
          <w:position w:val="0"/>
          <w:sz w:val="22"/>
          <w:szCs w:val="22"/>
        </w:rPr>
        <w:t>4.5</w:t>
      </w:r>
      <w:r>
        <w:rPr>
          <w:color w:val="000000"/>
          <w:spacing w:val="0"/>
          <w:w w:val="100"/>
          <w:position w:val="0"/>
          <w:sz w:val="22"/>
          <w:szCs w:val="22"/>
        </w:rPr>
        <w:t>万元，于判决生效之日起十日内付清；四、高国锋对 南京汇贤应承担的本判决第二项、第三项确定的给付款项义务向中电器件承担连带清偿责任，并有权 在清偿上述款项后向南京汇贤追偿；五、驳回中电器件的其他诉讼请求。截至报告日未收到上述款项， 中电器件正准备申请强制执行。</w:t>
      </w:r>
    </w:p>
    <w:p>
      <w:pPr>
        <w:pStyle w:val="Style35"/>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 xml:space="preserve">）本集团之子公司中电器件应收北京益心康达投资管理有限公司（以下简称益心康达） </w:t>
      </w:r>
      <w:r>
        <w:rPr>
          <w:rFonts w:ascii="Times New Roman" w:eastAsia="Times New Roman" w:hAnsi="Times New Roman" w:cs="Times New Roman"/>
          <w:color w:val="000000"/>
          <w:spacing w:val="0"/>
          <w:w w:val="100"/>
          <w:position w:val="0"/>
          <w:sz w:val="22"/>
          <w:szCs w:val="22"/>
        </w:rPr>
        <w:t>5,600,000.00</w:t>
      </w:r>
      <w:r>
        <w:rPr>
          <w:color w:val="000000"/>
          <w:spacing w:val="0"/>
          <w:w w:val="100"/>
          <w:position w:val="0"/>
          <w:sz w:val="22"/>
          <w:szCs w:val="22"/>
        </w:rPr>
        <w:t>元，账龄为</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年。此笔债权形成原因如下：</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2"/>
          <w:szCs w:val="22"/>
        </w:rPr>
        <w:t>日，中电器件与益心康达签订《医疗设备买卖合同》（下称买卖合同），购买设备 用于台州市博爱医院磁共振中心项目（下称项目）；买卖合同项下的标的设备价款</w:t>
      </w:r>
      <w:r>
        <w:rPr>
          <w:rFonts w:ascii="Times New Roman" w:eastAsia="Times New Roman" w:hAnsi="Times New Roman" w:cs="Times New Roman"/>
          <w:color w:val="000000"/>
          <w:spacing w:val="0"/>
          <w:w w:val="100"/>
          <w:position w:val="0"/>
          <w:sz w:val="22"/>
          <w:szCs w:val="22"/>
        </w:rPr>
        <w:t>800</w:t>
      </w:r>
      <w:r>
        <w:rPr>
          <w:color w:val="000000"/>
          <w:spacing w:val="0"/>
          <w:w w:val="100"/>
          <w:position w:val="0"/>
          <w:sz w:val="22"/>
          <w:szCs w:val="22"/>
        </w:rPr>
        <w:t>万元，另收</w:t>
      </w:r>
      <w:r>
        <w:rPr>
          <w:rFonts w:ascii="Times New Roman" w:eastAsia="Times New Roman" w:hAnsi="Times New Roman" w:cs="Times New Roman"/>
          <w:color w:val="000000"/>
          <w:spacing w:val="0"/>
          <w:w w:val="100"/>
          <w:position w:val="0"/>
          <w:sz w:val="22"/>
          <w:szCs w:val="22"/>
        </w:rPr>
        <w:t xml:space="preserve">10% </w:t>
      </w:r>
      <w:r>
        <w:rPr>
          <w:color w:val="000000"/>
          <w:spacing w:val="0"/>
          <w:w w:val="100"/>
          <w:position w:val="0"/>
          <w:sz w:val="22"/>
          <w:szCs w:val="22"/>
        </w:rPr>
        <w:t>即</w:t>
      </w:r>
      <w:r>
        <w:rPr>
          <w:rFonts w:ascii="Times New Roman" w:eastAsia="Times New Roman" w:hAnsi="Times New Roman" w:cs="Times New Roman"/>
          <w:color w:val="000000"/>
          <w:spacing w:val="0"/>
          <w:w w:val="100"/>
          <w:position w:val="0"/>
          <w:sz w:val="22"/>
          <w:szCs w:val="22"/>
        </w:rPr>
        <w:t>80</w:t>
      </w:r>
      <w:r>
        <w:rPr>
          <w:color w:val="000000"/>
          <w:spacing w:val="0"/>
          <w:w w:val="100"/>
          <w:position w:val="0"/>
          <w:sz w:val="22"/>
          <w:szCs w:val="22"/>
        </w:rPr>
        <w:t>万元的代理费。合同约定：签订后</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日内益心康达公司支付</w:t>
      </w:r>
      <w:r>
        <w:rPr>
          <w:rFonts w:ascii="Times New Roman" w:eastAsia="Times New Roman" w:hAnsi="Times New Roman" w:cs="Times New Roman"/>
          <w:color w:val="000000"/>
          <w:spacing w:val="0"/>
          <w:w w:val="100"/>
          <w:position w:val="0"/>
          <w:sz w:val="22"/>
          <w:szCs w:val="22"/>
        </w:rPr>
        <w:t>280</w:t>
      </w:r>
      <w:r>
        <w:rPr>
          <w:color w:val="000000"/>
          <w:spacing w:val="0"/>
          <w:w w:val="100"/>
          <w:position w:val="0"/>
          <w:sz w:val="22"/>
          <w:szCs w:val="22"/>
        </w:rPr>
        <w:t>万元，设备余款及代理费最迟于 一年内付清，并约定一年内按季度支付资金利息，益心康达未付清全部货款前，买卖合同所涉全部产 品的所有权归中电器件所有，益心康达以该项目中的运营收入作为履约担保。买卖合同在违约责任条 款中约定：如益心康达逾期付款超过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天，益心康达应支付合同总价款</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的违约金，并中电器件有 权解除合同；超过</w:t>
      </w:r>
      <w:r>
        <w:rPr>
          <w:rFonts w:ascii="Times New Roman" w:eastAsia="Times New Roman" w:hAnsi="Times New Roman" w:cs="Times New Roman"/>
          <w:color w:val="000000"/>
          <w:spacing w:val="0"/>
          <w:w w:val="100"/>
          <w:position w:val="0"/>
          <w:sz w:val="22"/>
          <w:szCs w:val="22"/>
        </w:rPr>
        <w:t>60</w:t>
      </w:r>
      <w:r>
        <w:rPr>
          <w:color w:val="000000"/>
          <w:spacing w:val="0"/>
          <w:w w:val="100"/>
          <w:position w:val="0"/>
          <w:sz w:val="22"/>
          <w:szCs w:val="22"/>
        </w:rPr>
        <w:t>天仍未付款，中电器件除追究其违约责任外，可以收回设备自行处置，并有权要 求益心康达支付设备折旧费。同时，益心康达和博爱医院与中电器件签订了《医疗设备合作三方协议》 （下称三方协议），三方协议约定与买卖合同相同，益心康达到期未足额支付剩余货款，由博爱医院 将益心康达应得收益全部汇入中电器件账户。合同签订后，中电器件履行了合同义务，设备由博爱医 院验收，投入至今，益心康达公司未按约定支付后续货款及代理费等，博爱医院亦未按约定向中电器 件支付运营收入。中电器件将益心康达及博爱医院诉至法院，经北京市海淀区人民法院一审判决：一、 解除中电器件与益心康达于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2"/>
          <w:szCs w:val="22"/>
        </w:rPr>
        <w:t>日签订的《医疗设备买卖合同》；二、中电器件拟于判决生 效后十日内自行前往博爱医院处取回合同设备；三、中电器件于判决生效后十日内向益心康达返还款 项</w:t>
      </w:r>
      <w:r>
        <w:rPr>
          <w:rFonts w:ascii="Times New Roman" w:eastAsia="Times New Roman" w:hAnsi="Times New Roman" w:cs="Times New Roman"/>
          <w:color w:val="000000"/>
          <w:spacing w:val="0"/>
          <w:w w:val="100"/>
          <w:position w:val="0"/>
          <w:sz w:val="22"/>
          <w:szCs w:val="22"/>
        </w:rPr>
        <w:t>352,592</w:t>
      </w:r>
      <w:r>
        <w:rPr>
          <w:color w:val="000000"/>
          <w:spacing w:val="0"/>
          <w:w w:val="100"/>
          <w:position w:val="0"/>
          <w:sz w:val="22"/>
          <w:szCs w:val="22"/>
        </w:rPr>
        <w:t>元（已付：</w:t>
      </w:r>
      <w:r>
        <w:rPr>
          <w:rFonts w:ascii="Times New Roman" w:eastAsia="Times New Roman" w:hAnsi="Times New Roman" w:cs="Times New Roman"/>
          <w:color w:val="000000"/>
          <w:spacing w:val="0"/>
          <w:w w:val="100"/>
          <w:position w:val="0"/>
          <w:sz w:val="22"/>
          <w:szCs w:val="22"/>
        </w:rPr>
        <w:t>280</w:t>
      </w:r>
      <w:r>
        <w:rPr>
          <w:color w:val="000000"/>
          <w:spacing w:val="0"/>
          <w:w w:val="100"/>
          <w:position w:val="0"/>
          <w:sz w:val="22"/>
          <w:szCs w:val="22"/>
        </w:rPr>
        <w:t>万</w:t>
      </w:r>
      <w:r>
        <w:rPr>
          <w:rFonts w:ascii="Times New Roman" w:eastAsia="Times New Roman" w:hAnsi="Times New Roman" w:cs="Times New Roman"/>
          <w:color w:val="000000"/>
          <w:spacing w:val="0"/>
          <w:w w:val="100"/>
          <w:position w:val="0"/>
          <w:sz w:val="22"/>
          <w:szCs w:val="22"/>
        </w:rPr>
        <w:t>+270,400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折旧费用</w:t>
      </w:r>
      <w:r>
        <w:rPr>
          <w:rFonts w:ascii="Times New Roman" w:eastAsia="Times New Roman" w:hAnsi="Times New Roman" w:cs="Times New Roman"/>
          <w:color w:val="000000"/>
          <w:spacing w:val="0"/>
          <w:w w:val="100"/>
          <w:position w:val="0"/>
          <w:sz w:val="22"/>
          <w:szCs w:val="22"/>
        </w:rPr>
        <w:t>2,717,808</w:t>
      </w:r>
      <w:r>
        <w:rPr>
          <w:color w:val="000000"/>
          <w:spacing w:val="0"/>
          <w:w w:val="100"/>
          <w:position w:val="0"/>
          <w:sz w:val="22"/>
          <w:szCs w:val="22"/>
        </w:rPr>
        <w:t xml:space="preserve">元）；四、驳回中电器件的其他诉讼请求。 中电器件不服一审判决，上诉于北京市第一中级人民法院，该法院经检查认为：一审法院针对中电器 件与益心康达之间的买卖合同关系进行了审理，但并未对中电器件与益心康达、博爱医院之间的法律 关系进行审理确定。法院裁定如下：一、撤销一审民事判决；二、发回北京市海淀区人民法院重审。 </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年发回重审开庭一次。</w:t>
      </w:r>
    </w:p>
    <w:p>
      <w:pPr>
        <w:pStyle w:val="Style35"/>
        <w:keepNext w:val="0"/>
        <w:keepLines w:val="0"/>
        <w:widowControl w:val="0"/>
        <w:shd w:val="clear" w:color="auto" w:fill="auto"/>
        <w:bidi w:val="0"/>
        <w:spacing w:before="0" w:after="220" w:line="314"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2"/>
          <w:szCs w:val="22"/>
        </w:rPr>
        <w:t>日北京市海淀区人民法院作出（</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）京</w:t>
      </w:r>
      <w:r>
        <w:rPr>
          <w:rFonts w:ascii="Times New Roman" w:eastAsia="Times New Roman" w:hAnsi="Times New Roman" w:cs="Times New Roman"/>
          <w:color w:val="000000"/>
          <w:spacing w:val="0"/>
          <w:w w:val="100"/>
          <w:position w:val="0"/>
          <w:sz w:val="22"/>
          <w:szCs w:val="22"/>
        </w:rPr>
        <w:t>0108</w:t>
      </w:r>
      <w:r>
        <w:rPr>
          <w:color w:val="000000"/>
          <w:spacing w:val="0"/>
          <w:w w:val="100"/>
          <w:position w:val="0"/>
          <w:sz w:val="22"/>
          <w:szCs w:val="22"/>
        </w:rPr>
        <w:t>民初</w:t>
      </w:r>
      <w:r>
        <w:rPr>
          <w:rFonts w:ascii="Times New Roman" w:eastAsia="Times New Roman" w:hAnsi="Times New Roman" w:cs="Times New Roman"/>
          <w:color w:val="000000"/>
          <w:spacing w:val="0"/>
          <w:w w:val="100"/>
          <w:position w:val="0"/>
          <w:sz w:val="22"/>
          <w:szCs w:val="22"/>
        </w:rPr>
        <w:t>42676</w:t>
      </w:r>
      <w:r>
        <w:rPr>
          <w:color w:val="000000"/>
          <w:spacing w:val="0"/>
          <w:w w:val="100"/>
          <w:position w:val="0"/>
          <w:sz w:val="22"/>
          <w:szCs w:val="22"/>
        </w:rPr>
        <w:t>号判决书，判决如下：一、 中电器件与被告益心康达于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2"/>
          <w:szCs w:val="22"/>
        </w:rPr>
        <w:t>日所签订的《医疗设备买卖合同》于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日解除；二、 本公司与被告益心康达、博爱医院于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2"/>
          <w:szCs w:val="22"/>
        </w:rPr>
        <w:t>日签订的《医疗设备合作三方协议》于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 xml:space="preserve">10 </w:t>
      </w:r>
      <w:r>
        <w:rPr>
          <w:color w:val="000000"/>
          <w:spacing w:val="0"/>
          <w:w w:val="100"/>
          <w:position w:val="0"/>
          <w:sz w:val="22"/>
          <w:szCs w:val="22"/>
        </w:rPr>
        <w:t>日解除；三、被告益心康达于本判决生效后</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日内给付中电器件资金占用利息</w:t>
      </w:r>
      <w:r>
        <w:rPr>
          <w:rFonts w:ascii="Times New Roman" w:eastAsia="Times New Roman" w:hAnsi="Times New Roman" w:cs="Times New Roman"/>
          <w:color w:val="000000"/>
          <w:spacing w:val="0"/>
          <w:w w:val="100"/>
          <w:position w:val="0"/>
          <w:sz w:val="22"/>
          <w:szCs w:val="22"/>
        </w:rPr>
        <w:t>312,000.00</w:t>
      </w:r>
      <w:r>
        <w:rPr>
          <w:color w:val="000000"/>
          <w:spacing w:val="0"/>
          <w:w w:val="100"/>
          <w:position w:val="0"/>
          <w:sz w:val="22"/>
          <w:szCs w:val="22"/>
        </w:rPr>
        <w:t>元并支付违 约金</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,766,400.00</w:t>
      </w:r>
      <w:r>
        <w:rPr>
          <w:color w:val="000000"/>
          <w:spacing w:val="0"/>
          <w:w w:val="100"/>
          <w:position w:val="0"/>
          <w:sz w:val="22"/>
          <w:szCs w:val="22"/>
        </w:rPr>
        <w:t>元，两项合计</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,078,400.00</w:t>
      </w:r>
      <w:r>
        <w:rPr>
          <w:color w:val="000000"/>
          <w:spacing w:val="0"/>
          <w:w w:val="100"/>
          <w:position w:val="0"/>
          <w:sz w:val="22"/>
          <w:szCs w:val="22"/>
        </w:rPr>
        <w:t>元；四、被告益心康达于本判决生效后</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日内给付中电器 件设备欠款</w:t>
      </w:r>
      <w:r>
        <w:rPr>
          <w:rFonts w:ascii="Times New Roman" w:eastAsia="Times New Roman" w:hAnsi="Times New Roman" w:cs="Times New Roman"/>
          <w:color w:val="000000"/>
          <w:spacing w:val="0"/>
          <w:w w:val="100"/>
          <w:position w:val="0"/>
          <w:sz w:val="22"/>
          <w:szCs w:val="22"/>
        </w:rPr>
        <w:t>520</w:t>
      </w:r>
      <w:r>
        <w:rPr>
          <w:color w:val="000000"/>
          <w:spacing w:val="0"/>
          <w:w w:val="100"/>
          <w:position w:val="0"/>
          <w:sz w:val="22"/>
          <w:szCs w:val="22"/>
        </w:rPr>
        <w:t>万元及代理费</w:t>
      </w:r>
      <w:r>
        <w:rPr>
          <w:rFonts w:ascii="Times New Roman" w:eastAsia="Times New Roman" w:hAnsi="Times New Roman" w:cs="Times New Roman"/>
          <w:color w:val="000000"/>
          <w:spacing w:val="0"/>
          <w:w w:val="100"/>
          <w:position w:val="0"/>
          <w:sz w:val="22"/>
          <w:szCs w:val="22"/>
        </w:rPr>
        <w:t>80</w:t>
      </w:r>
      <w:r>
        <w:rPr>
          <w:color w:val="000000"/>
          <w:spacing w:val="0"/>
          <w:w w:val="100"/>
          <w:position w:val="0"/>
          <w:sz w:val="22"/>
          <w:szCs w:val="22"/>
        </w:rPr>
        <w:t>万元，两项合计</w:t>
      </w:r>
      <w:r>
        <w:rPr>
          <w:rFonts w:ascii="Times New Roman" w:eastAsia="Times New Roman" w:hAnsi="Times New Roman" w:cs="Times New Roman"/>
          <w:color w:val="000000"/>
          <w:spacing w:val="0"/>
          <w:w w:val="100"/>
          <w:position w:val="0"/>
          <w:sz w:val="22"/>
          <w:szCs w:val="22"/>
        </w:rPr>
        <w:t>600</w:t>
      </w:r>
      <w:r>
        <w:rPr>
          <w:color w:val="000000"/>
          <w:spacing w:val="0"/>
          <w:w w:val="100"/>
          <w:position w:val="0"/>
          <w:sz w:val="22"/>
          <w:szCs w:val="22"/>
        </w:rPr>
        <w:t>万元；四、驳回中电器件的其他诉讼请求。中电器 件已申请强制执行，但经法院对益心康达的财产调查未发现可供执行的财产。</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2"/>
          <w:szCs w:val="22"/>
        </w:rPr>
        <w:t>日北京市 海淀区人民法院作出（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）京</w:t>
      </w:r>
      <w:r>
        <w:rPr>
          <w:rFonts w:ascii="Times New Roman" w:eastAsia="Times New Roman" w:hAnsi="Times New Roman" w:cs="Times New Roman"/>
          <w:color w:val="000000"/>
          <w:spacing w:val="0"/>
          <w:w w:val="100"/>
          <w:position w:val="0"/>
          <w:sz w:val="22"/>
          <w:szCs w:val="22"/>
        </w:rPr>
        <w:t>0108</w:t>
      </w:r>
      <w:r>
        <w:rPr>
          <w:color w:val="000000"/>
          <w:spacing w:val="0"/>
          <w:w w:val="100"/>
          <w:position w:val="0"/>
          <w:sz w:val="22"/>
          <w:szCs w:val="22"/>
        </w:rPr>
        <w:t>执</w:t>
      </w:r>
      <w:r>
        <w:rPr>
          <w:rFonts w:ascii="Times New Roman" w:eastAsia="Times New Roman" w:hAnsi="Times New Roman" w:cs="Times New Roman"/>
          <w:color w:val="000000"/>
          <w:spacing w:val="0"/>
          <w:w w:val="100"/>
          <w:position w:val="0"/>
          <w:sz w:val="22"/>
          <w:szCs w:val="22"/>
        </w:rPr>
        <w:t>11024</w:t>
      </w:r>
      <w:r>
        <w:rPr>
          <w:color w:val="000000"/>
          <w:spacing w:val="0"/>
          <w:w w:val="100"/>
          <w:position w:val="0"/>
          <w:sz w:val="22"/>
          <w:szCs w:val="22"/>
        </w:rPr>
        <w:t>号执行裁定书，裁定如发现益心康达有可供执行财产的， 可以再次申请强制执行。截至报告日未收到上述款项。</w:t>
      </w:r>
    </w:p>
    <w:p>
      <w:pPr>
        <w:pStyle w:val="Style35"/>
        <w:keepNext w:val="0"/>
        <w:keepLines w:val="0"/>
        <w:widowControl w:val="0"/>
        <w:shd w:val="clear" w:color="auto" w:fill="auto"/>
        <w:bidi w:val="0"/>
        <w:spacing w:before="0" w:after="220" w:line="307" w:lineRule="exact"/>
        <w:ind w:left="0" w:right="0" w:firstLine="46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 xml:space="preserve">）本集团之子公司北海石基其他应付深圳盒子信息科技有限公司（以下简称深圳盒子） </w:t>
      </w:r>
      <w:r>
        <w:rPr>
          <w:rFonts w:ascii="Times New Roman" w:eastAsia="Times New Roman" w:hAnsi="Times New Roman" w:cs="Times New Roman"/>
          <w:color w:val="000000"/>
          <w:spacing w:val="0"/>
          <w:w w:val="100"/>
          <w:position w:val="0"/>
          <w:sz w:val="22"/>
          <w:szCs w:val="22"/>
        </w:rPr>
        <w:t>123,750,000.00</w:t>
      </w:r>
      <w:r>
        <w:rPr>
          <w:color w:val="000000"/>
          <w:spacing w:val="0"/>
          <w:w w:val="100"/>
          <w:position w:val="0"/>
          <w:sz w:val="22"/>
          <w:szCs w:val="22"/>
        </w:rPr>
        <w:t>元，账龄为</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2"/>
          <w:szCs w:val="22"/>
        </w:rPr>
        <w:t>年。此笔债务形成原因如下：</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根据北海石基于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日与深圳盒子签署的股权转让协议，深圳盒子应于协议签署后</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日内 支付</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股权转让款即</w:t>
      </w:r>
      <w:r>
        <w:rPr>
          <w:rFonts w:ascii="Times New Roman" w:eastAsia="Times New Roman" w:hAnsi="Times New Roman" w:cs="Times New Roman"/>
          <w:color w:val="000000"/>
          <w:spacing w:val="0"/>
          <w:w w:val="100"/>
          <w:position w:val="0"/>
          <w:sz w:val="22"/>
          <w:szCs w:val="22"/>
        </w:rPr>
        <w:t>12,375.00</w:t>
      </w:r>
      <w:r>
        <w:rPr>
          <w:color w:val="000000"/>
          <w:spacing w:val="0"/>
          <w:w w:val="100"/>
          <w:position w:val="0"/>
          <w:sz w:val="22"/>
          <w:szCs w:val="22"/>
        </w:rPr>
        <w:t>万元；在此次股权转让行为获得中国人民银行或其分支机构审批通过 之后且迅付信息根据本次股权转让完成工商变更登记后</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日内支付剩余</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2"/>
          <w:szCs w:val="22"/>
        </w:rPr>
        <w:t>股权转让款即</w:t>
      </w:r>
      <w:r>
        <w:rPr>
          <w:rFonts w:ascii="Times New Roman" w:eastAsia="Times New Roman" w:hAnsi="Times New Roman" w:cs="Times New Roman"/>
          <w:color w:val="000000"/>
          <w:spacing w:val="0"/>
          <w:w w:val="100"/>
          <w:position w:val="0"/>
          <w:sz w:val="22"/>
          <w:szCs w:val="22"/>
        </w:rPr>
        <w:t>12,375.00</w:t>
      </w:r>
      <w:r>
        <w:rPr>
          <w:color w:val="000000"/>
          <w:spacing w:val="0"/>
          <w:w w:val="100"/>
          <w:position w:val="0"/>
          <w:sz w:val="22"/>
          <w:szCs w:val="22"/>
        </w:rPr>
        <w:t>万 元。</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月北海石基已收到深圳盒子支付</w:t>
      </w:r>
      <w:r>
        <w:rPr>
          <w:rFonts w:ascii="Times New Roman" w:eastAsia="Times New Roman" w:hAnsi="Times New Roman" w:cs="Times New Roman"/>
          <w:color w:val="000000"/>
          <w:spacing w:val="0"/>
          <w:w w:val="100"/>
          <w:position w:val="0"/>
          <w:sz w:val="22"/>
          <w:szCs w:val="22"/>
        </w:rPr>
        <w:t>12,375.00</w:t>
      </w:r>
      <w:r>
        <w:rPr>
          <w:color w:val="000000"/>
          <w:spacing w:val="0"/>
          <w:w w:val="100"/>
          <w:position w:val="0"/>
          <w:sz w:val="22"/>
          <w:szCs w:val="22"/>
        </w:rPr>
        <w:t>万元股权转让款。</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日，深圳盒子委任王冬担任迅付信息的总经理。迅付信息因存在多项不合规的问题， 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日被中国人民银行上海分行给予警告，并没收违法所得合计约</w:t>
      </w:r>
      <w:r>
        <w:rPr>
          <w:rFonts w:ascii="Times New Roman" w:eastAsia="Times New Roman" w:hAnsi="Times New Roman" w:cs="Times New Roman"/>
          <w:color w:val="000000"/>
          <w:spacing w:val="0"/>
          <w:w w:val="100"/>
          <w:position w:val="0"/>
          <w:sz w:val="22"/>
          <w:szCs w:val="22"/>
        </w:rPr>
        <w:t>968</w:t>
      </w:r>
      <w:r>
        <w:rPr>
          <w:color w:val="000000"/>
          <w:spacing w:val="0"/>
          <w:w w:val="100"/>
          <w:position w:val="0"/>
          <w:sz w:val="22"/>
          <w:szCs w:val="22"/>
        </w:rPr>
        <w:t>万元，并处罚款</w:t>
      </w:r>
      <w:r>
        <w:rPr>
          <w:rFonts w:ascii="Times New Roman" w:eastAsia="Times New Roman" w:hAnsi="Times New Roman" w:cs="Times New Roman"/>
          <w:color w:val="000000"/>
          <w:spacing w:val="0"/>
          <w:w w:val="100"/>
          <w:position w:val="0"/>
          <w:sz w:val="22"/>
          <w:szCs w:val="22"/>
        </w:rPr>
        <w:t xml:space="preserve">4,970 </w:t>
      </w:r>
      <w:r>
        <w:rPr>
          <w:color w:val="000000"/>
          <w:spacing w:val="0"/>
          <w:w w:val="100"/>
          <w:position w:val="0"/>
          <w:sz w:val="22"/>
          <w:szCs w:val="22"/>
        </w:rPr>
        <w:t>万，合计罚没金额</w:t>
      </w:r>
      <w:r>
        <w:rPr>
          <w:rFonts w:ascii="Times New Roman" w:eastAsia="Times New Roman" w:hAnsi="Times New Roman" w:cs="Times New Roman"/>
          <w:color w:val="000000"/>
          <w:spacing w:val="0"/>
          <w:w w:val="100"/>
          <w:position w:val="0"/>
          <w:sz w:val="22"/>
          <w:szCs w:val="22"/>
        </w:rPr>
        <w:t>5,939</w:t>
      </w:r>
      <w:r>
        <w:rPr>
          <w:color w:val="000000"/>
          <w:spacing w:val="0"/>
          <w:w w:val="100"/>
          <w:position w:val="0"/>
          <w:sz w:val="22"/>
          <w:szCs w:val="22"/>
        </w:rPr>
        <w:t>万。由于深圳盒子在收到上述迅付信息的行政处罚后未及时采取整改措施，包 括但不限于缴纳罚款、公司内部整改等行为，导致相关监管机构对审批上述股权变更事项的拖延及阻 碍。</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日北海石基将深圳盒子起诉至北海市中级人民法院，请求判令深圳盒子继续履行上述 股权转让协议及补充协议所约定的目标公司办理工商变更登记的相关合同义务且不受合同有效期限 制，同时请求判令深圳盒子向北海石基支付</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万元违约金。</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 xml:space="preserve">日，深圳盒子将北海石基 </w:t>
      </w:r>
      <w:r>
        <w:rPr>
          <w:color w:val="000000"/>
          <w:spacing w:val="0"/>
          <w:w w:val="100"/>
          <w:position w:val="0"/>
          <w:sz w:val="22"/>
          <w:szCs w:val="22"/>
        </w:rPr>
        <w:t>起诉至广东省深圳市中级人民法院并申请财产保全。</w:t>
      </w:r>
    </w:p>
    <w:p>
      <w:pPr>
        <w:pStyle w:val="Style35"/>
        <w:keepNext w:val="0"/>
        <w:keepLines w:val="0"/>
        <w:widowControl w:val="0"/>
        <w:shd w:val="clear" w:color="auto" w:fill="auto"/>
        <w:bidi w:val="0"/>
        <w:spacing w:before="0" w:after="220" w:line="322"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日北海市中级人民法院确定受理此案，深圳盒子对管辖权提出异议，经过上诉，最终 确定由北海市中级人民法院审理此案。截至报告报出日，本案已经北海市中级人民法院开庭审理，尚 未作出判决。</w:t>
      </w:r>
    </w:p>
    <w:p>
      <w:pPr>
        <w:pStyle w:val="Style35"/>
        <w:keepNext w:val="0"/>
        <w:keepLines w:val="0"/>
        <w:widowControl w:val="0"/>
        <w:shd w:val="clear" w:color="auto" w:fill="auto"/>
        <w:bidi w:val="0"/>
        <w:spacing w:before="0" w:after="220" w:line="307" w:lineRule="exact"/>
        <w:ind w:left="0" w:right="0" w:firstLine="460"/>
        <w:jc w:val="both"/>
        <w:rPr>
          <w:sz w:val="22"/>
          <w:szCs w:val="22"/>
        </w:rPr>
      </w:pPr>
      <w:bookmarkStart w:id="1725" w:name="bookmark1725"/>
      <w:r>
        <w:rPr>
          <w:color w:val="000000"/>
          <w:spacing w:val="0"/>
          <w:w w:val="100"/>
          <w:position w:val="0"/>
          <w:sz w:val="22"/>
          <w:szCs w:val="22"/>
        </w:rPr>
        <w:t>（</w:t>
      </w:r>
      <w:bookmarkEnd w:id="1725"/>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 xml:space="preserve">）本集团之子公司北海环企预付信欧互联（北京）信息技术有限公司（以下简称信欧互联） </w:t>
      </w:r>
      <w:r>
        <w:rPr>
          <w:rFonts w:ascii="Times New Roman" w:eastAsia="Times New Roman" w:hAnsi="Times New Roman" w:cs="Times New Roman"/>
          <w:color w:val="000000"/>
          <w:spacing w:val="0"/>
          <w:w w:val="100"/>
          <w:position w:val="0"/>
          <w:sz w:val="22"/>
          <w:szCs w:val="22"/>
        </w:rPr>
        <w:t>1,188,690.00</w:t>
      </w:r>
      <w:r>
        <w:rPr>
          <w:color w:val="000000"/>
          <w:spacing w:val="0"/>
          <w:w w:val="100"/>
          <w:position w:val="0"/>
          <w:sz w:val="22"/>
          <w:szCs w:val="22"/>
        </w:rPr>
        <w:t>元，账龄</w:t>
      </w:r>
      <w:r>
        <w:rPr>
          <w:rFonts w:ascii="Times New Roman" w:eastAsia="Times New Roman" w:hAnsi="Times New Roman" w:cs="Times New Roman"/>
          <w:color w:val="000000"/>
          <w:spacing w:val="0"/>
          <w:w w:val="100"/>
          <w:position w:val="0"/>
          <w:sz w:val="22"/>
          <w:szCs w:val="22"/>
        </w:rPr>
        <w:t xml:space="preserve">1 </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年。此笔债权形成原因如下：</w:t>
      </w:r>
    </w:p>
    <w:p>
      <w:pPr>
        <w:pStyle w:val="Style35"/>
        <w:keepNext w:val="0"/>
        <w:keepLines w:val="0"/>
        <w:widowControl w:val="0"/>
        <w:shd w:val="clear" w:color="auto" w:fill="auto"/>
        <w:bidi w:val="0"/>
        <w:spacing w:before="0" w:after="220" w:line="310" w:lineRule="exact"/>
        <w:ind w:left="0" w:right="0" w:firstLine="460"/>
        <w:jc w:val="both"/>
        <w:rPr>
          <w:sz w:val="22"/>
          <w:szCs w:val="22"/>
        </w:rPr>
      </w:pPr>
      <w:r>
        <w:rPr>
          <w:color w:val="000000"/>
          <w:spacing w:val="0"/>
          <w:w w:val="100"/>
          <w:position w:val="0"/>
          <w:sz w:val="22"/>
          <w:szCs w:val="22"/>
        </w:rPr>
        <w:t>北海环企于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月与信欧互联签订委托开发合同，研发标的为【北海环企新</w:t>
      </w:r>
      <w:r>
        <w:rPr>
          <w:rFonts w:ascii="Times New Roman" w:eastAsia="Times New Roman" w:hAnsi="Times New Roman" w:cs="Times New Roman"/>
          <w:color w:val="000000"/>
          <w:spacing w:val="0"/>
          <w:w w:val="100"/>
          <w:position w:val="0"/>
          <w:sz w:val="22"/>
          <w:szCs w:val="22"/>
        </w:rPr>
        <w:t>SaaS</w:t>
      </w:r>
      <w:r>
        <w:rPr>
          <w:color w:val="000000"/>
          <w:spacing w:val="0"/>
          <w:w w:val="100"/>
          <w:position w:val="0"/>
          <w:sz w:val="22"/>
          <w:szCs w:val="22"/>
        </w:rPr>
        <w:t>平台】二期 软件架构。合同金额</w:t>
      </w:r>
      <w:r>
        <w:rPr>
          <w:rFonts w:ascii="Times New Roman" w:eastAsia="Times New Roman" w:hAnsi="Times New Roman" w:cs="Times New Roman"/>
          <w:color w:val="000000"/>
          <w:spacing w:val="0"/>
          <w:w w:val="100"/>
          <w:position w:val="0"/>
          <w:sz w:val="22"/>
          <w:szCs w:val="22"/>
        </w:rPr>
        <w:t>396.23</w:t>
      </w:r>
      <w:r>
        <w:rPr>
          <w:color w:val="000000"/>
          <w:spacing w:val="0"/>
          <w:w w:val="100"/>
          <w:position w:val="0"/>
          <w:sz w:val="22"/>
          <w:szCs w:val="22"/>
        </w:rPr>
        <w:t>万元，合同期限</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日，付款方式：合同签署</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日内 付</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，信欧互联完成第一阶段软件上线安装及调试后</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日内付</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，完成第二阶段软件上线安装</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 内付</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，正式上线三个月后付</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w:t>
      </w:r>
      <w:r>
        <w:rPr>
          <w:color w:val="000000"/>
          <w:spacing w:val="0"/>
          <w:w w:val="100"/>
          <w:position w:val="0"/>
          <w:sz w:val="22"/>
          <w:szCs w:val="22"/>
        </w:rPr>
        <w:t>正式上线</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年后付</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保证金。</w:t>
      </w:r>
    </w:p>
    <w:p>
      <w:pPr>
        <w:pStyle w:val="Style35"/>
        <w:keepNext w:val="0"/>
        <w:keepLines w:val="0"/>
        <w:widowControl w:val="0"/>
        <w:shd w:val="clear" w:color="auto" w:fill="auto"/>
        <w:bidi w:val="0"/>
        <w:spacing w:before="0" w:after="320" w:line="313" w:lineRule="exact"/>
        <w:ind w:left="0" w:right="0" w:firstLine="460"/>
        <w:jc w:val="both"/>
        <w:rPr>
          <w:sz w:val="22"/>
          <w:szCs w:val="22"/>
        </w:rPr>
      </w:pPr>
      <w:r>
        <w:rPr>
          <w:color w:val="000000"/>
          <w:spacing w:val="0"/>
          <w:w w:val="100"/>
          <w:position w:val="0"/>
          <w:sz w:val="22"/>
          <w:szCs w:val="22"/>
        </w:rPr>
        <w:t>经北海环企验收发现标的软件存在多处漏洞，频繁导致运行不畅，产生种种工作困难，该软件架 构尚需完善，并未达到合同约定的验收及付款条件。信欧互联认为标的软件已经交付，合同约定的权 责已结束。双方多次沟通未能达成一致意见，</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月信欧互联将北海环企起诉至北海市银海区人 民法院，要求支付后续软件开发费</w:t>
      </w:r>
      <w:r>
        <w:rPr>
          <w:rFonts w:ascii="Times New Roman" w:eastAsia="Times New Roman" w:hAnsi="Times New Roman" w:cs="Times New Roman"/>
          <w:color w:val="000000"/>
          <w:spacing w:val="0"/>
          <w:w w:val="100"/>
          <w:position w:val="0"/>
          <w:sz w:val="22"/>
          <w:szCs w:val="22"/>
        </w:rPr>
        <w:t>277.36</w:t>
      </w:r>
      <w:r>
        <w:rPr>
          <w:color w:val="000000"/>
          <w:spacing w:val="0"/>
          <w:w w:val="100"/>
          <w:position w:val="0"/>
          <w:sz w:val="22"/>
          <w:szCs w:val="22"/>
        </w:rPr>
        <w:t>万元，延期支付利息</w:t>
      </w:r>
      <w:r>
        <w:rPr>
          <w:rFonts w:ascii="Times New Roman" w:eastAsia="Times New Roman" w:hAnsi="Times New Roman" w:cs="Times New Roman"/>
          <w:color w:val="000000"/>
          <w:spacing w:val="0"/>
          <w:w w:val="100"/>
          <w:position w:val="0"/>
          <w:sz w:val="22"/>
          <w:szCs w:val="22"/>
        </w:rPr>
        <w:t>10.68</w:t>
      </w:r>
      <w:r>
        <w:rPr>
          <w:color w:val="000000"/>
          <w:spacing w:val="0"/>
          <w:w w:val="100"/>
          <w:position w:val="0"/>
          <w:sz w:val="22"/>
          <w:szCs w:val="22"/>
        </w:rPr>
        <w:t>万元及承担信鸥互联律师费等附加 费用</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2"/>
          <w:szCs w:val="22"/>
        </w:rPr>
        <w:t>万元。根据委托研发协议中</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如验收不合格的，乙方应当无条件进行调整，在协商时间内完成 调整直至甲方验收通过</w:t>
      </w:r>
      <w:r>
        <w:rPr>
          <w:color w:val="000000"/>
          <w:spacing w:val="0"/>
          <w:w w:val="100"/>
          <w:position w:val="0"/>
          <w:sz w:val="22"/>
          <w:szCs w:val="22"/>
        </w:rPr>
        <w:t>，</w:t>
      </w:r>
      <w:r>
        <w:rPr>
          <w:color w:val="000000"/>
          <w:spacing w:val="0"/>
          <w:w w:val="100"/>
          <w:position w:val="0"/>
          <w:sz w:val="22"/>
          <w:szCs w:val="22"/>
        </w:rPr>
        <w:t>，等相关约定，且自</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日开始，信鸥互联提交的软件出现模块缺失， 层出不穷地出现系统</w:t>
      </w:r>
      <w:r>
        <w:rPr>
          <w:rFonts w:ascii="Times New Roman" w:eastAsia="Times New Roman" w:hAnsi="Times New Roman" w:cs="Times New Roman"/>
          <w:color w:val="000000"/>
          <w:spacing w:val="0"/>
          <w:w w:val="100"/>
          <w:position w:val="0"/>
          <w:sz w:val="22"/>
          <w:szCs w:val="22"/>
        </w:rPr>
        <w:t>BUG</w:t>
      </w:r>
      <w:r>
        <w:rPr>
          <w:color w:val="000000"/>
          <w:spacing w:val="0"/>
          <w:w w:val="100"/>
          <w:position w:val="0"/>
          <w:sz w:val="22"/>
          <w:szCs w:val="22"/>
        </w:rPr>
        <w:t>，导致完全无法使用该软件及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日之后信鸥互联不再配合进行任 何软件调试工作等事实，北海环企保留证据资料充分，本案负责律师认为依照协议约定未达成付款条 件，不存在任何违约行为，故北海环企未计提预计负债。截至报告报出日本案尚未开庭审理。</w:t>
      </w:r>
    </w:p>
    <w:p>
      <w:pPr>
        <w:pStyle w:val="Style35"/>
        <w:keepNext w:val="0"/>
        <w:keepLines w:val="0"/>
        <w:widowControl w:val="0"/>
        <w:shd w:val="clear" w:color="auto" w:fill="auto"/>
        <w:bidi w:val="0"/>
        <w:spacing w:before="0" w:after="380" w:line="610" w:lineRule="exact"/>
        <w:ind w:left="0" w:right="0" w:firstLine="0"/>
        <w:jc w:val="both"/>
        <w:rPr>
          <w:sz w:val="17"/>
          <w:szCs w:val="17"/>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xml:space="preserve">）公司没有需要披露的重要或有事项，也应予以说明 </w:t>
      </w:r>
      <w:r>
        <w:rPr>
          <w:color w:val="000000"/>
          <w:spacing w:val="0"/>
          <w:w w:val="100"/>
          <w:position w:val="0"/>
          <w:sz w:val="17"/>
          <w:szCs w:val="17"/>
        </w:rPr>
        <w:t>公司不存在需要披露的重要或有事项。</w:t>
      </w:r>
    </w:p>
    <w:p>
      <w:pPr>
        <w:pStyle w:val="Style24"/>
        <w:keepNext/>
        <w:keepLines/>
        <w:widowControl w:val="0"/>
        <w:shd w:val="clear" w:color="auto" w:fill="auto"/>
        <w:bidi w:val="0"/>
        <w:spacing w:before="0" w:after="0" w:line="240" w:lineRule="auto"/>
        <w:ind w:left="0" w:right="0" w:firstLine="0"/>
        <w:jc w:val="both"/>
      </w:pPr>
      <w:bookmarkStart w:id="1726" w:name="bookmark1726"/>
      <w:bookmarkStart w:id="1727" w:name="bookmark1727"/>
      <w:bookmarkStart w:id="1728" w:name="bookmark1728"/>
      <w:r>
        <w:rPr>
          <w:color w:val="000000"/>
          <w:spacing w:val="0"/>
          <w:w w:val="100"/>
          <w:position w:val="0"/>
        </w:rPr>
        <w:t>十五、资产负债表日后事项</w:t>
      </w:r>
      <w:bookmarkEnd w:id="1726"/>
      <w:bookmarkEnd w:id="1727"/>
      <w:bookmarkEnd w:id="1728"/>
    </w:p>
    <w:p>
      <w:pPr>
        <w:pStyle w:val="Style35"/>
        <w:keepNext w:val="0"/>
        <w:keepLines w:val="0"/>
        <w:widowControl w:val="0"/>
        <w:shd w:val="clear" w:color="auto" w:fill="auto"/>
        <w:bidi w:val="0"/>
        <w:spacing w:before="0" w:after="320" w:line="610" w:lineRule="exact"/>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、利润分配情况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428,444,873.20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428,444,873.20</w:t>
            </w:r>
          </w:p>
        </w:tc>
      </w:tr>
    </w:tbl>
    <w:p>
      <w:pPr>
        <w:pStyle w:val="Style26"/>
        <w:keepNext w:val="0"/>
        <w:keepLines w:val="0"/>
        <w:widowControl w:val="0"/>
        <w:shd w:val="clear" w:color="auto" w:fill="auto"/>
        <w:bidi w:val="0"/>
        <w:spacing w:before="0" w:after="0" w:line="315" w:lineRule="exact"/>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、其他资产负债表日后事项说明</w:t>
      </w:r>
    </w:p>
    <w:p>
      <w:pPr>
        <w:widowControl w:val="0"/>
        <w:spacing w:after="319" w:line="1" w:lineRule="exact"/>
      </w:pPr>
    </w:p>
    <w:p>
      <w:pPr>
        <w:pStyle w:val="Style35"/>
        <w:keepNext w:val="0"/>
        <w:keepLines w:val="0"/>
        <w:widowControl w:val="0"/>
        <w:shd w:val="clear" w:color="auto" w:fill="auto"/>
        <w:bidi w:val="0"/>
        <w:spacing w:before="0" w:after="220" w:line="315"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本集团之子公司中电器件于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日与北京元点未来科技有限公司签署股权转让协议，拟 以</w:t>
      </w:r>
      <w:r>
        <w:rPr>
          <w:rFonts w:ascii="Times New Roman" w:eastAsia="Times New Roman" w:hAnsi="Times New Roman" w:cs="Times New Roman"/>
          <w:color w:val="000000"/>
          <w:spacing w:val="0"/>
          <w:w w:val="100"/>
          <w:position w:val="0"/>
          <w:sz w:val="22"/>
          <w:szCs w:val="22"/>
        </w:rPr>
        <w:t>3,856,393.4</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元收购其持有的本公司之子公司中长元点</w:t>
      </w:r>
      <w:r>
        <w:rPr>
          <w:rFonts w:ascii="Times New Roman" w:eastAsia="Times New Roman" w:hAnsi="Times New Roman" w:cs="Times New Roman"/>
          <w:color w:val="000000"/>
          <w:spacing w:val="0"/>
          <w:w w:val="100"/>
          <w:position w:val="0"/>
          <w:sz w:val="22"/>
          <w:szCs w:val="22"/>
        </w:rPr>
        <w:t>45%</w:t>
      </w:r>
      <w:r>
        <w:rPr>
          <w:color w:val="000000"/>
          <w:spacing w:val="0"/>
          <w:w w:val="100"/>
          <w:position w:val="0"/>
          <w:sz w:val="22"/>
          <w:szCs w:val="22"/>
        </w:rPr>
        <w:t>股权，收购完成后中长元点成为本公司的 全资子公司，同时中长元点更名为北京中长光影科技有限公司。截至报告报出日，已完成工商变更并 取得新的营业执照。</w:t>
      </w:r>
    </w:p>
    <w:p>
      <w:pPr>
        <w:pStyle w:val="Style35"/>
        <w:keepNext w:val="0"/>
        <w:keepLines w:val="0"/>
        <w:widowControl w:val="0"/>
        <w:shd w:val="clear" w:color="auto" w:fill="auto"/>
        <w:bidi w:val="0"/>
        <w:spacing w:before="0" w:after="220" w:line="315"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 xml:space="preserve">日本集团及控股子公司思迅软件少数股东赣州万国联迅投资中心（有限合伙）、张 </w:t>
      </w:r>
      <w:r>
        <w:rPr>
          <w:color w:val="000000"/>
          <w:spacing w:val="0"/>
          <w:w w:val="100"/>
          <w:position w:val="0"/>
          <w:sz w:val="22"/>
          <w:szCs w:val="22"/>
        </w:rPr>
        <w:t>育宏、张伟与上海云鑫创业投资有限公司（蚂蚁科技集团股份有限公司</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2"/>
          <w:szCs w:val="22"/>
        </w:rPr>
        <w:t>控股）签署股份转让协 议，将包括本公司在内的前述股东持有的思迅软件</w:t>
      </w:r>
      <w:r>
        <w:rPr>
          <w:rFonts w:ascii="Times New Roman" w:eastAsia="Times New Roman" w:hAnsi="Times New Roman" w:cs="Times New Roman"/>
          <w:color w:val="000000"/>
          <w:spacing w:val="0"/>
          <w:w w:val="100"/>
          <w:position w:val="0"/>
          <w:sz w:val="22"/>
          <w:szCs w:val="22"/>
        </w:rPr>
        <w:t>10,450,000.00</w:t>
      </w:r>
      <w:r>
        <w:rPr>
          <w:color w:val="000000"/>
          <w:spacing w:val="0"/>
          <w:w w:val="100"/>
          <w:position w:val="0"/>
          <w:sz w:val="22"/>
          <w:szCs w:val="22"/>
        </w:rPr>
        <w:t>股股份（占思迅软件总股本的</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 以每股</w:t>
      </w:r>
      <w:r>
        <w:rPr>
          <w:rFonts w:ascii="Times New Roman" w:eastAsia="Times New Roman" w:hAnsi="Times New Roman" w:cs="Times New Roman"/>
          <w:color w:val="000000"/>
          <w:spacing w:val="0"/>
          <w:w w:val="100"/>
          <w:position w:val="0"/>
          <w:sz w:val="22"/>
          <w:szCs w:val="22"/>
        </w:rPr>
        <w:t>43.0622</w:t>
      </w:r>
      <w:r>
        <w:rPr>
          <w:color w:val="000000"/>
          <w:spacing w:val="0"/>
          <w:w w:val="100"/>
          <w:position w:val="0"/>
          <w:sz w:val="22"/>
          <w:szCs w:val="22"/>
        </w:rPr>
        <w:t>元作价转让给上海云鑫创业投资有限公司。</w:t>
      </w:r>
    </w:p>
    <w:p>
      <w:pPr>
        <w:pStyle w:val="Style35"/>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除存在上述资产负债表日后事项披露事项外，本集团无其他重大资产负债表日后事项。</w:t>
      </w:r>
    </w:p>
    <w:p>
      <w:pPr>
        <w:pStyle w:val="Style24"/>
        <w:keepNext/>
        <w:keepLines/>
        <w:widowControl w:val="0"/>
        <w:shd w:val="clear" w:color="auto" w:fill="auto"/>
        <w:bidi w:val="0"/>
        <w:spacing w:before="0" w:after="360" w:line="312" w:lineRule="exact"/>
        <w:ind w:left="0" w:right="0" w:firstLine="0"/>
        <w:jc w:val="left"/>
      </w:pPr>
      <w:bookmarkStart w:id="1729" w:name="bookmark1729"/>
      <w:bookmarkStart w:id="1730" w:name="bookmark1730"/>
      <w:bookmarkStart w:id="1731" w:name="bookmark1731"/>
      <w:r>
        <w:rPr>
          <w:color w:val="000000"/>
          <w:spacing w:val="0"/>
          <w:w w:val="100"/>
          <w:position w:val="0"/>
        </w:rPr>
        <w:t>十六、其他重要事项</w:t>
      </w:r>
      <w:bookmarkEnd w:id="1729"/>
      <w:bookmarkEnd w:id="1730"/>
      <w:bookmarkEnd w:id="1731"/>
    </w:p>
    <w:p>
      <w:pPr>
        <w:pStyle w:val="Style35"/>
        <w:keepNext w:val="0"/>
        <w:keepLines w:val="0"/>
        <w:widowControl w:val="0"/>
        <w:shd w:val="clear" w:color="auto" w:fill="auto"/>
        <w:bidi w:val="0"/>
        <w:spacing w:before="0" w:after="220"/>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、分部信息</w:t>
      </w:r>
    </w:p>
    <w:p>
      <w:pPr>
        <w:pStyle w:val="Style32"/>
        <w:keepNext/>
        <w:keepLines/>
        <w:widowControl w:val="0"/>
        <w:shd w:val="clear" w:color="auto" w:fill="auto"/>
        <w:bidi w:val="0"/>
        <w:spacing w:before="0" w:after="360" w:line="312" w:lineRule="exact"/>
        <w:ind w:left="0" w:right="0" w:firstLine="0"/>
        <w:jc w:val="left"/>
      </w:pPr>
      <w:bookmarkStart w:id="1732" w:name="bookmark1732"/>
      <w:bookmarkStart w:id="1733" w:name="bookmark1733"/>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732"/>
      <w:bookmarkEnd w:id="1733"/>
      <w:bookmarkEnd w:id="1734"/>
    </w:p>
    <w:p>
      <w:pPr>
        <w:pStyle w:val="Style35"/>
        <w:keepNext w:val="0"/>
        <w:keepLines w:val="0"/>
        <w:widowControl w:val="0"/>
        <w:shd w:val="clear" w:color="auto" w:fill="auto"/>
        <w:bidi w:val="0"/>
        <w:spacing w:before="0" w:after="160" w:line="298" w:lineRule="auto"/>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）经营分部的基本情况</w:t>
      </w:r>
    </w:p>
    <w:p>
      <w:pPr>
        <w:pStyle w:val="Style35"/>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本公司的经营业务根据业务的性质以及所提供的产品或服务分开组织和管理。本公司的每个经营 分部是一种不同的业务类型与模式，提供面临不同于其他经营分部的风险并取得不同于其他经营分部 的报酬的产品和服务。</w:t>
      </w:r>
    </w:p>
    <w:p>
      <w:pPr>
        <w:pStyle w:val="Style35"/>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本公司经营分部的分类与内容如下：</w:t>
      </w:r>
    </w:p>
    <w:p>
      <w:pPr>
        <w:pStyle w:val="Style35"/>
        <w:keepNext w:val="0"/>
        <w:keepLines w:val="0"/>
        <w:widowControl w:val="0"/>
        <w:numPr>
          <w:ilvl w:val="0"/>
          <w:numId w:val="67"/>
        </w:numPr>
        <w:shd w:val="clear" w:color="auto" w:fill="auto"/>
        <w:tabs>
          <w:tab w:pos="782" w:val="left"/>
        </w:tabs>
        <w:bidi w:val="0"/>
        <w:spacing w:before="0" w:after="160" w:line="298" w:lineRule="auto"/>
        <w:ind w:left="0" w:right="0" w:firstLine="460"/>
        <w:jc w:val="both"/>
        <w:rPr>
          <w:sz w:val="22"/>
          <w:szCs w:val="22"/>
        </w:rPr>
      </w:pPr>
      <w:bookmarkStart w:id="1735" w:name="bookmark1735"/>
      <w:bookmarkEnd w:id="1735"/>
      <w:r>
        <w:rPr>
          <w:color w:val="000000"/>
          <w:spacing w:val="0"/>
          <w:w w:val="100"/>
          <w:position w:val="0"/>
          <w:sz w:val="22"/>
          <w:szCs w:val="22"/>
        </w:rPr>
        <w:t>计算机应用及服务行业</w:t>
      </w:r>
    </w:p>
    <w:p>
      <w:pPr>
        <w:pStyle w:val="Style35"/>
        <w:keepNext w:val="0"/>
        <w:keepLines w:val="0"/>
        <w:widowControl w:val="0"/>
        <w:shd w:val="clear" w:color="auto" w:fill="auto"/>
        <w:bidi w:val="0"/>
        <w:spacing w:before="0" w:after="300" w:line="317" w:lineRule="exact"/>
        <w:ind w:left="0" w:right="0" w:firstLine="460"/>
        <w:jc w:val="both"/>
        <w:rPr>
          <w:sz w:val="22"/>
          <w:szCs w:val="22"/>
        </w:rPr>
      </w:pPr>
      <w:r>
        <w:rPr>
          <w:color w:val="000000"/>
          <w:spacing w:val="0"/>
          <w:w w:val="100"/>
          <w:position w:val="0"/>
          <w:sz w:val="22"/>
          <w:szCs w:val="22"/>
        </w:rPr>
        <w:t>计算机应用及服务行业主要业务内容包括：技术开发、技术咨询、技术转让、技术服务、技术培 训；销售开发后的产品、计算机及外围设备；提供信息源服务；网络技术服务；电子商务；安装计算 机；货物进出口、技术进出口、代理进出口等业务。</w:t>
      </w:r>
    </w:p>
    <w:p>
      <w:pPr>
        <w:pStyle w:val="Style35"/>
        <w:keepNext w:val="0"/>
        <w:keepLines w:val="0"/>
        <w:widowControl w:val="0"/>
        <w:numPr>
          <w:ilvl w:val="0"/>
          <w:numId w:val="67"/>
        </w:numPr>
        <w:shd w:val="clear" w:color="auto" w:fill="auto"/>
        <w:tabs>
          <w:tab w:pos="801" w:val="left"/>
        </w:tabs>
        <w:bidi w:val="0"/>
        <w:spacing w:before="0" w:after="160" w:line="298" w:lineRule="auto"/>
        <w:ind w:left="0" w:right="0" w:firstLine="460"/>
        <w:jc w:val="both"/>
        <w:rPr>
          <w:sz w:val="22"/>
          <w:szCs w:val="22"/>
        </w:rPr>
      </w:pPr>
      <w:bookmarkStart w:id="1736" w:name="bookmark1736"/>
      <w:bookmarkEnd w:id="1736"/>
      <w:r>
        <w:rPr>
          <w:color w:val="000000"/>
          <w:spacing w:val="0"/>
          <w:w w:val="100"/>
          <w:position w:val="0"/>
          <w:sz w:val="22"/>
          <w:szCs w:val="22"/>
        </w:rPr>
        <w:t>商品批发流通行业</w:t>
      </w:r>
    </w:p>
    <w:p>
      <w:pPr>
        <w:pStyle w:val="Style35"/>
        <w:keepNext w:val="0"/>
        <w:keepLines w:val="0"/>
        <w:widowControl w:val="0"/>
        <w:shd w:val="clear" w:color="auto" w:fill="auto"/>
        <w:bidi w:val="0"/>
        <w:spacing w:before="0" w:after="660" w:line="312" w:lineRule="exact"/>
        <w:ind w:left="0" w:right="0" w:firstLine="460"/>
        <w:jc w:val="both"/>
        <w:rPr>
          <w:sz w:val="22"/>
          <w:szCs w:val="22"/>
        </w:rPr>
      </w:pPr>
      <w:r>
        <w:rPr>
          <w:color w:val="000000"/>
          <w:spacing w:val="0"/>
          <w:w w:val="100"/>
          <w:position w:val="0"/>
          <w:sz w:val="22"/>
          <w:szCs w:val="22"/>
        </w:rPr>
        <w:t>商品批发流通行业主要业务内容包括：电子元器件、设备、专用材料、电子产品及应用产品的设 计、开发、生产、销售、售后服务及维修；电子器件系统工程的总承包；承办组织进出口货源和配套 服务；进出口业务；五金交电、通讯器材、计算机及外部设备、钢材、建筑材料、照明设备、仪器议 表、一般化工材料、办公用品及设备、服装百货的销售；与上述业务有关的技术咨询、技术服务、信 息服务；物业管理。医用电子仪器设备；医用光学器具、仪器及内窥镜设备；医用超声仪器及有关设 备；医用激光仪器设备；医用高频仪器设备；医用磁共振设备、医用</w:t>
      </w:r>
      <w:r>
        <w:rPr>
          <w:rFonts w:ascii="Times New Roman" w:eastAsia="Times New Roman" w:hAnsi="Times New Roman" w:cs="Times New Roman"/>
          <w:color w:val="000000"/>
          <w:spacing w:val="0"/>
          <w:w w:val="100"/>
          <w:position w:val="0"/>
          <w:sz w:val="22"/>
          <w:szCs w:val="22"/>
        </w:rPr>
        <w:t>X</w:t>
      </w:r>
      <w:r>
        <w:rPr>
          <w:color w:val="000000"/>
          <w:spacing w:val="0"/>
          <w:w w:val="100"/>
          <w:position w:val="0"/>
          <w:sz w:val="22"/>
          <w:szCs w:val="22"/>
        </w:rPr>
        <w:t>射线设备；医用</w:t>
      </w:r>
      <w:r>
        <w:rPr>
          <w:rFonts w:ascii="Times New Roman" w:eastAsia="Times New Roman" w:hAnsi="Times New Roman" w:cs="Times New Roman"/>
          <w:color w:val="000000"/>
          <w:spacing w:val="0"/>
          <w:w w:val="100"/>
          <w:position w:val="0"/>
          <w:sz w:val="22"/>
          <w:szCs w:val="22"/>
        </w:rPr>
        <w:t>X</w:t>
      </w:r>
      <w:r>
        <w:rPr>
          <w:color w:val="000000"/>
          <w:spacing w:val="0"/>
          <w:w w:val="100"/>
          <w:position w:val="0"/>
          <w:sz w:val="22"/>
          <w:szCs w:val="22"/>
        </w:rPr>
        <w:t>射线附属设 备及部件；医用化验和基础设备器具；体外循环及血液处理设备、手术室、急救室、诊疗室设备及器 具；医用高分子材料及制品；物理治疗及健康设备；体外检验分析器；病房护理设备及器具的经营； 批发预包装食品。</w:t>
      </w:r>
    </w:p>
    <w:p>
      <w:pPr>
        <w:pStyle w:val="Style32"/>
        <w:keepNext/>
        <w:keepLines/>
        <w:widowControl w:val="0"/>
        <w:shd w:val="clear" w:color="auto" w:fill="auto"/>
        <w:bidi w:val="0"/>
        <w:spacing w:before="0" w:after="360" w:line="240" w:lineRule="auto"/>
        <w:ind w:left="0" w:right="0" w:firstLine="0"/>
        <w:jc w:val="left"/>
      </w:pPr>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737"/>
      <w:bookmarkEnd w:id="1738"/>
      <w:bookmarkEnd w:id="17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计算机应用及服务行业</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商品批发与贸易行业</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2,158,737,074.19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1,190,521,056.19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-31,938,241.81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3,317,319,888.57</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860,723,042.85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1,111,091,841.18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-7,306,222.53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1,964,508,661.50</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220,560,963.52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35,339,614.90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255,880,890.45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195,444,401.99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4,139,088.55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199,583,490.54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-133,446,787.85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-4,120,751.64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-137,567,539.49</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6,065,522.31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6,065,522.31</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-25,420,830.24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-26,193,384.67</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折旧费和摊销费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146,289,885.36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23,359,634.69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169,649,520.05</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76,925,378.84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3,949,787.05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-24,612,331.31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56,262,834.58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9,850,024,220.32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757,225,688.00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-14,436,390.60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10,592,813,517.72</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1,303,952,193.94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199,224,646.20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-72,935,650.00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1,430,241,190.14</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对联营企业和合营企业 的长期股权投资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377,494,874.96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377,494,874.96</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sz w:val="22"/>
          <w:szCs w:val="22"/>
        </w:rPr>
        <w:t>（</w:t>
      </w:r>
      <w:bookmarkEnd w:id="1742"/>
      <w:r>
        <w:rPr>
          <w:rFonts w:ascii="Times New Roman" w:eastAsia="Times New Roman" w:hAnsi="Times New Roman" w:cs="Times New Roman"/>
          <w:color w:val="000000"/>
          <w:spacing w:val="0"/>
          <w:w w:val="100"/>
          <w:position w:val="0"/>
          <w:sz w:val="22"/>
          <w:szCs w:val="22"/>
        </w:rPr>
        <w:t>3</w:t>
      </w:r>
      <w:r>
        <w:rPr>
          <w:color w:val="000000"/>
          <w:spacing w:val="0"/>
          <w:w w:val="100"/>
          <w:position w:val="0"/>
        </w:rPr>
        <w:t>）其他说明</w:t>
      </w:r>
      <w:bookmarkEnd w:id="1740"/>
      <w:bookmarkEnd w:id="1741"/>
      <w:bookmarkEnd w:id="1743"/>
    </w:p>
    <w:p>
      <w:pPr>
        <w:pStyle w:val="Style35"/>
        <w:keepNext w:val="0"/>
        <w:keepLines w:val="0"/>
        <w:widowControl w:val="0"/>
        <w:shd w:val="clear" w:color="auto" w:fill="auto"/>
        <w:bidi w:val="0"/>
        <w:spacing w:before="0" w:after="26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、对外交易收入信息</w:t>
      </w:r>
    </w:p>
    <w:p>
      <w:pPr>
        <w:pStyle w:val="Style35"/>
        <w:keepNext w:val="0"/>
        <w:keepLines w:val="0"/>
        <w:widowControl w:val="0"/>
        <w:shd w:val="clear" w:color="auto" w:fill="auto"/>
        <w:bidi w:val="0"/>
        <w:spacing w:before="0" w:after="14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）分产品类别的对外交易收入</w:t>
      </w:r>
    </w:p>
    <w:tbl>
      <w:tblPr>
        <w:tblOverlap w:val="never"/>
        <w:jc w:val="center"/>
        <w:tblLayout w:type="fixed"/>
      </w:tblPr>
      <w:tblGrid>
        <w:gridCol w:w="3442"/>
        <w:gridCol w:w="2947"/>
        <w:gridCol w:w="2842"/>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50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b/>
                <w:bCs/>
                <w:color w:val="000000"/>
                <w:spacing w:val="0"/>
                <w:w w:val="100"/>
                <w:position w:val="0"/>
                <w:sz w:val="22"/>
                <w:szCs w:val="22"/>
              </w:rPr>
              <w:t>上年发生额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计算机应用及服务行业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color w:val="000000"/>
                <w:spacing w:val="0"/>
                <w:w w:val="100"/>
                <w:position w:val="0"/>
                <w:sz w:val="22"/>
                <w:szCs w:val="22"/>
              </w:rPr>
              <w:t>2,158,737,074.19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2"/>
                <w:szCs w:val="22"/>
              </w:rPr>
            </w:pPr>
            <w:r>
              <w:rPr>
                <w:rFonts w:ascii="Times New Roman" w:eastAsia="Times New Roman" w:hAnsi="Times New Roman" w:cs="Times New Roman"/>
                <w:color w:val="000000"/>
                <w:spacing w:val="0"/>
                <w:w w:val="100"/>
                <w:position w:val="0"/>
                <w:sz w:val="22"/>
                <w:szCs w:val="22"/>
              </w:rPr>
              <w:t>2,561,249,535.25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商品批发与贸易行业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color w:val="000000"/>
                <w:spacing w:val="0"/>
                <w:w w:val="100"/>
                <w:position w:val="0"/>
                <w:sz w:val="22"/>
                <w:szCs w:val="22"/>
              </w:rPr>
              <w:t>1,158,582,814.38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2"/>
                <w:szCs w:val="22"/>
              </w:rPr>
            </w:pPr>
            <w:r>
              <w:rPr>
                <w:rFonts w:ascii="Times New Roman" w:eastAsia="Times New Roman" w:hAnsi="Times New Roman" w:cs="Times New Roman"/>
                <w:color w:val="000000"/>
                <w:spacing w:val="0"/>
                <w:w w:val="100"/>
                <w:position w:val="0"/>
                <w:sz w:val="22"/>
                <w:szCs w:val="22"/>
              </w:rPr>
              <w:t>1,101,290,581.15</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b/>
                <w:bCs/>
                <w:color w:val="000000"/>
                <w:spacing w:val="0"/>
                <w:w w:val="100"/>
                <w:position w:val="0"/>
                <w:sz w:val="22"/>
                <w:szCs w:val="22"/>
              </w:rPr>
              <w:t>3,317,319,888.57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2"/>
                <w:szCs w:val="22"/>
              </w:rPr>
            </w:pPr>
            <w:r>
              <w:rPr>
                <w:rFonts w:ascii="Times New Roman" w:eastAsia="Times New Roman" w:hAnsi="Times New Roman" w:cs="Times New Roman"/>
                <w:b/>
                <w:bCs/>
                <w:color w:val="000000"/>
                <w:spacing w:val="0"/>
                <w:w w:val="100"/>
                <w:position w:val="0"/>
                <w:sz w:val="22"/>
                <w:szCs w:val="22"/>
              </w:rPr>
              <w:t>3,662,540,116.40</w:t>
            </w:r>
          </w:p>
        </w:tc>
      </w:tr>
    </w:tbl>
    <w:p>
      <w:pPr>
        <w:widowControl w:val="0"/>
        <w:spacing w:after="259" w:line="1" w:lineRule="exact"/>
      </w:pPr>
    </w:p>
    <w:p>
      <w:pPr>
        <w:pStyle w:val="Style35"/>
        <w:keepNext w:val="0"/>
        <w:keepLines w:val="0"/>
        <w:widowControl w:val="0"/>
        <w:shd w:val="clear" w:color="auto" w:fill="auto"/>
        <w:bidi w:val="0"/>
        <w:spacing w:before="0" w:after="14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）分地区的对外交易收入</w:t>
      </w:r>
    </w:p>
    <w:tbl>
      <w:tblPr>
        <w:tblOverlap w:val="never"/>
        <w:jc w:val="center"/>
        <w:tblLayout w:type="fixed"/>
      </w:tblPr>
      <w:tblGrid>
        <w:gridCol w:w="3451"/>
        <w:gridCol w:w="2938"/>
        <w:gridCol w:w="2842"/>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b/>
                <w:bCs/>
                <w:color w:val="000000"/>
                <w:spacing w:val="0"/>
                <w:w w:val="100"/>
                <w:position w:val="0"/>
                <w:sz w:val="22"/>
                <w:szCs w:val="22"/>
              </w:rPr>
              <w:t>上年发生额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中国大陆地区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2,908,278,900.92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2"/>
                <w:szCs w:val="22"/>
              </w:rPr>
            </w:pPr>
            <w:r>
              <w:rPr>
                <w:rFonts w:ascii="Times New Roman" w:eastAsia="Times New Roman" w:hAnsi="Times New Roman" w:cs="Times New Roman"/>
                <w:color w:val="000000"/>
                <w:spacing w:val="0"/>
                <w:w w:val="100"/>
                <w:position w:val="0"/>
                <w:sz w:val="22"/>
                <w:szCs w:val="22"/>
              </w:rPr>
              <w:t>3,238,536,779.41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中国大陆地区以外的国家和地区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409,040,987.65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22"/>
                <w:szCs w:val="22"/>
              </w:rPr>
            </w:pPr>
            <w:r>
              <w:rPr>
                <w:rFonts w:ascii="Times New Roman" w:eastAsia="Times New Roman" w:hAnsi="Times New Roman" w:cs="Times New Roman"/>
                <w:color w:val="000000"/>
                <w:spacing w:val="0"/>
                <w:w w:val="100"/>
                <w:position w:val="0"/>
                <w:sz w:val="22"/>
                <w:szCs w:val="22"/>
              </w:rPr>
              <w:t>424,003,336.99</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3,317,319,888.57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2"/>
                <w:szCs w:val="22"/>
              </w:rPr>
            </w:pPr>
            <w:r>
              <w:rPr>
                <w:rFonts w:ascii="Times New Roman" w:eastAsia="Times New Roman" w:hAnsi="Times New Roman" w:cs="Times New Roman"/>
                <w:b/>
                <w:bCs/>
                <w:color w:val="000000"/>
                <w:spacing w:val="0"/>
                <w:w w:val="100"/>
                <w:position w:val="0"/>
                <w:sz w:val="22"/>
                <w:szCs w:val="22"/>
              </w:rPr>
              <w:t>3,662,540,116.40</w:t>
            </w:r>
          </w:p>
        </w:tc>
      </w:tr>
    </w:tbl>
    <w:p>
      <w:pPr>
        <w:widowControl w:val="0"/>
        <w:spacing w:after="259" w:line="1" w:lineRule="exact"/>
      </w:pPr>
    </w:p>
    <w:p>
      <w:pPr>
        <w:pStyle w:val="Style35"/>
        <w:keepNext w:val="0"/>
        <w:keepLines w:val="0"/>
        <w:widowControl w:val="0"/>
        <w:shd w:val="clear" w:color="auto" w:fill="auto"/>
        <w:bidi w:val="0"/>
        <w:spacing w:before="0" w:after="2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、对外交易成本信息</w:t>
      </w:r>
    </w:p>
    <w:p>
      <w:pPr>
        <w:pStyle w:val="Style35"/>
        <w:keepNext w:val="0"/>
        <w:keepLines w:val="0"/>
        <w:widowControl w:val="0"/>
        <w:shd w:val="clear" w:color="auto" w:fill="auto"/>
        <w:bidi w:val="0"/>
        <w:spacing w:before="0" w:after="14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）分产品类别的对外交易成本</w:t>
      </w:r>
    </w:p>
    <w:tbl>
      <w:tblPr>
        <w:tblOverlap w:val="never"/>
        <w:jc w:val="center"/>
        <w:tblLayout w:type="fixed"/>
      </w:tblPr>
      <w:tblGrid>
        <w:gridCol w:w="3442"/>
        <w:gridCol w:w="2947"/>
        <w:gridCol w:w="2842"/>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150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b/>
                <w:bCs/>
                <w:color w:val="000000"/>
                <w:spacing w:val="0"/>
                <w:w w:val="100"/>
                <w:position w:val="0"/>
                <w:sz w:val="22"/>
                <w:szCs w:val="22"/>
              </w:rPr>
              <w:t>上年发生额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计算机应用及服务行业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860,723,042.85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2"/>
                <w:szCs w:val="22"/>
              </w:rPr>
            </w:pPr>
            <w:r>
              <w:rPr>
                <w:rFonts w:ascii="Times New Roman" w:eastAsia="Times New Roman" w:hAnsi="Times New Roman" w:cs="Times New Roman"/>
                <w:color w:val="000000"/>
                <w:spacing w:val="0"/>
                <w:w w:val="100"/>
                <w:position w:val="0"/>
                <w:sz w:val="22"/>
                <w:szCs w:val="22"/>
              </w:rPr>
              <w:t>1,084,871,314.50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商品批发与贸易行业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color w:val="000000"/>
                <w:spacing w:val="0"/>
                <w:w w:val="100"/>
                <w:position w:val="0"/>
                <w:sz w:val="22"/>
                <w:szCs w:val="22"/>
              </w:rPr>
              <w:t>1,103,785,618.65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22"/>
                <w:szCs w:val="22"/>
              </w:rPr>
            </w:pPr>
            <w:r>
              <w:rPr>
                <w:rFonts w:ascii="Times New Roman" w:eastAsia="Times New Roman" w:hAnsi="Times New Roman" w:cs="Times New Roman"/>
                <w:color w:val="000000"/>
                <w:spacing w:val="0"/>
                <w:w w:val="100"/>
                <w:position w:val="0"/>
                <w:sz w:val="22"/>
                <w:szCs w:val="22"/>
              </w:rPr>
              <w:t>983,048,890.77</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2"/>
                <w:szCs w:val="22"/>
              </w:rPr>
            </w:pPr>
            <w:r>
              <w:rPr>
                <w:rFonts w:ascii="Times New Roman" w:eastAsia="Times New Roman" w:hAnsi="Times New Roman" w:cs="Times New Roman"/>
                <w:b/>
                <w:bCs/>
                <w:color w:val="000000"/>
                <w:spacing w:val="0"/>
                <w:w w:val="100"/>
                <w:position w:val="0"/>
                <w:sz w:val="22"/>
                <w:szCs w:val="22"/>
              </w:rPr>
              <w:t>1,964,508,661.50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2"/>
                <w:szCs w:val="22"/>
              </w:rPr>
            </w:pPr>
            <w:r>
              <w:rPr>
                <w:rFonts w:ascii="Times New Roman" w:eastAsia="Times New Roman" w:hAnsi="Times New Roman" w:cs="Times New Roman"/>
                <w:b/>
                <w:bCs/>
                <w:color w:val="000000"/>
                <w:spacing w:val="0"/>
                <w:w w:val="100"/>
                <w:position w:val="0"/>
                <w:sz w:val="22"/>
                <w:szCs w:val="22"/>
              </w:rPr>
              <w:t>2,067,920,205.27</w:t>
            </w:r>
          </w:p>
        </w:tc>
      </w:tr>
    </w:tbl>
    <w:p>
      <w:pPr>
        <w:widowControl w:val="0"/>
        <w:spacing w:after="259" w:line="1" w:lineRule="exact"/>
      </w:pPr>
    </w:p>
    <w:p>
      <w:pPr>
        <w:pStyle w:val="Style35"/>
        <w:keepNext w:val="0"/>
        <w:keepLines w:val="0"/>
        <w:widowControl w:val="0"/>
        <w:shd w:val="clear" w:color="auto" w:fill="auto"/>
        <w:bidi w:val="0"/>
        <w:spacing w:before="0" w:after="14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）分地区的对外交易成本</w:t>
      </w:r>
    </w:p>
    <w:tbl>
      <w:tblPr>
        <w:tblOverlap w:val="never"/>
        <w:jc w:val="center"/>
        <w:tblLayout w:type="fixed"/>
      </w:tblPr>
      <w:tblGrid>
        <w:gridCol w:w="3432"/>
        <w:gridCol w:w="2957"/>
        <w:gridCol w:w="2842"/>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b/>
                <w:bCs/>
                <w:color w:val="000000"/>
                <w:spacing w:val="0"/>
                <w:w w:val="100"/>
                <w:position w:val="0"/>
                <w:sz w:val="22"/>
                <w:szCs w:val="22"/>
              </w:rPr>
              <w:t>上年发生额</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中国大陆地区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22"/>
                <w:szCs w:val="22"/>
              </w:rPr>
            </w:pPr>
            <w:r>
              <w:rPr>
                <w:rFonts w:ascii="Times New Roman" w:eastAsia="Times New Roman" w:hAnsi="Times New Roman" w:cs="Times New Roman"/>
                <w:color w:val="000000"/>
                <w:spacing w:val="0"/>
                <w:w w:val="100"/>
                <w:position w:val="0"/>
                <w:sz w:val="22"/>
                <w:szCs w:val="22"/>
              </w:rPr>
              <w:t>1,733,500,130.98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2"/>
                <w:szCs w:val="22"/>
              </w:rPr>
            </w:pPr>
            <w:r>
              <w:rPr>
                <w:rFonts w:ascii="Times New Roman" w:eastAsia="Times New Roman" w:hAnsi="Times New Roman" w:cs="Times New Roman"/>
                <w:color w:val="000000"/>
                <w:spacing w:val="0"/>
                <w:w w:val="100"/>
                <w:position w:val="0"/>
                <w:sz w:val="22"/>
                <w:szCs w:val="22"/>
              </w:rPr>
              <w:t>1,879,970,169.95</w:t>
            </w:r>
          </w:p>
        </w:tc>
      </w:tr>
    </w:tbl>
    <w:p>
      <w:pPr>
        <w:spacing w:lineRule="exact" w:line="1"/>
        <w:rPr>
          <w:sz w:val="2"/>
          <w:szCs w:val="2"/>
        </w:rPr>
      </w:pPr>
      <w:r>
        <w:br w:type="page"/>
      </w:r>
    </w:p>
    <w:tbl>
      <w:tblPr>
        <w:tblOverlap w:val="never"/>
        <w:jc w:val="center"/>
        <w:tblLayout w:type="fixed"/>
      </w:tblPr>
      <w:tblGrid>
        <w:gridCol w:w="3432"/>
        <w:gridCol w:w="2957"/>
        <w:gridCol w:w="284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中国大陆地区以外的国家和地区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231,008,530.52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187,950,035.32</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1,964,508,661.50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2,067,920,205.27</w:t>
            </w:r>
          </w:p>
        </w:tc>
      </w:tr>
    </w:tbl>
    <w:p>
      <w:pPr>
        <w:widowControl w:val="0"/>
        <w:spacing w:after="639" w:line="1" w:lineRule="exact"/>
      </w:pPr>
    </w:p>
    <w:p>
      <w:pPr>
        <w:pStyle w:val="Style24"/>
        <w:keepNext/>
        <w:keepLines/>
        <w:widowControl w:val="0"/>
        <w:shd w:val="clear" w:color="auto" w:fill="auto"/>
        <w:bidi w:val="0"/>
        <w:spacing w:before="0" w:after="380" w:line="240" w:lineRule="auto"/>
        <w:ind w:left="0" w:right="0" w:firstLine="0"/>
        <w:jc w:val="both"/>
      </w:pPr>
      <w:bookmarkStart w:id="1744" w:name="bookmark1744"/>
      <w:bookmarkStart w:id="1745" w:name="bookmark1745"/>
      <w:bookmarkStart w:id="1746" w:name="bookmark1746"/>
      <w:r>
        <w:rPr>
          <w:color w:val="000000"/>
          <w:spacing w:val="0"/>
          <w:w w:val="100"/>
          <w:position w:val="0"/>
        </w:rPr>
        <w:t>十七、母公司财务报表主要项目注释</w:t>
      </w:r>
      <w:bookmarkEnd w:id="1744"/>
      <w:bookmarkEnd w:id="1745"/>
      <w:bookmarkEnd w:id="1746"/>
    </w:p>
    <w:p>
      <w:pPr>
        <w:pStyle w:val="Style32"/>
        <w:keepNext/>
        <w:keepLines/>
        <w:widowControl w:val="0"/>
        <w:shd w:val="clear" w:color="auto" w:fill="auto"/>
        <w:bidi w:val="0"/>
        <w:spacing w:before="0" w:after="380" w:line="240" w:lineRule="auto"/>
        <w:ind w:left="0" w:right="0" w:firstLine="0"/>
        <w:jc w:val="both"/>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47"/>
      <w:bookmarkEnd w:id="1748"/>
      <w:bookmarkEnd w:id="1749"/>
    </w:p>
    <w:p>
      <w:pPr>
        <w:pStyle w:val="Style32"/>
        <w:keepNext/>
        <w:keepLines/>
        <w:widowControl w:val="0"/>
        <w:shd w:val="clear" w:color="auto" w:fill="auto"/>
        <w:bidi w:val="0"/>
        <w:spacing w:before="0" w:after="380" w:line="240" w:lineRule="auto"/>
        <w:ind w:left="0" w:right="0" w:firstLine="0"/>
        <w:jc w:val="both"/>
      </w:pPr>
      <w:bookmarkStart w:id="1747" w:name="bookmark1747"/>
      <w:bookmarkStart w:id="1748" w:name="bookmark1748"/>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47"/>
      <w:bookmarkEnd w:id="1748"/>
      <w:bookmarkEnd w:id="175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989"/>
        <w:gridCol w:w="566"/>
        <w:gridCol w:w="994"/>
        <w:gridCol w:w="566"/>
        <w:gridCol w:w="1138"/>
        <w:gridCol w:w="850"/>
        <w:gridCol w:w="571"/>
        <w:gridCol w:w="989"/>
        <w:gridCol w:w="706"/>
        <w:gridCol w:w="835"/>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类别</w:t>
            </w:r>
          </w:p>
        </w:tc>
        <w:tc>
          <w:tcPr>
            <w:gridSpan w:val="5"/>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比例</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计提比例</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按单项计提坏账 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2,435,719.31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2,435,719.31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2,090,139.3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2,090,139.35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单项计提损失准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2,435,719.31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2,435,719.31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2,090,139.3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2,090,139.35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按组合计提坏账 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57,100,959.06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10,935,466.02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46,165,493.04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46,177,121.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8,341,992.46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37,835,129.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52,272,735.44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10,935,466.02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41,337,269.42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43,412,023.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8,341,992.46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35,070,030.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内部关联方组合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4,828,223.62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4,828,223.62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2,765,098.4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2,765,098.4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59,536,678.37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13,371,185.33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46,165,493.04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48,267,261.</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10,432,131.8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37,835,129.</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按单项计提坏账准备：按单项计提应收账款坏账准备</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771"/>
        <w:gridCol w:w="2069"/>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重庆绿谷开发建设有限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项目停止，款项无法收回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大庆昊方酒店有限公司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391,337.30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项目暂停，款项无法收回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三亚高胜发展有限公司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252,435.66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252,435.66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项目暂停，剩余款项无法 收回</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乐视控股（北京）有限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215,290.50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215,290.50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企业倒闭</w:t>
            </w:r>
          </w:p>
        </w:tc>
      </w:tr>
    </w:tbl>
    <w:p>
      <w:pPr>
        <w:spacing w:lineRule="exact" w:line="1"/>
        <w:rPr>
          <w:sz w:val="2"/>
          <w:szCs w:val="2"/>
        </w:rPr>
      </w:pPr>
      <w:r>
        <w:br w:type="page"/>
      </w:r>
    </w:p>
    <w:tbl>
      <w:tblPr>
        <w:tblOverlap w:val="never"/>
        <w:jc w:val="center"/>
        <w:tblLayout w:type="fixed"/>
      </w:tblPr>
      <w:tblGrid>
        <w:gridCol w:w="1920"/>
        <w:gridCol w:w="1915"/>
        <w:gridCol w:w="1915"/>
        <w:gridCol w:w="1771"/>
        <w:gridCol w:w="2069"/>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爱慕瑞司餐饮（上海）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208,155.85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208,155.85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企业倒闭</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宝鸡海棠酒店有限公司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项目停止，款项无法收回</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2,435,719.31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2,435,719.31</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按组合计提坏账准备：按账龄组合计提应收账款坏账准备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23,634,521.71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1,181,726.09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10,477,491.69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1,047,749.17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10,096,971.32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2,019,394.26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2,133,478.85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1,066,739.43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1,552,074.02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1,241,659.22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4,378,197.85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4,378,197.85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140" w:line="240" w:lineRule="auto"/>
        <w:ind w:left="0" w:right="0" w:firstLine="0"/>
        <w:jc w:val="left"/>
        <w:rPr>
          <w:sz w:val="22"/>
          <w:szCs w:val="22"/>
        </w:rPr>
      </w:pPr>
      <w:r>
        <w:rPr>
          <w:color w:val="000000"/>
          <w:spacing w:val="0"/>
          <w:w w:val="100"/>
          <w:position w:val="0"/>
          <w:sz w:val="22"/>
          <w:szCs w:val="22"/>
        </w:rPr>
        <w:t>按信用风险特征组合计提损失准备的应收款项</w:t>
      </w:r>
    </w:p>
    <w:tbl>
      <w:tblPr>
        <w:tblOverlap w:val="never"/>
        <w:jc w:val="center"/>
        <w:tblLayout w:type="fixed"/>
      </w:tblPr>
      <w:tblGrid>
        <w:gridCol w:w="3269"/>
        <w:gridCol w:w="6398"/>
      </w:tblGrid>
      <w:tr>
        <w:trPr>
          <w:trHeight w:val="346"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组合名称</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损失准备计提方法</w:t>
            </w:r>
          </w:p>
        </w:tc>
      </w:tr>
      <w:tr>
        <w:trPr>
          <w:trHeight w:val="9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sz w:val="22"/>
                <w:szCs w:val="22"/>
              </w:rPr>
              <w:t>（计算机及服务行业）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参考历史信用损失经验，结合当前状况以及对未来经济状况的预 测，编制应收款项账龄与整个存续期预期信用损失率对照表，计算 预期信用损失。</w:t>
            </w:r>
          </w:p>
        </w:tc>
      </w:tr>
      <w:tr>
        <w:trPr>
          <w:trHeight w:val="9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34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2"/>
                <w:szCs w:val="22"/>
              </w:rPr>
              <w:t>（备用金组合）</w:t>
            </w:r>
          </w:p>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 xml:space="preserve">4 </w:t>
            </w:r>
            <w:r>
              <w:rPr>
                <w:color w:val="000000"/>
                <w:spacing w:val="0"/>
                <w:w w:val="100"/>
                <w:position w:val="0"/>
                <w:sz w:val="22"/>
                <w:szCs w:val="22"/>
              </w:rPr>
              <w:t>（内部关联方组合）</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rPr>
                <w:sz w:val="22"/>
                <w:szCs w:val="22"/>
              </w:rPr>
            </w:pPr>
            <w:r>
              <w:rPr>
                <w:color w:val="000000"/>
                <w:spacing w:val="0"/>
                <w:w w:val="100"/>
                <w:position w:val="0"/>
                <w:sz w:val="22"/>
                <w:szCs w:val="22"/>
              </w:rPr>
              <w:t>预期信用风险较小，不计提减值准备；当有证据表明信用风险显著 增加时，则单项认定考虑预期信用风险减值损失。</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25,714,296.88</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13,225,940.14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10,312,261.82</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10,284,179.53</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2,518,414.51</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3,179,411.32</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4,586,353.70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59,536,678.37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51"/>
      <w:bookmarkEnd w:id="1752"/>
      <w:bookmarkEnd w:id="175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8,341,992.46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2,593,473.56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10,935,466.02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单项计提损失准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2,090,139.35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345,579.96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2,435,719.31</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10,432,131.81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2,939,053.52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13,371,185.33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32"/>
        <w:keepNext/>
        <w:keepLines/>
        <w:widowControl w:val="0"/>
        <w:numPr>
          <w:ilvl w:val="0"/>
          <w:numId w:val="69"/>
        </w:numPr>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bookmarkEnd w:id="1756"/>
      <w:r>
        <w:rPr>
          <w:color w:val="000000"/>
          <w:spacing w:val="0"/>
          <w:w w:val="100"/>
          <w:position w:val="0"/>
        </w:rPr>
        <w:t>按欠款方归集的期末余额前五名的应收账款情况</w:t>
      </w:r>
      <w:bookmarkEnd w:id="1754"/>
      <w:bookmarkEnd w:id="1755"/>
      <w:bookmarkEnd w:id="175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702"/>
        <w:gridCol w:w="2088"/>
        <w:gridCol w:w="2395"/>
        <w:gridCol w:w="2400"/>
      </w:tblGrid>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占应收账款期末余额合计数</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4,130,773.76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325,790.12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3,158,192.83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东莞市国贸酒店管理有限公司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2,713,314.17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135,665.71</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西安迈科商业中心有限公司君悦 酒店分公司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2,692,285.00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538,457.00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北京润航商业发展有限公司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2,263,333.25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113,166.66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14,957,899.01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58"/>
      <w:bookmarkEnd w:id="1759"/>
      <w:bookmarkEnd w:id="176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54,848,879.31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51,998,479.31</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2,452,675,398.50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2,423,031,957.09</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2,507,524,277.81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2,491,530,436.40</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both"/>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61"/>
      <w:bookmarkEnd w:id="1762"/>
      <w:bookmarkEnd w:id="1763"/>
    </w:p>
    <w:p>
      <w:pPr>
        <w:pStyle w:val="Style32"/>
        <w:keepNext/>
        <w:keepLines/>
        <w:widowControl w:val="0"/>
        <w:shd w:val="clear" w:color="auto" w:fill="auto"/>
        <w:bidi w:val="0"/>
        <w:spacing w:before="0" w:after="360" w:line="240" w:lineRule="auto"/>
        <w:ind w:left="0" w:right="0" w:firstLine="0"/>
        <w:jc w:val="both"/>
      </w:pPr>
      <w:bookmarkStart w:id="1761" w:name="bookmark1761"/>
      <w:bookmarkStart w:id="1762" w:name="bookmark1762"/>
      <w:bookmarkStart w:id="1764" w:name="bookmark176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61"/>
      <w:bookmarkEnd w:id="1762"/>
      <w:bookmarkEnd w:id="1764"/>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结构性存款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65"/>
      <w:bookmarkEnd w:id="1766"/>
      <w:bookmarkEnd w:id="1767"/>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both"/>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768"/>
      <w:bookmarkEnd w:id="1769"/>
      <w:bookmarkEnd w:id="1770"/>
    </w:p>
    <w:p>
      <w:pPr>
        <w:pStyle w:val="Style32"/>
        <w:keepNext/>
        <w:keepLines/>
        <w:widowControl w:val="0"/>
        <w:shd w:val="clear" w:color="auto" w:fill="auto"/>
        <w:bidi w:val="0"/>
        <w:spacing w:before="0" w:after="360" w:line="240" w:lineRule="auto"/>
        <w:ind w:left="0" w:right="0" w:firstLine="0"/>
        <w:jc w:val="both"/>
      </w:pPr>
      <w:bookmarkStart w:id="1768" w:name="bookmark1768"/>
      <w:bookmarkStart w:id="1769" w:name="bookmark1769"/>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68"/>
      <w:bookmarkEnd w:id="1769"/>
      <w:bookmarkEnd w:id="177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北京石基昆仑软件有限公司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27,840,000.00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杭州西软信息技术有限公司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23,675,548.49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23,675,548.49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青岛海信智能商用股份有限公司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北海石基信息技术有限公司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482,930.82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482,930.82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54,848,879.31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51,998,479.31</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772"/>
      <w:bookmarkEnd w:id="1773"/>
      <w:bookmarkEnd w:id="177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未收回的原因</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北京石基昆仑软件有限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集团资金统一管理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杭州西软信息技术有限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23,675,548.49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集团资金统一管理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北海石基信息技术有限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482,930.82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集团资金统一管理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51,998,479.31</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3</w:t>
      </w:r>
      <w:bookmarkEnd w:id="1777"/>
      <w:r>
        <w:rPr>
          <w:color w:val="000000"/>
          <w:spacing w:val="0"/>
          <w:w w:val="100"/>
          <w:position w:val="0"/>
        </w:rPr>
        <w:t>）坏账准备计提情况</w:t>
      </w:r>
      <w:bookmarkEnd w:id="1775"/>
      <w:bookmarkEnd w:id="1776"/>
      <w:bookmarkEnd w:id="177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779"/>
      <w:bookmarkEnd w:id="1780"/>
      <w:bookmarkEnd w:id="1782"/>
    </w:p>
    <w:p>
      <w:pPr>
        <w:pStyle w:val="Style32"/>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3" w:name="bookmark178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79"/>
      <w:bookmarkEnd w:id="1780"/>
      <w:bookmarkEnd w:id="178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2,448,360,887.27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2,407,648,597.37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7,945,956.87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7,560,333.27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2,778,287.65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2,125,391.99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279,204.54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1,222,760.20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620,791.02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10,129,503.48</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2,459,985,127.35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2,428,686,586.31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84"/>
      <w:bookmarkEnd w:id="1785"/>
      <w:bookmarkEnd w:id="178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446,898.75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5,207,730.47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5,654,629.22</w:t>
            </w: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1,720,561.67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1,655,099.63</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381,436.71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6,928,292.14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7,309,728.85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986,284,224.79</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1,468,416,715.71</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2,037,258.51</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3,246,928.34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479,286.20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1,290,318.74</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1,477,323.40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2,459,985,127.35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3</w:t>
      </w:r>
      <w:bookmarkEnd w:id="1789"/>
      <w:r>
        <w:rPr>
          <w:color w:val="000000"/>
          <w:spacing w:val="0"/>
          <w:w w:val="100"/>
          <w:position w:val="0"/>
        </w:rPr>
        <w:t>）本期计提、收回或转回的坏账准备情况</w:t>
      </w:r>
      <w:bookmarkEnd w:id="1787"/>
      <w:bookmarkEnd w:id="1788"/>
      <w:bookmarkEnd w:id="179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计算机应用及服务 行业按账龄分析法 计提损失准备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446,898.75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381,436.71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单项计提损失准备 的其他应收账款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5,207,730.47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1,720,561.67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6,928,292.14</w:t>
            </w:r>
          </w:p>
        </w:tc>
      </w:tr>
      <w:tr>
        <w:trPr>
          <w:trHeight w:val="40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5,654,629.22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1,655,099.63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7,309,728.85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4</w:t>
      </w:r>
      <w:bookmarkEnd w:id="1793"/>
      <w:r>
        <w:rPr>
          <w:color w:val="000000"/>
          <w:spacing w:val="0"/>
          <w:w w:val="100"/>
          <w:position w:val="0"/>
        </w:rPr>
        <w:t>）按欠款方归集的期末余额前五名的其他应收款情况</w:t>
      </w:r>
      <w:bookmarkEnd w:id="1791"/>
      <w:bookmarkEnd w:id="1792"/>
      <w:bookmarkEnd w:id="179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864"/>
        <w:gridCol w:w="1277"/>
        <w:gridCol w:w="2510"/>
        <w:gridCol w:w="1618"/>
        <w:gridCol w:w="1622"/>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款项的性 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银石科技有限公司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867,789,968.90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546,131,568.90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321,658,400.00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石基（香港）有限公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693,976,993.16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386,208,469.01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307,768,524.15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北京石基昆仑软件有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129,622,172.94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24,927,792.95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104,694,379.99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上海石基信息技术有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107,544,809.64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1,985,392.23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105,559,417.41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中国电子器件工业有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72,810,000.00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52,810,000.00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1,871,743,944.6</w:t>
            </w:r>
          </w:p>
        </w:tc>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694"/>
        <w:gridCol w:w="864"/>
        <w:gridCol w:w="1277"/>
        <w:gridCol w:w="2510"/>
        <w:gridCol w:w="1618"/>
        <w:gridCol w:w="1622"/>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5</w:t>
      </w:r>
      <w:bookmarkEnd w:id="1797"/>
      <w:r>
        <w:rPr>
          <w:color w:val="000000"/>
          <w:spacing w:val="0"/>
          <w:w w:val="100"/>
          <w:position w:val="0"/>
        </w:rPr>
        <w:t>）涉及政府补助的应收款项</w:t>
      </w:r>
      <w:bookmarkEnd w:id="1795"/>
      <w:bookmarkEnd w:id="1796"/>
      <w:bookmarkEnd w:id="179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北京税务局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软件增值税退税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279,204.54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3</w:t>
      </w:r>
      <w:bookmarkEnd w:id="1801"/>
      <w:r>
        <w:rPr>
          <w:color w:val="000000"/>
          <w:spacing w:val="0"/>
          <w:w w:val="100"/>
          <w:position w:val="0"/>
        </w:rPr>
        <w:t>、长期股权投资</w:t>
      </w:r>
      <w:bookmarkEnd w:id="1799"/>
      <w:bookmarkEnd w:id="1800"/>
      <w:bookmarkEnd w:id="18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2,344,190,157.29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2,337,829,382.51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2,344,190,157.29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2,337,829,382.51</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4,534,107.07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4,534,107.07</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2,344,190,157.29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2,337,829,382.51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2,348,724,264.36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6,360,774.78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2,342,363,489.58</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03"/>
      <w:bookmarkEnd w:id="1804"/>
      <w:bookmarkEnd w:id="18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计提减值准备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上海石基信息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上海正品贵德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14,240,000.22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14,240,000.22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6,360,774.78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上海时运信息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6,960,937.50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6,960,937.50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北京石基昆仑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杭州西软科技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北京中长石基 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北海石基信息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石基（香港）有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930,933,500.0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930,933,500.00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中国电子器件 工业有限公司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554,884,441.7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554,884,441.71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深圳市思迅软 件股份有限公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百望金锐科技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北京航信华仪 软件技术有限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石基商用信息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敏付科技有限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青岛海信智能 商用系统有限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168,110,503.0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168,110,503.08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2,337,829,382.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2,337,829,382.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6,360,774.78</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06"/>
      <w:bookmarkEnd w:id="1807"/>
      <w:bookmarkEnd w:id="18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0"/>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期末余额</w:t>
            </w:r>
          </w:p>
          <w:p>
            <w:pPr>
              <w:pStyle w:val="Style20"/>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浙江未来 酒店网络 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4,534,107</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4,534,107</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4,534,107</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both"/>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4</w:t>
      </w:r>
      <w:bookmarkEnd w:id="1811"/>
      <w:r>
        <w:rPr>
          <w:color w:val="000000"/>
          <w:spacing w:val="0"/>
          <w:w w:val="100"/>
          <w:position w:val="0"/>
        </w:rPr>
        <w:t>、营业收入和营业成本</w:t>
      </w:r>
      <w:bookmarkEnd w:id="1809"/>
      <w:bookmarkEnd w:id="1810"/>
      <w:bookmarkEnd w:id="18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292,049,245.05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258,930,238.65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504,394,474.36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353,004,211.96</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1,906,812.75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1,664,610.92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49,938.32</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293,956,057.80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258,980,176.97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506,059,085.28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353,054,150.28</w:t>
            </w:r>
          </w:p>
        </w:tc>
      </w:tr>
    </w:tbl>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与履约义务相关的信息：</w:t>
      </w:r>
    </w:p>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90,769,693.09</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70,598,650.18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20,171,042.91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w:t>
      </w:r>
    </w:p>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both"/>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5</w:t>
      </w:r>
      <w:bookmarkEnd w:id="1815"/>
      <w:r>
        <w:rPr>
          <w:color w:val="000000"/>
          <w:spacing w:val="0"/>
          <w:w w:val="100"/>
          <w:position w:val="0"/>
        </w:rPr>
        <w:t>、投资收益</w:t>
      </w:r>
      <w:bookmarkEnd w:id="1813"/>
      <w:bookmarkEnd w:id="1814"/>
      <w:bookmarkEnd w:id="181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221,700,400.00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273,855,000.00</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-4,534,107.07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6,335,225.99</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4,471,775.00</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217,166,292.93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284,662,000.99</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817" w:name="bookmark1817"/>
      <w:bookmarkStart w:id="1818" w:name="bookmark1818"/>
      <w:bookmarkStart w:id="1819" w:name="bookmark1819"/>
      <w:r>
        <w:rPr>
          <w:color w:val="000000"/>
          <w:spacing w:val="0"/>
          <w:w w:val="100"/>
          <w:position w:val="0"/>
        </w:rPr>
        <w:t>十八、补充资料</w:t>
      </w:r>
      <w:bookmarkEnd w:id="1817"/>
      <w:bookmarkEnd w:id="1818"/>
      <w:bookmarkEnd w:id="1819"/>
    </w:p>
    <w:p>
      <w:pPr>
        <w:pStyle w:val="Style32"/>
        <w:keepNext/>
        <w:keepLines/>
        <w:widowControl w:val="0"/>
        <w:shd w:val="clear" w:color="auto" w:fill="auto"/>
        <w:bidi w:val="0"/>
        <w:spacing w:before="0" w:after="360" w:line="240" w:lineRule="auto"/>
        <w:ind w:left="0" w:right="0" w:firstLine="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20"/>
      <w:bookmarkEnd w:id="1821"/>
      <w:bookmarkEnd w:id="182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275"/>
        <w:gridCol w:w="3192"/>
      </w:tblGrid>
      <w:tr>
        <w:trPr>
          <w:trHeight w:val="40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98"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-287,694.62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23,501,820.68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3,024,070.11</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除同公司正常经营业务相关的有效套期保值业务外， 持有交易性金融资产、衍生金融资产、交易性金融负 债、衍生金融负债产生的公允价值变动损益，以及处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-10,845,929.90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8"/>
        <w:gridCol w:w="2275"/>
        <w:gridCol w:w="3192"/>
      </w:tblGrid>
      <w:tr>
        <w:trPr>
          <w:trHeight w:val="677"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置交易性金融资产、衍生金融资产、交易性金融负债、 衍生金融负债和其他债权投资取得的投资收益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单独进行减值测试的应收款项、合同资产减值准备转 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3,101,064.89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9,335,189.72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-168,947,429.11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处置</w:t>
            </w:r>
            <w:r>
              <w:rPr>
                <w:rFonts w:ascii="Times New Roman" w:eastAsia="Times New Roman" w:hAnsi="Times New Roman" w:cs="Times New Roman"/>
                <w:color w:val="000000"/>
                <w:spacing w:val="0"/>
                <w:w w:val="100"/>
                <w:position w:val="0"/>
                <w:sz w:val="18"/>
                <w:szCs w:val="18"/>
              </w:rPr>
              <w:t xml:space="preserve">StayNTouch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股权的长期股权 投资产生的投资收益亏损</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4,459,093.62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-749,459.77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-144,828,542.08</w:t>
            </w:r>
          </w:p>
        </w:tc>
        <w:tc>
          <w:tcPr>
            <w:tcBorders>
              <w:top w:val="single" w:sz="4"/>
              <w:left w:val="single" w:sz="4"/>
              <w:bottom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100" w:line="310"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02"/>
        <w:gridCol w:w="1498"/>
        <w:gridCol w:w="6686"/>
      </w:tblGrid>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49,205,340.39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增值税退税收入系公司根据国务院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2000]18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《鼓励软件产业和集成电路产业 发展的若干政策》及''国发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《关于印发进一步鼓励软件产业和集成电路产业 发展若干政策的通知》的规定，报告期内应收到的自行开发软件销售增值税退税收入， 由于该收入预计可以持续获得，故将其不作为非经常性损益。</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23"/>
      <w:bookmarkEnd w:id="1824"/>
      <w:bookmarkEnd w:id="1825"/>
    </w:p>
    <w:tbl>
      <w:tblPr>
        <w:tblOverlap w:val="never"/>
        <w:jc w:val="center"/>
        <w:tblLayout w:type="fixed"/>
      </w:tblPr>
      <w:tblGrid>
        <w:gridCol w:w="4262"/>
        <w:gridCol w:w="1488"/>
        <w:gridCol w:w="1915"/>
        <w:gridCol w:w="1920"/>
      </w:tblGrid>
      <w:tr>
        <w:trPr>
          <w:trHeight w:val="403" w:hRule="exact"/>
        </w:trPr>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加权平均净资产 收益率</w:t>
            </w:r>
          </w:p>
        </w:tc>
        <w:tc>
          <w:tcPr>
            <w:gridSpan w:val="2"/>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13" w:hRule="exact"/>
        </w:trPr>
        <w:tc>
          <w:tcPr>
            <w:tcBorders>
              <w:top w:val="single" w:sz="4"/>
              <w:left w:val="single" w:sz="4"/>
              <w:bottom w:val="single" w:sz="4"/>
            </w:tcBorders>
            <w:shd w:val="clear" w:color="auto" w:fill="D4D4D4"/>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3</w:t>
      </w:r>
      <w:bookmarkEnd w:id="1828"/>
      <w:r>
        <w:rPr>
          <w:color w:val="000000"/>
          <w:spacing w:val="0"/>
          <w:w w:val="100"/>
          <w:position w:val="0"/>
        </w:rPr>
        <w:t>、其他</w:t>
      </w:r>
      <w:bookmarkEnd w:id="1826"/>
      <w:bookmarkEnd w:id="1827"/>
      <w:bookmarkEnd w:id="1829"/>
    </w:p>
    <w:p>
      <w:pPr>
        <w:pStyle w:val="Style32"/>
        <w:keepNext/>
        <w:keepLines/>
        <w:widowControl w:val="0"/>
        <w:shd w:val="clear" w:color="auto" w:fill="auto"/>
        <w:bidi w:val="0"/>
        <w:spacing w:before="0" w:after="0" w:line="314" w:lineRule="exact"/>
        <w:ind w:left="0" w:right="0" w:firstLine="0"/>
        <w:jc w:val="both"/>
      </w:pPr>
      <w:bookmarkStart w:id="1826" w:name="bookmark1826"/>
      <w:bookmarkStart w:id="1827" w:name="bookmark1827"/>
      <w:bookmarkStart w:id="1830" w:name="bookmark1830"/>
      <w:r>
        <w:rPr>
          <w:color w:val="000000"/>
          <w:spacing w:val="0"/>
          <w:w w:val="100"/>
          <w:position w:val="0"/>
        </w:rPr>
        <w:t>资产负债表：</w:t>
      </w:r>
      <w:bookmarkEnd w:id="1826"/>
      <w:bookmarkEnd w:id="1827"/>
      <w:bookmarkEnd w:id="1830"/>
    </w:p>
    <w:p>
      <w:pPr>
        <w:pStyle w:val="Style35"/>
        <w:keepNext w:val="0"/>
        <w:keepLines w:val="0"/>
        <w:widowControl w:val="0"/>
        <w:numPr>
          <w:ilvl w:val="0"/>
          <w:numId w:val="71"/>
        </w:numPr>
        <w:shd w:val="clear" w:color="auto" w:fill="auto"/>
        <w:tabs>
          <w:tab w:pos="361" w:val="left"/>
        </w:tabs>
        <w:bidi w:val="0"/>
        <w:spacing w:before="0" w:after="0" w:line="314" w:lineRule="exact"/>
        <w:ind w:left="0" w:right="0" w:firstLine="0"/>
        <w:jc w:val="both"/>
      </w:pPr>
      <w:bookmarkStart w:id="1831" w:name="bookmark1831"/>
      <w:bookmarkEnd w:id="1831"/>
      <w:r>
        <w:rPr>
          <w:color w:val="000000"/>
          <w:spacing w:val="0"/>
          <w:w w:val="100"/>
          <w:position w:val="0"/>
        </w:rPr>
        <w:t>交易性金融资产本期较期初增长</w:t>
      </w:r>
      <w:r>
        <w:rPr>
          <w:rFonts w:ascii="Times New Roman" w:eastAsia="Times New Roman" w:hAnsi="Times New Roman" w:cs="Times New Roman"/>
          <w:color w:val="000000"/>
          <w:spacing w:val="0"/>
          <w:w w:val="100"/>
          <w:position w:val="0"/>
        </w:rPr>
        <w:t>95.54%</w:t>
      </w:r>
      <w:r>
        <w:rPr>
          <w:color w:val="000000"/>
          <w:spacing w:val="0"/>
          <w:w w:val="100"/>
          <w:position w:val="0"/>
        </w:rPr>
        <w:t>,主要系本期购买的理财产品较期初增加较多所致；</w:t>
      </w:r>
    </w:p>
    <w:p>
      <w:pPr>
        <w:pStyle w:val="Style35"/>
        <w:keepNext w:val="0"/>
        <w:keepLines w:val="0"/>
        <w:widowControl w:val="0"/>
        <w:numPr>
          <w:ilvl w:val="0"/>
          <w:numId w:val="71"/>
        </w:numPr>
        <w:shd w:val="clear" w:color="auto" w:fill="auto"/>
        <w:tabs>
          <w:tab w:pos="361" w:val="left"/>
        </w:tabs>
        <w:bidi w:val="0"/>
        <w:spacing w:before="0" w:after="0" w:line="314" w:lineRule="exact"/>
        <w:ind w:left="0" w:right="0" w:firstLine="0"/>
        <w:jc w:val="both"/>
      </w:pPr>
      <w:bookmarkStart w:id="1832" w:name="bookmark1832"/>
      <w:bookmarkEnd w:id="1832"/>
      <w:r>
        <w:rPr>
          <w:color w:val="000000"/>
          <w:spacing w:val="0"/>
          <w:w w:val="100"/>
          <w:position w:val="0"/>
        </w:rPr>
        <w:t>应收票据本期较期初增长</w:t>
      </w:r>
      <w:r>
        <w:rPr>
          <w:rFonts w:ascii="Times New Roman" w:eastAsia="Times New Roman" w:hAnsi="Times New Roman" w:cs="Times New Roman"/>
          <w:color w:val="000000"/>
          <w:spacing w:val="0"/>
          <w:w w:val="100"/>
          <w:position w:val="0"/>
        </w:rPr>
        <w:t>123.70%</w:t>
      </w:r>
      <w:r>
        <w:rPr>
          <w:color w:val="000000"/>
          <w:spacing w:val="0"/>
          <w:w w:val="100"/>
          <w:position w:val="0"/>
        </w:rPr>
        <w:t>，主要系控股子公司本期收到的商业承兑汇票较期初增加较多所致；</w:t>
      </w:r>
    </w:p>
    <w:p>
      <w:pPr>
        <w:pStyle w:val="Style35"/>
        <w:keepNext w:val="0"/>
        <w:keepLines w:val="0"/>
        <w:widowControl w:val="0"/>
        <w:numPr>
          <w:ilvl w:val="0"/>
          <w:numId w:val="71"/>
        </w:numPr>
        <w:shd w:val="clear" w:color="auto" w:fill="auto"/>
        <w:tabs>
          <w:tab w:pos="361" w:val="left"/>
        </w:tabs>
        <w:bidi w:val="0"/>
        <w:spacing w:before="0" w:after="0" w:line="314" w:lineRule="exact"/>
        <w:ind w:left="0" w:right="0" w:firstLine="0"/>
        <w:jc w:val="both"/>
      </w:pPr>
      <w:bookmarkStart w:id="1833" w:name="bookmark1833"/>
      <w:bookmarkEnd w:id="1833"/>
      <w:r>
        <w:rPr>
          <w:color w:val="000000"/>
          <w:spacing w:val="0"/>
          <w:w w:val="100"/>
          <w:position w:val="0"/>
        </w:rPr>
        <w:t>其他应收款本期较期初下降</w:t>
      </w:r>
      <w:r>
        <w:rPr>
          <w:rFonts w:ascii="Times New Roman" w:eastAsia="Times New Roman" w:hAnsi="Times New Roman" w:cs="Times New Roman"/>
          <w:color w:val="000000"/>
          <w:spacing w:val="0"/>
          <w:w w:val="100"/>
          <w:position w:val="0"/>
        </w:rPr>
        <w:t>45.77%</w:t>
      </w:r>
      <w:r>
        <w:rPr>
          <w:color w:val="000000"/>
          <w:spacing w:val="0"/>
          <w:w w:val="100"/>
          <w:position w:val="0"/>
        </w:rPr>
        <w:t>，主要系本期收回期初应收的存款利息较多所致；</w:t>
      </w:r>
    </w:p>
    <w:p>
      <w:pPr>
        <w:pStyle w:val="Style35"/>
        <w:keepNext w:val="0"/>
        <w:keepLines w:val="0"/>
        <w:widowControl w:val="0"/>
        <w:numPr>
          <w:ilvl w:val="0"/>
          <w:numId w:val="71"/>
        </w:numPr>
        <w:shd w:val="clear" w:color="auto" w:fill="auto"/>
        <w:tabs>
          <w:tab w:pos="361" w:val="left"/>
        </w:tabs>
        <w:bidi w:val="0"/>
        <w:spacing w:before="0" w:after="0" w:line="314" w:lineRule="exact"/>
        <w:ind w:left="380" w:right="0" w:hanging="380"/>
        <w:jc w:val="both"/>
      </w:pPr>
      <w:bookmarkStart w:id="1834" w:name="bookmark1834"/>
      <w:bookmarkEnd w:id="1834"/>
      <w:r>
        <w:rPr>
          <w:color w:val="000000"/>
          <w:spacing w:val="0"/>
          <w:w w:val="100"/>
          <w:position w:val="0"/>
        </w:rPr>
        <w:t>其他流动资产本期较期初下降</w:t>
      </w:r>
      <w:r>
        <w:rPr>
          <w:rFonts w:ascii="Times New Roman" w:eastAsia="Times New Roman" w:hAnsi="Times New Roman" w:cs="Times New Roman"/>
          <w:color w:val="000000"/>
          <w:spacing w:val="0"/>
          <w:w w:val="100"/>
          <w:position w:val="0"/>
        </w:rPr>
        <w:t>56.31%</w:t>
      </w:r>
      <w:r>
        <w:rPr>
          <w:color w:val="000000"/>
          <w:spacing w:val="0"/>
          <w:w w:val="100"/>
          <w:position w:val="0"/>
        </w:rPr>
        <w:t>，主要系理财产品购买较少，及预缴增值税较期初大幅下降共同 所致；</w:t>
      </w:r>
    </w:p>
    <w:p>
      <w:pPr>
        <w:pStyle w:val="Style35"/>
        <w:keepNext w:val="0"/>
        <w:keepLines w:val="0"/>
        <w:widowControl w:val="0"/>
        <w:numPr>
          <w:ilvl w:val="0"/>
          <w:numId w:val="71"/>
        </w:numPr>
        <w:shd w:val="clear" w:color="auto" w:fill="auto"/>
        <w:tabs>
          <w:tab w:pos="361" w:val="left"/>
        </w:tabs>
        <w:bidi w:val="0"/>
        <w:spacing w:before="0" w:after="0" w:line="314" w:lineRule="exact"/>
        <w:ind w:left="380" w:right="0" w:hanging="380"/>
        <w:jc w:val="both"/>
      </w:pPr>
      <w:bookmarkStart w:id="1835" w:name="bookmark1835"/>
      <w:bookmarkEnd w:id="1835"/>
      <w:r>
        <w:rPr>
          <w:color w:val="000000"/>
          <w:spacing w:val="0"/>
          <w:w w:val="100"/>
          <w:position w:val="0"/>
        </w:rPr>
        <w:t>长期应收款本期较期初增加</w:t>
      </w:r>
      <w:r>
        <w:rPr>
          <w:rFonts w:ascii="Times New Roman" w:eastAsia="Times New Roman" w:hAnsi="Times New Roman" w:cs="Times New Roman"/>
          <w:color w:val="000000"/>
          <w:spacing w:val="0"/>
          <w:w w:val="100"/>
          <w:position w:val="0"/>
        </w:rPr>
        <w:t>2963</w:t>
      </w:r>
      <w:r>
        <w:rPr>
          <w:color w:val="000000"/>
          <w:spacing w:val="0"/>
          <w:w w:val="100"/>
          <w:position w:val="0"/>
        </w:rPr>
        <w:t>万元，主要系下属子公司青岛海信智能商用由于取消购房需求，原购 房保证金从其他非流动资产转入长期应收款所致；</w:t>
      </w:r>
    </w:p>
    <w:p>
      <w:pPr>
        <w:pStyle w:val="Style35"/>
        <w:keepNext w:val="0"/>
        <w:keepLines w:val="0"/>
        <w:widowControl w:val="0"/>
        <w:numPr>
          <w:ilvl w:val="0"/>
          <w:numId w:val="71"/>
        </w:numPr>
        <w:shd w:val="clear" w:color="auto" w:fill="auto"/>
        <w:tabs>
          <w:tab w:pos="361" w:val="left"/>
        </w:tabs>
        <w:bidi w:val="0"/>
        <w:spacing w:before="0" w:after="0" w:line="314" w:lineRule="exact"/>
        <w:ind w:left="380" w:right="0" w:hanging="380"/>
        <w:jc w:val="both"/>
      </w:pPr>
      <w:bookmarkStart w:id="1836" w:name="bookmark1836"/>
      <w:bookmarkEnd w:id="1836"/>
      <w:r>
        <w:rPr>
          <w:color w:val="000000"/>
          <w:spacing w:val="0"/>
          <w:w w:val="100"/>
          <w:position w:val="0"/>
        </w:rPr>
        <w:t>开发支出本期较期初增长</w:t>
      </w:r>
      <w:r>
        <w:rPr>
          <w:rFonts w:ascii="Times New Roman" w:eastAsia="Times New Roman" w:hAnsi="Times New Roman" w:cs="Times New Roman"/>
          <w:color w:val="000000"/>
          <w:spacing w:val="0"/>
          <w:w w:val="100"/>
          <w:position w:val="0"/>
        </w:rPr>
        <w:t>66.12%</w:t>
      </w:r>
      <w:r>
        <w:rPr>
          <w:color w:val="000000"/>
          <w:spacing w:val="0"/>
          <w:w w:val="100"/>
          <w:position w:val="0"/>
        </w:rPr>
        <w:t>，主要系境外子公司</w:t>
      </w:r>
      <w:r>
        <w:rPr>
          <w:rFonts w:ascii="Times New Roman" w:eastAsia="Times New Roman" w:hAnsi="Times New Roman" w:cs="Times New Roman"/>
          <w:color w:val="000000"/>
          <w:spacing w:val="0"/>
          <w:w w:val="100"/>
          <w:position w:val="0"/>
        </w:rPr>
        <w:t xml:space="preserve">Shiji Singapore </w:t>
      </w:r>
      <w:r>
        <w:rPr>
          <w:color w:val="000000"/>
          <w:spacing w:val="0"/>
          <w:w w:val="100"/>
          <w:position w:val="0"/>
        </w:rPr>
        <w:t>[</w:t>
      </w:r>
      <w:r>
        <w:rPr>
          <w:rFonts w:ascii="Times New Roman" w:eastAsia="Times New Roman" w:hAnsi="Times New Roman" w:cs="Times New Roman"/>
          <w:color w:val="000000"/>
          <w:spacing w:val="0"/>
          <w:w w:val="100"/>
          <w:position w:val="0"/>
        </w:rPr>
        <w:t>AC CLOUD</w:t>
      </w:r>
      <w:r>
        <w:rPr>
          <w:color w:val="000000"/>
          <w:spacing w:val="0"/>
          <w:w w:val="100"/>
          <w:position w:val="0"/>
        </w:rPr>
        <w:t>】</w:t>
      </w:r>
      <w:r>
        <w:rPr>
          <w:color w:val="000000"/>
          <w:spacing w:val="0"/>
          <w:w w:val="100"/>
          <w:position w:val="0"/>
        </w:rPr>
        <w:t>项目未研发完成， 期末余额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.36</w:t>
      </w:r>
      <w:r>
        <w:rPr>
          <w:color w:val="000000"/>
          <w:spacing w:val="0"/>
          <w:w w:val="100"/>
          <w:position w:val="0"/>
        </w:rPr>
        <w:t>亿较期初增加</w:t>
      </w:r>
      <w:r>
        <w:rPr>
          <w:rFonts w:ascii="Times New Roman" w:eastAsia="Times New Roman" w:hAnsi="Times New Roman" w:cs="Times New Roman"/>
          <w:color w:val="000000"/>
          <w:spacing w:val="0"/>
          <w:w w:val="100"/>
          <w:position w:val="0"/>
        </w:rPr>
        <w:t>1.07</w:t>
      </w:r>
      <w:r>
        <w:rPr>
          <w:color w:val="000000"/>
          <w:spacing w:val="0"/>
          <w:w w:val="100"/>
          <w:position w:val="0"/>
        </w:rPr>
        <w:t>亿所致；</w:t>
      </w:r>
    </w:p>
    <w:p>
      <w:pPr>
        <w:pStyle w:val="Style35"/>
        <w:keepNext w:val="0"/>
        <w:keepLines w:val="0"/>
        <w:widowControl w:val="0"/>
        <w:numPr>
          <w:ilvl w:val="0"/>
          <w:numId w:val="71"/>
        </w:numPr>
        <w:shd w:val="clear" w:color="auto" w:fill="auto"/>
        <w:tabs>
          <w:tab w:pos="361" w:val="left"/>
        </w:tabs>
        <w:bidi w:val="0"/>
        <w:spacing w:before="0" w:after="200" w:line="314" w:lineRule="exact"/>
        <w:ind w:left="0" w:right="0" w:firstLine="0"/>
        <w:jc w:val="both"/>
      </w:pPr>
      <w:bookmarkStart w:id="1837" w:name="bookmark1837"/>
      <w:bookmarkEnd w:id="1837"/>
      <w:r>
        <w:rPr>
          <w:color w:val="000000"/>
          <w:spacing w:val="0"/>
          <w:w w:val="100"/>
          <w:position w:val="0"/>
        </w:rPr>
        <w:t>长期待摊费用本期较期初增长</w:t>
      </w:r>
      <w:r>
        <w:rPr>
          <w:rFonts w:ascii="Times New Roman" w:eastAsia="Times New Roman" w:hAnsi="Times New Roman" w:cs="Times New Roman"/>
          <w:color w:val="000000"/>
          <w:spacing w:val="0"/>
          <w:w w:val="100"/>
          <w:position w:val="0"/>
        </w:rPr>
        <w:t>58.65%</w:t>
      </w:r>
      <w:r>
        <w:rPr>
          <w:color w:val="000000"/>
          <w:spacing w:val="0"/>
          <w:w w:val="100"/>
          <w:position w:val="0"/>
        </w:rPr>
        <w:t>，主要系本期新增办公楼改造项目及下属子公司装修费新增较多</w:t>
      </w:r>
    </w:p>
    <w:p>
      <w:pPr>
        <w:pStyle w:val="Style3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共同所致；</w:t>
      </w:r>
    </w:p>
    <w:p>
      <w:pPr>
        <w:pStyle w:val="Style35"/>
        <w:keepNext w:val="0"/>
        <w:keepLines w:val="0"/>
        <w:widowControl w:val="0"/>
        <w:numPr>
          <w:ilvl w:val="0"/>
          <w:numId w:val="71"/>
        </w:numPr>
        <w:shd w:val="clear" w:color="auto" w:fill="auto"/>
        <w:tabs>
          <w:tab w:pos="357" w:val="left"/>
        </w:tabs>
        <w:bidi w:val="0"/>
        <w:spacing w:before="0" w:after="0" w:line="319" w:lineRule="exact"/>
        <w:ind w:left="380" w:right="0" w:hanging="380"/>
        <w:jc w:val="both"/>
      </w:pPr>
      <w:bookmarkStart w:id="1838" w:name="bookmark1838"/>
      <w:bookmarkEnd w:id="1838"/>
      <w:r>
        <w:rPr>
          <w:color w:val="000000"/>
          <w:spacing w:val="0"/>
          <w:w w:val="100"/>
          <w:position w:val="0"/>
        </w:rPr>
        <w:t>其他非流动资产本期较期初下降</w:t>
      </w:r>
      <w:r>
        <w:rPr>
          <w:rFonts w:ascii="Times New Roman" w:eastAsia="Times New Roman" w:hAnsi="Times New Roman" w:cs="Times New Roman"/>
          <w:color w:val="000000"/>
          <w:spacing w:val="0"/>
          <w:w w:val="100"/>
          <w:position w:val="0"/>
        </w:rPr>
        <w:t>95.26%</w:t>
      </w:r>
      <w:r>
        <w:rPr>
          <w:color w:val="000000"/>
          <w:spacing w:val="0"/>
          <w:w w:val="100"/>
          <w:position w:val="0"/>
        </w:rPr>
        <w:t>，主要系下属子公司青岛海信智能商用由于更改购房需求，原 购房保证金从其他非流动资产转入长期应收款，及石基零售参股科码先锋公司认购完成转为长期股权 投资共同所致；</w:t>
      </w:r>
    </w:p>
    <w:p>
      <w:pPr>
        <w:pStyle w:val="Style35"/>
        <w:keepNext w:val="0"/>
        <w:keepLines w:val="0"/>
        <w:widowControl w:val="0"/>
        <w:numPr>
          <w:ilvl w:val="0"/>
          <w:numId w:val="71"/>
        </w:numPr>
        <w:shd w:val="clear" w:color="auto" w:fill="auto"/>
        <w:tabs>
          <w:tab w:pos="357" w:val="left"/>
        </w:tabs>
        <w:bidi w:val="0"/>
        <w:spacing w:before="0" w:after="0" w:line="313" w:lineRule="exact"/>
        <w:ind w:left="0" w:right="0" w:firstLine="0"/>
        <w:jc w:val="left"/>
      </w:pPr>
      <w:bookmarkStart w:id="1839" w:name="bookmark1839"/>
      <w:bookmarkEnd w:id="1839"/>
      <w:r>
        <w:rPr>
          <w:color w:val="000000"/>
          <w:spacing w:val="0"/>
          <w:w w:val="100"/>
          <w:position w:val="0"/>
        </w:rPr>
        <w:t>短期借款本期较期初增长，主要系本期石基香港较上期增加</w:t>
      </w:r>
      <w:r>
        <w:rPr>
          <w:rFonts w:ascii="Times New Roman" w:eastAsia="Times New Roman" w:hAnsi="Times New Roman" w:cs="Times New Roman"/>
          <w:color w:val="000000"/>
          <w:spacing w:val="0"/>
          <w:w w:val="100"/>
          <w:position w:val="0"/>
        </w:rPr>
        <w:t>35.23</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短期信用借款所致；</w:t>
      </w:r>
    </w:p>
    <w:p>
      <w:pPr>
        <w:pStyle w:val="Style35"/>
        <w:keepNext w:val="0"/>
        <w:keepLines w:val="0"/>
        <w:widowControl w:val="0"/>
        <w:numPr>
          <w:ilvl w:val="0"/>
          <w:numId w:val="71"/>
        </w:numPr>
        <w:shd w:val="clear" w:color="auto" w:fill="auto"/>
        <w:tabs>
          <w:tab w:pos="421" w:val="left"/>
        </w:tabs>
        <w:bidi w:val="0"/>
        <w:spacing w:before="0" w:after="0" w:line="313" w:lineRule="exact"/>
        <w:ind w:left="380" w:right="0" w:hanging="380"/>
        <w:jc w:val="both"/>
      </w:pPr>
      <w:bookmarkStart w:id="1840" w:name="bookmark1840"/>
      <w:bookmarkEnd w:id="1840"/>
      <w:r>
        <w:rPr>
          <w:color w:val="000000"/>
          <w:spacing w:val="0"/>
          <w:w w:val="100"/>
          <w:position w:val="0"/>
        </w:rPr>
        <w:t>交易性金融负债本期较期初增长，主要系股权处置过程中的业绩承诺履行情况，按照公允价值调整处 置价款及投资收益致上海正品及总公司增加所致；</w:t>
      </w:r>
    </w:p>
    <w:p>
      <w:pPr>
        <w:pStyle w:val="Style35"/>
        <w:keepNext w:val="0"/>
        <w:keepLines w:val="0"/>
        <w:widowControl w:val="0"/>
        <w:numPr>
          <w:ilvl w:val="0"/>
          <w:numId w:val="71"/>
        </w:numPr>
        <w:shd w:val="clear" w:color="auto" w:fill="auto"/>
        <w:tabs>
          <w:tab w:pos="421" w:val="left"/>
        </w:tabs>
        <w:bidi w:val="0"/>
        <w:spacing w:before="0" w:after="0" w:line="313" w:lineRule="exact"/>
        <w:ind w:left="380" w:right="0" w:hanging="380"/>
        <w:jc w:val="both"/>
      </w:pPr>
      <w:bookmarkStart w:id="1841" w:name="bookmark1841"/>
      <w:bookmarkEnd w:id="1841"/>
      <w:r>
        <w:rPr>
          <w:color w:val="000000"/>
          <w:spacing w:val="0"/>
          <w:w w:val="100"/>
          <w:position w:val="0"/>
        </w:rPr>
        <w:t>应付票据本期较期初下降</w:t>
      </w:r>
      <w:r>
        <w:rPr>
          <w:rFonts w:ascii="Times New Roman" w:eastAsia="Times New Roman" w:hAnsi="Times New Roman" w:cs="Times New Roman"/>
          <w:color w:val="000000"/>
          <w:spacing w:val="0"/>
          <w:w w:val="100"/>
          <w:position w:val="0"/>
        </w:rPr>
        <w:t>32.73%</w:t>
      </w:r>
      <w:r>
        <w:rPr>
          <w:color w:val="000000"/>
          <w:spacing w:val="0"/>
          <w:w w:val="100"/>
          <w:position w:val="0"/>
        </w:rPr>
        <w:t>，主要系中电对爱普生、施乐的采购量减少，这两家供应商采用银行 承兑汇票结算，应付票据随着业务量的下降而减少所致；</w:t>
      </w:r>
    </w:p>
    <w:p>
      <w:pPr>
        <w:pStyle w:val="Style35"/>
        <w:keepNext w:val="0"/>
        <w:keepLines w:val="0"/>
        <w:widowControl w:val="0"/>
        <w:numPr>
          <w:ilvl w:val="0"/>
          <w:numId w:val="71"/>
        </w:numPr>
        <w:shd w:val="clear" w:color="auto" w:fill="auto"/>
        <w:tabs>
          <w:tab w:pos="421" w:val="left"/>
        </w:tabs>
        <w:bidi w:val="0"/>
        <w:spacing w:before="0" w:after="0" w:line="313" w:lineRule="exact"/>
        <w:ind w:left="380" w:right="0" w:hanging="380"/>
        <w:jc w:val="both"/>
      </w:pPr>
      <w:bookmarkStart w:id="1842" w:name="bookmark1842"/>
      <w:bookmarkEnd w:id="1842"/>
      <w:r>
        <w:rPr>
          <w:color w:val="000000"/>
          <w:spacing w:val="0"/>
          <w:w w:val="100"/>
          <w:position w:val="0"/>
        </w:rPr>
        <w:t>应交税费本期较期初增长</w:t>
      </w:r>
      <w:r>
        <w:rPr>
          <w:rFonts w:ascii="Times New Roman" w:eastAsia="Times New Roman" w:hAnsi="Times New Roman" w:cs="Times New Roman"/>
          <w:color w:val="000000"/>
          <w:spacing w:val="0"/>
          <w:w w:val="100"/>
          <w:position w:val="0"/>
        </w:rPr>
        <w:t>51.81%</w:t>
      </w:r>
      <w:r>
        <w:rPr>
          <w:color w:val="000000"/>
          <w:spacing w:val="0"/>
          <w:w w:val="100"/>
          <w:position w:val="0"/>
        </w:rPr>
        <w:t>，主要系石基香港出售石基零售</w:t>
      </w:r>
      <w:r>
        <w:rPr>
          <w:rFonts w:ascii="Times New Roman" w:eastAsia="Times New Roman" w:hAnsi="Times New Roman" w:cs="Times New Roman"/>
          <w:color w:val="000000"/>
          <w:spacing w:val="0"/>
          <w:w w:val="100"/>
          <w:position w:val="0"/>
        </w:rPr>
        <w:t>38%</w:t>
      </w:r>
      <w:r>
        <w:rPr>
          <w:color w:val="000000"/>
          <w:spacing w:val="0"/>
          <w:w w:val="100"/>
          <w:position w:val="0"/>
        </w:rPr>
        <w:t>股权交易计提应交所得税较多所 致；</w:t>
      </w:r>
    </w:p>
    <w:p>
      <w:pPr>
        <w:pStyle w:val="Style35"/>
        <w:keepNext w:val="0"/>
        <w:keepLines w:val="0"/>
        <w:widowControl w:val="0"/>
        <w:numPr>
          <w:ilvl w:val="0"/>
          <w:numId w:val="71"/>
        </w:numPr>
        <w:shd w:val="clear" w:color="auto" w:fill="auto"/>
        <w:tabs>
          <w:tab w:pos="421" w:val="left"/>
        </w:tabs>
        <w:bidi w:val="0"/>
        <w:spacing w:before="0" w:after="0" w:line="313" w:lineRule="exact"/>
        <w:ind w:left="0" w:right="0" w:firstLine="0"/>
        <w:jc w:val="left"/>
      </w:pPr>
      <w:bookmarkStart w:id="1843" w:name="bookmark1843"/>
      <w:bookmarkEnd w:id="1843"/>
      <w:r>
        <w:rPr>
          <w:color w:val="000000"/>
          <w:spacing w:val="0"/>
          <w:w w:val="100"/>
          <w:position w:val="0"/>
        </w:rPr>
        <w:t>其他应付款本期较期初下降</w:t>
      </w:r>
      <w:r>
        <w:rPr>
          <w:rFonts w:ascii="Times New Roman" w:eastAsia="Times New Roman" w:hAnsi="Times New Roman" w:cs="Times New Roman"/>
          <w:color w:val="000000"/>
          <w:spacing w:val="0"/>
          <w:w w:val="100"/>
          <w:position w:val="0"/>
        </w:rPr>
        <w:t>30.54%</w:t>
      </w:r>
      <w:r>
        <w:rPr>
          <w:color w:val="000000"/>
          <w:spacing w:val="0"/>
          <w:w w:val="100"/>
          <w:position w:val="0"/>
        </w:rPr>
        <w:t>，主要系本期支付的股权转让款较多所致；</w:t>
      </w:r>
    </w:p>
    <w:p>
      <w:pPr>
        <w:pStyle w:val="Style35"/>
        <w:keepNext w:val="0"/>
        <w:keepLines w:val="0"/>
        <w:widowControl w:val="0"/>
        <w:numPr>
          <w:ilvl w:val="0"/>
          <w:numId w:val="71"/>
        </w:numPr>
        <w:shd w:val="clear" w:color="auto" w:fill="auto"/>
        <w:tabs>
          <w:tab w:pos="421" w:val="left"/>
        </w:tabs>
        <w:bidi w:val="0"/>
        <w:spacing w:before="0" w:after="0" w:line="313" w:lineRule="exact"/>
        <w:ind w:left="0" w:right="0" w:firstLine="0"/>
        <w:jc w:val="left"/>
      </w:pPr>
      <w:bookmarkStart w:id="1844" w:name="bookmark1844"/>
      <w:bookmarkEnd w:id="1844"/>
      <w:r>
        <w:rPr>
          <w:color w:val="000000"/>
          <w:spacing w:val="0"/>
          <w:w w:val="100"/>
          <w:position w:val="0"/>
        </w:rPr>
        <w:t>其他流动负债本期较期初增长，主要系本期根据新收入准则要求，科目重分类所致；</w:t>
      </w:r>
    </w:p>
    <w:p>
      <w:pPr>
        <w:pStyle w:val="Style35"/>
        <w:keepNext w:val="0"/>
        <w:keepLines w:val="0"/>
        <w:widowControl w:val="0"/>
        <w:numPr>
          <w:ilvl w:val="0"/>
          <w:numId w:val="71"/>
        </w:numPr>
        <w:shd w:val="clear" w:color="auto" w:fill="auto"/>
        <w:tabs>
          <w:tab w:pos="421" w:val="left"/>
        </w:tabs>
        <w:bidi w:val="0"/>
        <w:spacing w:before="0" w:after="0" w:line="313" w:lineRule="exact"/>
        <w:ind w:left="0" w:right="0" w:firstLine="0"/>
        <w:jc w:val="left"/>
      </w:pPr>
      <w:bookmarkStart w:id="1845" w:name="bookmark1845"/>
      <w:bookmarkEnd w:id="1845"/>
      <w:r>
        <w:rPr>
          <w:color w:val="000000"/>
          <w:spacing w:val="0"/>
          <w:w w:val="100"/>
          <w:position w:val="0"/>
        </w:rPr>
        <w:t>应付股利本期较期初增长，主要系上海时运应付其他小股东股利所致；</w:t>
      </w:r>
    </w:p>
    <w:p>
      <w:pPr>
        <w:pStyle w:val="Style35"/>
        <w:keepNext w:val="0"/>
        <w:keepLines w:val="0"/>
        <w:widowControl w:val="0"/>
        <w:numPr>
          <w:ilvl w:val="0"/>
          <w:numId w:val="71"/>
        </w:numPr>
        <w:shd w:val="clear" w:color="auto" w:fill="auto"/>
        <w:tabs>
          <w:tab w:pos="421" w:val="left"/>
        </w:tabs>
        <w:bidi w:val="0"/>
        <w:spacing w:before="0" w:after="0" w:line="313" w:lineRule="exact"/>
        <w:ind w:left="380" w:right="0" w:hanging="380"/>
        <w:jc w:val="both"/>
      </w:pPr>
      <w:bookmarkStart w:id="1846" w:name="bookmark1846"/>
      <w:bookmarkEnd w:id="1846"/>
      <w:r>
        <w:rPr>
          <w:color w:val="000000"/>
          <w:spacing w:val="0"/>
          <w:w w:val="100"/>
          <w:position w:val="0"/>
        </w:rPr>
        <w:t>递延收益本期较期初增长</w:t>
      </w:r>
      <w:r>
        <w:rPr>
          <w:rFonts w:ascii="Times New Roman" w:eastAsia="Times New Roman" w:hAnsi="Times New Roman" w:cs="Times New Roman"/>
          <w:color w:val="000000"/>
          <w:spacing w:val="0"/>
          <w:w w:val="100"/>
          <w:position w:val="0"/>
        </w:rPr>
        <w:t>342.66%</w:t>
      </w:r>
      <w:r>
        <w:rPr>
          <w:color w:val="000000"/>
          <w:spacing w:val="0"/>
          <w:w w:val="100"/>
          <w:position w:val="0"/>
        </w:rPr>
        <w:t>，主要系下属子公司北海石基本期新增政府补助项目疫情专项发展资 金及康桥云酒店管理系统专项资金较多所致；</w:t>
      </w:r>
    </w:p>
    <w:p>
      <w:pPr>
        <w:pStyle w:val="Style35"/>
        <w:keepNext w:val="0"/>
        <w:keepLines w:val="0"/>
        <w:widowControl w:val="0"/>
        <w:numPr>
          <w:ilvl w:val="0"/>
          <w:numId w:val="71"/>
        </w:numPr>
        <w:shd w:val="clear" w:color="auto" w:fill="auto"/>
        <w:tabs>
          <w:tab w:pos="421" w:val="left"/>
        </w:tabs>
        <w:bidi w:val="0"/>
        <w:spacing w:before="0" w:after="0" w:line="313" w:lineRule="exact"/>
        <w:ind w:left="0" w:right="0" w:firstLine="0"/>
        <w:jc w:val="both"/>
      </w:pPr>
      <w:bookmarkStart w:id="1847" w:name="bookmark1847"/>
      <w:bookmarkEnd w:id="1847"/>
      <w:r>
        <w:rPr>
          <w:color w:val="000000"/>
          <w:spacing w:val="0"/>
          <w:w w:val="100"/>
          <w:position w:val="0"/>
        </w:rPr>
        <w:t>其他综合收益本期较期初下降</w:t>
      </w:r>
      <w:r>
        <w:rPr>
          <w:rFonts w:ascii="Times New Roman" w:eastAsia="Times New Roman" w:hAnsi="Times New Roman" w:cs="Times New Roman"/>
          <w:color w:val="000000"/>
          <w:spacing w:val="0"/>
          <w:w w:val="100"/>
          <w:position w:val="0"/>
        </w:rPr>
        <w:t>46.24%</w:t>
      </w:r>
      <w:r>
        <w:rPr>
          <w:color w:val="000000"/>
          <w:spacing w:val="0"/>
          <w:w w:val="100"/>
          <w:position w:val="0"/>
        </w:rPr>
        <w:t>，主要系汇率变动所致。</w:t>
      </w:r>
    </w:p>
    <w:p>
      <w:pPr>
        <w:pStyle w:val="Style35"/>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利润表：</w:t>
      </w:r>
    </w:p>
    <w:p>
      <w:pPr>
        <w:pStyle w:val="Style35"/>
        <w:keepNext w:val="0"/>
        <w:keepLines w:val="0"/>
        <w:widowControl w:val="0"/>
        <w:numPr>
          <w:ilvl w:val="0"/>
          <w:numId w:val="73"/>
        </w:numPr>
        <w:shd w:val="clear" w:color="auto" w:fill="auto"/>
        <w:tabs>
          <w:tab w:pos="357" w:val="left"/>
        </w:tabs>
        <w:bidi w:val="0"/>
        <w:spacing w:before="0" w:after="0" w:line="313" w:lineRule="exact"/>
        <w:ind w:left="380" w:right="0" w:hanging="380"/>
        <w:jc w:val="both"/>
      </w:pPr>
      <w:bookmarkStart w:id="1848" w:name="bookmark1848"/>
      <w:bookmarkEnd w:id="1848"/>
      <w:r>
        <w:rPr>
          <w:color w:val="000000"/>
          <w:spacing w:val="0"/>
          <w:w w:val="100"/>
          <w:position w:val="0"/>
        </w:rPr>
        <w:t>税金及附加本期较上年同期下降</w:t>
      </w:r>
      <w:r>
        <w:rPr>
          <w:rFonts w:ascii="Times New Roman" w:eastAsia="Times New Roman" w:hAnsi="Times New Roman" w:cs="Times New Roman"/>
          <w:color w:val="000000"/>
          <w:spacing w:val="0"/>
          <w:w w:val="100"/>
          <w:position w:val="0"/>
        </w:rPr>
        <w:t>36.22%</w:t>
      </w:r>
      <w:r>
        <w:rPr>
          <w:color w:val="000000"/>
          <w:spacing w:val="0"/>
          <w:w w:val="100"/>
          <w:position w:val="0"/>
        </w:rPr>
        <w:t>，主要系因疫情影响，导致附加税同比下降，及下属子公司中 电因疫情获房产税减免等共同所致；</w:t>
      </w:r>
    </w:p>
    <w:p>
      <w:pPr>
        <w:pStyle w:val="Style35"/>
        <w:keepNext w:val="0"/>
        <w:keepLines w:val="0"/>
        <w:widowControl w:val="0"/>
        <w:numPr>
          <w:ilvl w:val="0"/>
          <w:numId w:val="73"/>
        </w:numPr>
        <w:shd w:val="clear" w:color="auto" w:fill="auto"/>
        <w:tabs>
          <w:tab w:pos="357" w:val="left"/>
        </w:tabs>
        <w:bidi w:val="0"/>
        <w:spacing w:before="0" w:after="0" w:line="313" w:lineRule="exact"/>
        <w:ind w:left="0" w:right="0" w:firstLine="0"/>
        <w:jc w:val="left"/>
      </w:pPr>
      <w:bookmarkStart w:id="1849" w:name="bookmark1849"/>
      <w:bookmarkEnd w:id="1849"/>
      <w:r>
        <w:rPr>
          <w:color w:val="000000"/>
          <w:spacing w:val="0"/>
          <w:w w:val="100"/>
          <w:position w:val="0"/>
        </w:rPr>
        <w:t>财务费用本期较上年同期增长</w:t>
      </w:r>
      <w:r>
        <w:rPr>
          <w:rFonts w:ascii="Times New Roman" w:eastAsia="Times New Roman" w:hAnsi="Times New Roman" w:cs="Times New Roman"/>
          <w:color w:val="000000"/>
          <w:spacing w:val="0"/>
          <w:w w:val="100"/>
          <w:position w:val="0"/>
        </w:rPr>
        <w:t>44.78%</w:t>
      </w:r>
      <w:r>
        <w:rPr>
          <w:color w:val="000000"/>
          <w:spacing w:val="0"/>
          <w:w w:val="100"/>
          <w:position w:val="0"/>
        </w:rPr>
        <w:t xml:space="preserve">，主要系汇兑损失较上期同期增加了 </w:t>
      </w:r>
      <w:r>
        <w:rPr>
          <w:rFonts w:ascii="Times New Roman" w:eastAsia="Times New Roman" w:hAnsi="Times New Roman" w:cs="Times New Roman"/>
          <w:color w:val="000000"/>
          <w:spacing w:val="0"/>
          <w:w w:val="100"/>
          <w:position w:val="0"/>
        </w:rPr>
        <w:t>10226.48</w:t>
      </w:r>
      <w:r>
        <w:rPr>
          <w:color w:val="000000"/>
          <w:spacing w:val="0"/>
          <w:w w:val="100"/>
          <w:position w:val="0"/>
        </w:rPr>
        <w:t>万所致；</w:t>
      </w:r>
    </w:p>
    <w:p>
      <w:pPr>
        <w:pStyle w:val="Style35"/>
        <w:keepNext w:val="0"/>
        <w:keepLines w:val="0"/>
        <w:widowControl w:val="0"/>
        <w:numPr>
          <w:ilvl w:val="0"/>
          <w:numId w:val="73"/>
        </w:numPr>
        <w:shd w:val="clear" w:color="auto" w:fill="auto"/>
        <w:tabs>
          <w:tab w:pos="357" w:val="left"/>
        </w:tabs>
        <w:bidi w:val="0"/>
        <w:spacing w:before="0" w:after="0" w:line="313" w:lineRule="exact"/>
        <w:ind w:left="0" w:right="0" w:firstLine="0"/>
        <w:jc w:val="left"/>
      </w:pPr>
      <w:bookmarkStart w:id="1850" w:name="bookmark1850"/>
      <w:bookmarkEnd w:id="1850"/>
      <w:r>
        <w:rPr>
          <w:color w:val="000000"/>
          <w:spacing w:val="0"/>
          <w:w w:val="100"/>
          <w:position w:val="0"/>
        </w:rPr>
        <w:t>其他收益本期较上年同期下降</w:t>
      </w:r>
      <w:r>
        <w:rPr>
          <w:rFonts w:ascii="Times New Roman" w:eastAsia="Times New Roman" w:hAnsi="Times New Roman" w:cs="Times New Roman"/>
          <w:color w:val="000000"/>
          <w:spacing w:val="0"/>
          <w:w w:val="100"/>
          <w:position w:val="0"/>
        </w:rPr>
        <w:t>36.86%</w:t>
      </w:r>
      <w:r>
        <w:rPr>
          <w:color w:val="000000"/>
          <w:spacing w:val="0"/>
          <w:w w:val="100"/>
          <w:position w:val="0"/>
        </w:rPr>
        <w:t>，主要系由于疫情影响，软件增值税即征即退收入大幅下降所致;</w:t>
      </w:r>
    </w:p>
    <w:p>
      <w:pPr>
        <w:pStyle w:val="Style35"/>
        <w:keepNext w:val="0"/>
        <w:keepLines w:val="0"/>
        <w:widowControl w:val="0"/>
        <w:numPr>
          <w:ilvl w:val="0"/>
          <w:numId w:val="73"/>
        </w:numPr>
        <w:shd w:val="clear" w:color="auto" w:fill="auto"/>
        <w:tabs>
          <w:tab w:pos="357" w:val="left"/>
        </w:tabs>
        <w:bidi w:val="0"/>
        <w:spacing w:before="0" w:after="0" w:line="313" w:lineRule="exact"/>
        <w:ind w:left="380" w:right="0" w:hanging="380"/>
        <w:jc w:val="both"/>
      </w:pPr>
      <w:bookmarkStart w:id="1851" w:name="bookmark1851"/>
      <w:bookmarkEnd w:id="1851"/>
      <w:r>
        <w:rPr>
          <w:color w:val="000000"/>
          <w:spacing w:val="0"/>
          <w:w w:val="100"/>
          <w:position w:val="0"/>
        </w:rPr>
        <w:t>投资收益本期较上年同期下降</w:t>
      </w:r>
      <w:r>
        <w:rPr>
          <w:rFonts w:ascii="Times New Roman" w:eastAsia="Times New Roman" w:hAnsi="Times New Roman" w:cs="Times New Roman"/>
          <w:color w:val="000000"/>
          <w:spacing w:val="0"/>
          <w:w w:val="100"/>
          <w:position w:val="0"/>
        </w:rPr>
        <w:t>36153.17%</w:t>
      </w:r>
      <w:r>
        <w:rPr>
          <w:color w:val="000000"/>
          <w:spacing w:val="0"/>
          <w:w w:val="100"/>
          <w:position w:val="0"/>
        </w:rPr>
        <w:t>，主要系香港石基处置</w:t>
      </w:r>
      <w:r>
        <w:rPr>
          <w:rFonts w:ascii="Times New Roman" w:eastAsia="Times New Roman" w:hAnsi="Times New Roman" w:cs="Times New Roman"/>
          <w:color w:val="000000"/>
          <w:spacing w:val="0"/>
          <w:w w:val="100"/>
          <w:position w:val="0"/>
        </w:rPr>
        <w:t>StayNTouch</w:t>
      </w:r>
      <w:r>
        <w:rPr>
          <w:color w:val="000000"/>
          <w:spacing w:val="0"/>
          <w:w w:val="100"/>
          <w:position w:val="0"/>
        </w:rPr>
        <w:t>股权产生的投资损失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.68</w:t>
      </w:r>
      <w:r>
        <w:rPr>
          <w:color w:val="000000"/>
          <w:spacing w:val="0"/>
          <w:w w:val="100"/>
          <w:position w:val="0"/>
        </w:rPr>
        <w:t>亿 所致；</w:t>
      </w:r>
    </w:p>
    <w:p>
      <w:pPr>
        <w:pStyle w:val="Style35"/>
        <w:keepNext w:val="0"/>
        <w:keepLines w:val="0"/>
        <w:widowControl w:val="0"/>
        <w:numPr>
          <w:ilvl w:val="0"/>
          <w:numId w:val="73"/>
        </w:numPr>
        <w:shd w:val="clear" w:color="auto" w:fill="auto"/>
        <w:tabs>
          <w:tab w:pos="357" w:val="left"/>
        </w:tabs>
        <w:bidi w:val="0"/>
        <w:spacing w:before="0" w:after="0" w:line="313" w:lineRule="exact"/>
        <w:ind w:left="380" w:right="0" w:hanging="380"/>
        <w:jc w:val="both"/>
      </w:pPr>
      <w:bookmarkStart w:id="1852" w:name="bookmark1852"/>
      <w:bookmarkEnd w:id="1852"/>
      <w:r>
        <w:rPr>
          <w:color w:val="000000"/>
          <w:spacing w:val="0"/>
          <w:w w:val="100"/>
          <w:position w:val="0"/>
        </w:rPr>
        <w:t>公允价值变动收益本期较上年同期下降</w:t>
      </w:r>
      <w:r>
        <w:rPr>
          <w:rFonts w:ascii="Times New Roman" w:eastAsia="Times New Roman" w:hAnsi="Times New Roman" w:cs="Times New Roman"/>
          <w:color w:val="000000"/>
          <w:spacing w:val="0"/>
          <w:w w:val="100"/>
          <w:position w:val="0"/>
        </w:rPr>
        <w:t>25378.10%</w:t>
      </w:r>
      <w:r>
        <w:rPr>
          <w:color w:val="000000"/>
          <w:spacing w:val="0"/>
          <w:w w:val="100"/>
          <w:position w:val="0"/>
        </w:rPr>
        <w:t>,主要系股权处置过程中的业绩承诺履行情况，按照 公允价值调整处置价款及投资收益致上海正品增加</w:t>
      </w:r>
      <w:r>
        <w:rPr>
          <w:rFonts w:ascii="Times New Roman" w:eastAsia="Times New Roman" w:hAnsi="Times New Roman" w:cs="Times New Roman"/>
          <w:color w:val="000000"/>
          <w:spacing w:val="0"/>
          <w:w w:val="100"/>
          <w:position w:val="0"/>
        </w:rPr>
        <w:t>736.78</w:t>
      </w:r>
      <w:r>
        <w:rPr>
          <w:color w:val="000000"/>
          <w:spacing w:val="0"/>
          <w:w w:val="100"/>
          <w:position w:val="0"/>
        </w:rPr>
        <w:t>万及总公司增加</w:t>
      </w:r>
      <w:r>
        <w:rPr>
          <w:rFonts w:ascii="Times New Roman" w:eastAsia="Times New Roman" w:hAnsi="Times New Roman" w:cs="Times New Roman"/>
          <w:color w:val="000000"/>
          <w:spacing w:val="0"/>
          <w:w w:val="100"/>
          <w:position w:val="0"/>
        </w:rPr>
        <w:t>368.39</w:t>
      </w:r>
      <w:r>
        <w:rPr>
          <w:color w:val="000000"/>
          <w:spacing w:val="0"/>
          <w:w w:val="100"/>
          <w:position w:val="0"/>
        </w:rPr>
        <w:t>万共同所致；</w:t>
      </w:r>
    </w:p>
    <w:p>
      <w:pPr>
        <w:pStyle w:val="Style35"/>
        <w:keepNext w:val="0"/>
        <w:keepLines w:val="0"/>
        <w:widowControl w:val="0"/>
        <w:numPr>
          <w:ilvl w:val="0"/>
          <w:numId w:val="73"/>
        </w:numPr>
        <w:shd w:val="clear" w:color="auto" w:fill="auto"/>
        <w:tabs>
          <w:tab w:pos="357" w:val="left"/>
        </w:tabs>
        <w:bidi w:val="0"/>
        <w:spacing w:before="0" w:after="0" w:line="313" w:lineRule="exact"/>
        <w:ind w:left="380" w:right="0" w:hanging="380"/>
        <w:jc w:val="both"/>
      </w:pPr>
      <w:bookmarkStart w:id="1853" w:name="bookmark1853"/>
      <w:bookmarkEnd w:id="1853"/>
      <w:r>
        <w:rPr>
          <w:color w:val="000000"/>
          <w:spacing w:val="0"/>
          <w:w w:val="100"/>
          <w:position w:val="0"/>
        </w:rPr>
        <w:t>信用减值损失本期较上年同期增长</w:t>
      </w:r>
      <w:r>
        <w:rPr>
          <w:rFonts w:ascii="Times New Roman" w:eastAsia="Times New Roman" w:hAnsi="Times New Roman" w:cs="Times New Roman"/>
          <w:color w:val="000000"/>
          <w:spacing w:val="0"/>
          <w:w w:val="100"/>
          <w:position w:val="0"/>
        </w:rPr>
        <w:t>33.92%</w:t>
      </w:r>
      <w:r>
        <w:rPr>
          <w:color w:val="000000"/>
          <w:spacing w:val="0"/>
          <w:w w:val="100"/>
          <w:position w:val="0"/>
        </w:rPr>
        <w:t>，主要系本期因疫情影响，导致回款较慢，及给予客户的账 期延长，导致坏账准备增加较多所致；</w:t>
      </w:r>
    </w:p>
    <w:p>
      <w:pPr>
        <w:pStyle w:val="Style35"/>
        <w:keepNext w:val="0"/>
        <w:keepLines w:val="0"/>
        <w:widowControl w:val="0"/>
        <w:numPr>
          <w:ilvl w:val="0"/>
          <w:numId w:val="73"/>
        </w:numPr>
        <w:shd w:val="clear" w:color="auto" w:fill="auto"/>
        <w:tabs>
          <w:tab w:pos="357" w:val="left"/>
        </w:tabs>
        <w:bidi w:val="0"/>
        <w:spacing w:before="0" w:after="0" w:line="313" w:lineRule="exact"/>
        <w:ind w:left="0" w:right="0" w:firstLine="0"/>
        <w:jc w:val="left"/>
      </w:pPr>
      <w:bookmarkStart w:id="1854" w:name="bookmark1854"/>
      <w:bookmarkEnd w:id="1854"/>
      <w:r>
        <w:rPr>
          <w:color w:val="000000"/>
          <w:spacing w:val="0"/>
          <w:w w:val="100"/>
          <w:position w:val="0"/>
        </w:rPr>
        <w:t>资产减值损失本期较上年同期增长</w:t>
      </w:r>
      <w:r>
        <w:rPr>
          <w:rFonts w:ascii="Times New Roman" w:eastAsia="Times New Roman" w:hAnsi="Times New Roman" w:cs="Times New Roman"/>
          <w:color w:val="000000"/>
          <w:spacing w:val="0"/>
          <w:w w:val="100"/>
          <w:position w:val="0"/>
        </w:rPr>
        <w:t>131.76%</w:t>
      </w:r>
      <w:r>
        <w:rPr>
          <w:color w:val="000000"/>
          <w:spacing w:val="0"/>
          <w:w w:val="100"/>
          <w:position w:val="0"/>
        </w:rPr>
        <w:t>，主要系根据评估结果计提苏州环企商誉减值</w:t>
      </w:r>
      <w:r>
        <w:rPr>
          <w:rFonts w:ascii="Times New Roman" w:eastAsia="Times New Roman" w:hAnsi="Times New Roman" w:cs="Times New Roman"/>
          <w:color w:val="000000"/>
          <w:spacing w:val="0"/>
          <w:w w:val="100"/>
          <w:position w:val="0"/>
        </w:rPr>
        <w:t>1500</w:t>
      </w:r>
      <w:r>
        <w:rPr>
          <w:color w:val="000000"/>
          <w:spacing w:val="0"/>
          <w:w w:val="100"/>
          <w:position w:val="0"/>
        </w:rPr>
        <w:t>万所致；</w:t>
      </w:r>
    </w:p>
    <w:p>
      <w:pPr>
        <w:pStyle w:val="Style35"/>
        <w:keepNext w:val="0"/>
        <w:keepLines w:val="0"/>
        <w:widowControl w:val="0"/>
        <w:numPr>
          <w:ilvl w:val="0"/>
          <w:numId w:val="73"/>
        </w:numPr>
        <w:shd w:val="clear" w:color="auto" w:fill="auto"/>
        <w:tabs>
          <w:tab w:pos="357" w:val="left"/>
        </w:tabs>
        <w:bidi w:val="0"/>
        <w:spacing w:before="0" w:after="0" w:line="313" w:lineRule="exact"/>
        <w:ind w:left="380" w:right="0" w:hanging="380"/>
        <w:jc w:val="both"/>
      </w:pPr>
      <w:bookmarkStart w:id="1855" w:name="bookmark1855"/>
      <w:bookmarkEnd w:id="1855"/>
      <w:r>
        <w:rPr>
          <w:color w:val="000000"/>
          <w:spacing w:val="0"/>
          <w:w w:val="100"/>
          <w:position w:val="0"/>
        </w:rPr>
        <w:t>营业外收入本期较上年同期增长</w:t>
      </w:r>
      <w:r>
        <w:rPr>
          <w:rFonts w:ascii="Times New Roman" w:eastAsia="Times New Roman" w:hAnsi="Times New Roman" w:cs="Times New Roman"/>
          <w:color w:val="000000"/>
          <w:spacing w:val="0"/>
          <w:w w:val="100"/>
          <w:position w:val="0"/>
        </w:rPr>
        <w:t>189.50%</w:t>
      </w:r>
      <w:r>
        <w:rPr>
          <w:color w:val="000000"/>
          <w:spacing w:val="0"/>
          <w:w w:val="100"/>
          <w:position w:val="0"/>
        </w:rPr>
        <w:t>,主要系石基香港收到疫情补贴</w:t>
      </w:r>
      <w:r>
        <w:rPr>
          <w:rFonts w:ascii="Times New Roman" w:eastAsia="Times New Roman" w:hAnsi="Times New Roman" w:cs="Times New Roman"/>
          <w:color w:val="000000"/>
          <w:spacing w:val="0"/>
          <w:w w:val="100"/>
          <w:position w:val="0"/>
        </w:rPr>
        <w:t>1000</w:t>
      </w:r>
      <w:r>
        <w:rPr>
          <w:color w:val="000000"/>
          <w:spacing w:val="0"/>
          <w:w w:val="100"/>
          <w:position w:val="0"/>
        </w:rPr>
        <w:t>万，核销无需支付的其他 应付款及应付账款</w:t>
      </w:r>
      <w:r>
        <w:rPr>
          <w:rFonts w:ascii="Times New Roman" w:eastAsia="Times New Roman" w:hAnsi="Times New Roman" w:cs="Times New Roman"/>
          <w:color w:val="000000"/>
          <w:spacing w:val="0"/>
          <w:w w:val="100"/>
          <w:position w:val="0"/>
        </w:rPr>
        <w:t>400</w:t>
      </w:r>
      <w:r>
        <w:rPr>
          <w:color w:val="000000"/>
          <w:spacing w:val="0"/>
          <w:w w:val="100"/>
          <w:position w:val="0"/>
        </w:rPr>
        <w:t>万元共同所致；</w:t>
      </w:r>
    </w:p>
    <w:p>
      <w:pPr>
        <w:pStyle w:val="Style35"/>
        <w:keepNext w:val="0"/>
        <w:keepLines w:val="0"/>
        <w:widowControl w:val="0"/>
        <w:numPr>
          <w:ilvl w:val="0"/>
          <w:numId w:val="73"/>
        </w:numPr>
        <w:shd w:val="clear" w:color="auto" w:fill="auto"/>
        <w:tabs>
          <w:tab w:pos="357" w:val="left"/>
        </w:tabs>
        <w:bidi w:val="0"/>
        <w:spacing w:before="0" w:after="0" w:line="313" w:lineRule="exact"/>
        <w:ind w:left="380" w:right="0" w:hanging="380"/>
        <w:jc w:val="both"/>
      </w:pPr>
      <w:bookmarkStart w:id="1856" w:name="bookmark1856"/>
      <w:bookmarkEnd w:id="1856"/>
      <w:r>
        <w:rPr>
          <w:color w:val="000000"/>
          <w:spacing w:val="0"/>
          <w:w w:val="100"/>
          <w:position w:val="0"/>
        </w:rPr>
        <w:t>所得税费用本期较上年同期增长</w:t>
      </w:r>
      <w:r>
        <w:rPr>
          <w:rFonts w:ascii="Times New Roman" w:eastAsia="Times New Roman" w:hAnsi="Times New Roman" w:cs="Times New Roman"/>
          <w:color w:val="000000"/>
          <w:spacing w:val="0"/>
          <w:w w:val="100"/>
          <w:position w:val="0"/>
        </w:rPr>
        <w:t>58.88%</w:t>
      </w:r>
      <w:r>
        <w:rPr>
          <w:color w:val="000000"/>
          <w:spacing w:val="0"/>
          <w:w w:val="100"/>
          <w:position w:val="0"/>
        </w:rPr>
        <w:t>，主要系本期受疫情影响，下属子公司亏损较多，导致递延所 得税费增加较多所致；</w:t>
      </w:r>
    </w:p>
    <w:p>
      <w:pPr>
        <w:pStyle w:val="Style35"/>
        <w:keepNext w:val="0"/>
        <w:keepLines w:val="0"/>
        <w:widowControl w:val="0"/>
        <w:numPr>
          <w:ilvl w:val="0"/>
          <w:numId w:val="73"/>
        </w:numPr>
        <w:shd w:val="clear" w:color="auto" w:fill="auto"/>
        <w:tabs>
          <w:tab w:pos="421" w:val="left"/>
        </w:tabs>
        <w:bidi w:val="0"/>
        <w:spacing w:before="0" w:after="0" w:line="313" w:lineRule="exact"/>
        <w:ind w:left="380" w:right="0" w:hanging="380"/>
        <w:jc w:val="both"/>
      </w:pPr>
      <w:bookmarkStart w:id="1857" w:name="bookmark1857"/>
      <w:bookmarkEnd w:id="1857"/>
      <w:r>
        <w:rPr>
          <w:color w:val="000000"/>
          <w:spacing w:val="0"/>
          <w:w w:val="100"/>
          <w:position w:val="0"/>
        </w:rPr>
        <w:t>归属于母公司所有者的净利润本期较上年同期下降</w:t>
      </w:r>
      <w:r>
        <w:rPr>
          <w:rFonts w:ascii="Times New Roman" w:eastAsia="Times New Roman" w:hAnsi="Times New Roman" w:cs="Times New Roman"/>
          <w:color w:val="000000"/>
          <w:spacing w:val="0"/>
          <w:w w:val="100"/>
          <w:position w:val="0"/>
        </w:rPr>
        <w:t>118.36%</w:t>
      </w:r>
      <w:r>
        <w:rPr>
          <w:color w:val="000000"/>
          <w:spacing w:val="0"/>
          <w:w w:val="100"/>
          <w:position w:val="0"/>
        </w:rPr>
        <w:t>,主要系本期受疫情影响，导致公司业绩整 体下滑，及公司出售</w:t>
      </w:r>
      <w:r>
        <w:rPr>
          <w:rFonts w:ascii="Times New Roman" w:eastAsia="Times New Roman" w:hAnsi="Times New Roman" w:cs="Times New Roman"/>
          <w:color w:val="000000"/>
          <w:spacing w:val="0"/>
          <w:w w:val="100"/>
          <w:position w:val="0"/>
        </w:rPr>
        <w:t>S NT100%</w:t>
      </w:r>
      <w:r>
        <w:rPr>
          <w:color w:val="000000"/>
          <w:spacing w:val="0"/>
          <w:w w:val="100"/>
          <w:position w:val="0"/>
        </w:rPr>
        <w:t>股权产生投资损失</w:t>
      </w:r>
      <w:r>
        <w:rPr>
          <w:rFonts w:ascii="Times New Roman" w:eastAsia="Times New Roman" w:hAnsi="Times New Roman" w:cs="Times New Roman"/>
          <w:color w:val="000000"/>
          <w:spacing w:val="0"/>
          <w:w w:val="100"/>
          <w:position w:val="0"/>
        </w:rPr>
        <w:t>1.69</w:t>
      </w:r>
      <w:r>
        <w:rPr>
          <w:color w:val="000000"/>
          <w:spacing w:val="0"/>
          <w:w w:val="100"/>
          <w:position w:val="0"/>
        </w:rPr>
        <w:t>亿元共同所致。</w:t>
      </w:r>
    </w:p>
    <w:p>
      <w:pPr>
        <w:pStyle w:val="Style35"/>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现金流量表：</w:t>
      </w:r>
    </w:p>
    <w:p>
      <w:pPr>
        <w:pStyle w:val="Style35"/>
        <w:keepNext w:val="0"/>
        <w:keepLines w:val="0"/>
        <w:widowControl w:val="0"/>
        <w:numPr>
          <w:ilvl w:val="0"/>
          <w:numId w:val="75"/>
        </w:numPr>
        <w:shd w:val="clear" w:color="auto" w:fill="auto"/>
        <w:tabs>
          <w:tab w:pos="357" w:val="left"/>
        </w:tabs>
        <w:bidi w:val="0"/>
        <w:spacing w:before="0" w:after="0" w:line="313" w:lineRule="exact"/>
        <w:ind w:left="380" w:right="0" w:hanging="380"/>
        <w:jc w:val="both"/>
      </w:pPr>
      <w:bookmarkStart w:id="1858" w:name="bookmark1858"/>
      <w:bookmarkEnd w:id="1858"/>
      <w:r>
        <w:rPr>
          <w:color w:val="000000"/>
          <w:spacing w:val="0"/>
          <w:w w:val="100"/>
          <w:position w:val="0"/>
        </w:rPr>
        <w:t>收到的税费返还本期较上年同期下降</w:t>
      </w:r>
      <w:r>
        <w:rPr>
          <w:rFonts w:ascii="Times New Roman" w:eastAsia="Times New Roman" w:hAnsi="Times New Roman" w:cs="Times New Roman"/>
          <w:color w:val="000000"/>
          <w:spacing w:val="0"/>
          <w:w w:val="100"/>
          <w:position w:val="0"/>
        </w:rPr>
        <w:t>31.51%</w:t>
      </w:r>
      <w:r>
        <w:rPr>
          <w:color w:val="000000"/>
          <w:spacing w:val="0"/>
          <w:w w:val="100"/>
          <w:position w:val="0"/>
        </w:rPr>
        <w:t>，主要系由于疫情影响，收到的软件增值税即征即退大幅 下降所致；</w:t>
      </w:r>
    </w:p>
    <w:p>
      <w:pPr>
        <w:pStyle w:val="Style35"/>
        <w:keepNext w:val="0"/>
        <w:keepLines w:val="0"/>
        <w:widowControl w:val="0"/>
        <w:numPr>
          <w:ilvl w:val="0"/>
          <w:numId w:val="75"/>
        </w:numPr>
        <w:shd w:val="clear" w:color="auto" w:fill="auto"/>
        <w:tabs>
          <w:tab w:pos="357" w:val="left"/>
        </w:tabs>
        <w:bidi w:val="0"/>
        <w:spacing w:before="0" w:after="0" w:line="313" w:lineRule="exact"/>
        <w:ind w:left="380" w:right="0" w:hanging="380"/>
        <w:jc w:val="both"/>
      </w:pPr>
      <w:bookmarkStart w:id="1859" w:name="bookmark1859"/>
      <w:bookmarkEnd w:id="1859"/>
      <w:r>
        <w:rPr>
          <w:color w:val="000000"/>
          <w:spacing w:val="0"/>
          <w:w w:val="100"/>
          <w:position w:val="0"/>
        </w:rPr>
        <w:t>收到其他与经营活动有关的现金本期较上年同期下降</w:t>
      </w:r>
      <w:r>
        <w:rPr>
          <w:rFonts w:ascii="Times New Roman" w:eastAsia="Times New Roman" w:hAnsi="Times New Roman" w:cs="Times New Roman"/>
          <w:color w:val="000000"/>
          <w:spacing w:val="0"/>
          <w:w w:val="100"/>
          <w:position w:val="0"/>
        </w:rPr>
        <w:t>30.06%</w:t>
      </w:r>
      <w:r>
        <w:rPr>
          <w:color w:val="000000"/>
          <w:spacing w:val="0"/>
          <w:w w:val="100"/>
          <w:position w:val="0"/>
        </w:rPr>
        <w:t>，主要系本期较上年同期利息收入大幅下 降所致；</w:t>
      </w:r>
    </w:p>
    <w:p>
      <w:pPr>
        <w:pStyle w:val="Style35"/>
        <w:keepNext w:val="0"/>
        <w:keepLines w:val="0"/>
        <w:widowControl w:val="0"/>
        <w:numPr>
          <w:ilvl w:val="0"/>
          <w:numId w:val="75"/>
        </w:numPr>
        <w:shd w:val="clear" w:color="auto" w:fill="auto"/>
        <w:tabs>
          <w:tab w:pos="357" w:val="left"/>
        </w:tabs>
        <w:bidi w:val="0"/>
        <w:spacing w:before="0" w:after="0" w:line="313" w:lineRule="exact"/>
        <w:ind w:left="380" w:right="0" w:hanging="380"/>
        <w:jc w:val="both"/>
      </w:pPr>
      <w:bookmarkStart w:id="1860" w:name="bookmark1860"/>
      <w:bookmarkEnd w:id="1860"/>
      <w:r>
        <w:rPr>
          <w:color w:val="000000"/>
          <w:spacing w:val="0"/>
          <w:w w:val="100"/>
          <w:position w:val="0"/>
        </w:rPr>
        <w:t>收回投资收到的现金本期较上年同期增长</w:t>
      </w:r>
      <w:r>
        <w:rPr>
          <w:rFonts w:ascii="Times New Roman" w:eastAsia="Times New Roman" w:hAnsi="Times New Roman" w:cs="Times New Roman"/>
          <w:color w:val="000000"/>
          <w:spacing w:val="0"/>
          <w:w w:val="100"/>
          <w:position w:val="0"/>
        </w:rPr>
        <w:t>206.74%</w:t>
      </w:r>
      <w:r>
        <w:rPr>
          <w:color w:val="000000"/>
          <w:spacing w:val="0"/>
          <w:w w:val="100"/>
          <w:position w:val="0"/>
        </w:rPr>
        <w:t>，主要系本期收回的结构性存款本金较上年同期增加 较多所致；</w:t>
      </w:r>
    </w:p>
    <w:p>
      <w:pPr>
        <w:pStyle w:val="Style35"/>
        <w:keepNext w:val="0"/>
        <w:keepLines w:val="0"/>
        <w:widowControl w:val="0"/>
        <w:numPr>
          <w:ilvl w:val="0"/>
          <w:numId w:val="75"/>
        </w:numPr>
        <w:shd w:val="clear" w:color="auto" w:fill="auto"/>
        <w:tabs>
          <w:tab w:pos="357" w:val="left"/>
        </w:tabs>
        <w:bidi w:val="0"/>
        <w:spacing w:before="0" w:after="0" w:line="313" w:lineRule="exact"/>
        <w:ind w:left="380" w:right="0" w:hanging="380"/>
        <w:jc w:val="both"/>
      </w:pPr>
      <w:bookmarkStart w:id="1861" w:name="bookmark1861"/>
      <w:bookmarkEnd w:id="1861"/>
      <w:r>
        <w:rPr>
          <w:color w:val="000000"/>
          <w:spacing w:val="0"/>
          <w:w w:val="100"/>
          <w:position w:val="0"/>
        </w:rPr>
        <w:t>取得投资收益收到的现金本期较上年同期增长</w:t>
      </w:r>
      <w:r>
        <w:rPr>
          <w:rFonts w:ascii="Times New Roman" w:eastAsia="Times New Roman" w:hAnsi="Times New Roman" w:cs="Times New Roman"/>
          <w:color w:val="000000"/>
          <w:spacing w:val="0"/>
          <w:w w:val="100"/>
          <w:position w:val="0"/>
        </w:rPr>
        <w:t>1950.90%</w:t>
      </w:r>
      <w:r>
        <w:rPr>
          <w:color w:val="000000"/>
          <w:spacing w:val="0"/>
          <w:w w:val="100"/>
          <w:position w:val="0"/>
        </w:rPr>
        <w:t>，主要系本期新增结构性存款利息收入较多所 致；</w:t>
      </w:r>
    </w:p>
    <w:p>
      <w:pPr>
        <w:pStyle w:val="Style35"/>
        <w:keepNext w:val="0"/>
        <w:keepLines w:val="0"/>
        <w:widowControl w:val="0"/>
        <w:numPr>
          <w:ilvl w:val="0"/>
          <w:numId w:val="75"/>
        </w:numPr>
        <w:shd w:val="clear" w:color="auto" w:fill="auto"/>
        <w:tabs>
          <w:tab w:pos="357" w:val="left"/>
        </w:tabs>
        <w:bidi w:val="0"/>
        <w:spacing w:before="0" w:after="0" w:line="322" w:lineRule="exact"/>
        <w:ind w:left="380" w:right="0" w:hanging="380"/>
        <w:jc w:val="both"/>
      </w:pPr>
      <w:bookmarkStart w:id="1862" w:name="bookmark1862"/>
      <w:bookmarkEnd w:id="1862"/>
      <w:r>
        <w:rPr>
          <w:color w:val="000000"/>
          <w:spacing w:val="0"/>
          <w:w w:val="100"/>
          <w:position w:val="0"/>
        </w:rPr>
        <w:t>处置固定资产、无形资产和其他长期资产收回的现金净额本期较上年同期下降</w:t>
      </w:r>
      <w:r>
        <w:rPr>
          <w:rFonts w:ascii="Times New Roman" w:eastAsia="Times New Roman" w:hAnsi="Times New Roman" w:cs="Times New Roman"/>
          <w:color w:val="000000"/>
          <w:spacing w:val="0"/>
          <w:w w:val="100"/>
          <w:position w:val="0"/>
        </w:rPr>
        <w:t>87.30%</w:t>
      </w:r>
      <w:r>
        <w:rPr>
          <w:color w:val="000000"/>
          <w:spacing w:val="0"/>
          <w:w w:val="100"/>
          <w:position w:val="0"/>
        </w:rPr>
        <w:t>，主要系本期较 上年同期处置资产收到的现金较少所致；</w:t>
      </w:r>
    </w:p>
    <w:p>
      <w:pPr>
        <w:pStyle w:val="Style35"/>
        <w:keepNext w:val="0"/>
        <w:keepLines w:val="0"/>
        <w:widowControl w:val="0"/>
        <w:numPr>
          <w:ilvl w:val="0"/>
          <w:numId w:val="75"/>
        </w:numPr>
        <w:shd w:val="clear" w:color="auto" w:fill="auto"/>
        <w:tabs>
          <w:tab w:pos="357" w:val="left"/>
        </w:tabs>
        <w:bidi w:val="0"/>
        <w:spacing w:before="0" w:after="0" w:line="314" w:lineRule="exact"/>
        <w:ind w:left="380" w:right="0" w:hanging="380"/>
        <w:jc w:val="both"/>
      </w:pPr>
      <w:bookmarkStart w:id="1863" w:name="bookmark1863"/>
      <w:bookmarkEnd w:id="1863"/>
      <w:r>
        <w:rPr>
          <w:color w:val="000000"/>
          <w:spacing w:val="0"/>
          <w:w w:val="100"/>
          <w:position w:val="0"/>
        </w:rPr>
        <w:t>处置子公司及其他营业单位收到的现金净额本期较上年同期增长，主要系本期处置</w:t>
      </w:r>
      <w:r>
        <w:rPr>
          <w:rFonts w:ascii="Times New Roman" w:eastAsia="Times New Roman" w:hAnsi="Times New Roman" w:cs="Times New Roman"/>
          <w:color w:val="000000"/>
          <w:spacing w:val="0"/>
          <w:w w:val="100"/>
          <w:position w:val="0"/>
        </w:rPr>
        <w:t>Stayntouch Inc</w:t>
      </w:r>
      <w:r>
        <w:rPr>
          <w:color w:val="000000"/>
          <w:spacing w:val="0"/>
          <w:w w:val="100"/>
          <w:position w:val="0"/>
        </w:rPr>
        <w:t>收到 的现金增加所致；</w:t>
      </w:r>
    </w:p>
    <w:p>
      <w:pPr>
        <w:pStyle w:val="Style35"/>
        <w:keepNext w:val="0"/>
        <w:keepLines w:val="0"/>
        <w:widowControl w:val="0"/>
        <w:numPr>
          <w:ilvl w:val="0"/>
          <w:numId w:val="75"/>
        </w:numPr>
        <w:shd w:val="clear" w:color="auto" w:fill="auto"/>
        <w:tabs>
          <w:tab w:pos="357" w:val="left"/>
        </w:tabs>
        <w:bidi w:val="0"/>
        <w:spacing w:before="0" w:after="0" w:line="314" w:lineRule="exact"/>
        <w:ind w:left="0" w:right="0" w:firstLine="0"/>
        <w:jc w:val="both"/>
      </w:pPr>
      <w:bookmarkStart w:id="1864" w:name="bookmark1864"/>
      <w:bookmarkEnd w:id="1864"/>
      <w:r>
        <w:rPr>
          <w:color w:val="000000"/>
          <w:spacing w:val="0"/>
          <w:w w:val="100"/>
          <w:position w:val="0"/>
        </w:rPr>
        <w:t>收到其他与投资活动有关的现金本期较上年同期增长，主要系本期收回出售股权预留款所致；</w:t>
      </w:r>
    </w:p>
    <w:p>
      <w:pPr>
        <w:pStyle w:val="Style35"/>
        <w:keepNext w:val="0"/>
        <w:keepLines w:val="0"/>
        <w:widowControl w:val="0"/>
        <w:numPr>
          <w:ilvl w:val="0"/>
          <w:numId w:val="75"/>
        </w:numPr>
        <w:shd w:val="clear" w:color="auto" w:fill="auto"/>
        <w:tabs>
          <w:tab w:pos="357" w:val="left"/>
        </w:tabs>
        <w:bidi w:val="0"/>
        <w:spacing w:before="0" w:after="0" w:line="314" w:lineRule="exact"/>
        <w:ind w:left="380" w:right="0" w:hanging="380"/>
        <w:jc w:val="left"/>
      </w:pPr>
      <w:bookmarkStart w:id="1865" w:name="bookmark1865"/>
      <w:bookmarkEnd w:id="1865"/>
      <w:r>
        <w:rPr>
          <w:color w:val="000000"/>
          <w:spacing w:val="0"/>
          <w:w w:val="100"/>
          <w:position w:val="0"/>
        </w:rPr>
        <w:t>投资支付的现金本期较上年同期增长</w:t>
      </w:r>
      <w:r>
        <w:rPr>
          <w:rFonts w:ascii="Times New Roman" w:eastAsia="Times New Roman" w:hAnsi="Times New Roman" w:cs="Times New Roman"/>
          <w:color w:val="000000"/>
          <w:spacing w:val="0"/>
          <w:w w:val="100"/>
          <w:position w:val="0"/>
        </w:rPr>
        <w:t>102.96%</w:t>
      </w:r>
      <w:r>
        <w:rPr>
          <w:color w:val="000000"/>
          <w:spacing w:val="0"/>
          <w:w w:val="100"/>
          <w:position w:val="0"/>
        </w:rPr>
        <w:t>,主要系本期购买的结构性存款较上年同期增加较多所 致；</w:t>
      </w:r>
    </w:p>
    <w:p>
      <w:pPr>
        <w:pStyle w:val="Style35"/>
        <w:keepNext w:val="0"/>
        <w:keepLines w:val="0"/>
        <w:widowControl w:val="0"/>
        <w:numPr>
          <w:ilvl w:val="0"/>
          <w:numId w:val="75"/>
        </w:numPr>
        <w:shd w:val="clear" w:color="auto" w:fill="auto"/>
        <w:tabs>
          <w:tab w:pos="357" w:val="left"/>
        </w:tabs>
        <w:bidi w:val="0"/>
        <w:spacing w:before="0" w:after="0" w:line="314" w:lineRule="exact"/>
        <w:ind w:left="380" w:right="0" w:hanging="380"/>
        <w:jc w:val="left"/>
      </w:pPr>
      <w:bookmarkStart w:id="1866" w:name="bookmark1866"/>
      <w:bookmarkEnd w:id="1866"/>
      <w:r>
        <w:rPr>
          <w:color w:val="000000"/>
          <w:spacing w:val="0"/>
          <w:w w:val="100"/>
          <w:position w:val="0"/>
        </w:rPr>
        <w:t>取得子公司及其他营业单位支付的现金净额本期较上年同期下降</w:t>
      </w:r>
      <w:r>
        <w:rPr>
          <w:rFonts w:ascii="Times New Roman" w:eastAsia="Times New Roman" w:hAnsi="Times New Roman" w:cs="Times New Roman"/>
          <w:color w:val="000000"/>
          <w:spacing w:val="0"/>
          <w:w w:val="100"/>
          <w:position w:val="0"/>
        </w:rPr>
        <w:t>88.12%</w:t>
      </w:r>
      <w:r>
        <w:rPr>
          <w:color w:val="000000"/>
          <w:spacing w:val="0"/>
          <w:w w:val="100"/>
          <w:position w:val="0"/>
        </w:rPr>
        <w:t>，主要系本期支付的股权转让 款较上年同期较少所致；</w:t>
      </w:r>
    </w:p>
    <w:p>
      <w:pPr>
        <w:pStyle w:val="Style35"/>
        <w:keepNext w:val="0"/>
        <w:keepLines w:val="0"/>
        <w:widowControl w:val="0"/>
        <w:numPr>
          <w:ilvl w:val="0"/>
          <w:numId w:val="75"/>
        </w:numPr>
        <w:shd w:val="clear" w:color="auto" w:fill="auto"/>
        <w:tabs>
          <w:tab w:pos="421" w:val="left"/>
        </w:tabs>
        <w:bidi w:val="0"/>
        <w:spacing w:before="0" w:after="0" w:line="314" w:lineRule="exact"/>
        <w:ind w:left="0" w:right="0" w:firstLine="0"/>
        <w:jc w:val="left"/>
      </w:pPr>
      <w:bookmarkStart w:id="1867" w:name="bookmark1867"/>
      <w:bookmarkEnd w:id="1867"/>
      <w:r>
        <w:rPr>
          <w:color w:val="000000"/>
          <w:spacing w:val="0"/>
          <w:w w:val="100"/>
          <w:position w:val="0"/>
        </w:rPr>
        <w:t>吸收投资收到的现金本期较上年同期下降</w:t>
      </w:r>
      <w:r>
        <w:rPr>
          <w:rFonts w:ascii="Times New Roman" w:eastAsia="Times New Roman" w:hAnsi="Times New Roman" w:cs="Times New Roman"/>
          <w:color w:val="000000"/>
          <w:spacing w:val="0"/>
          <w:w w:val="100"/>
          <w:position w:val="0"/>
        </w:rPr>
        <w:t>44.22%</w:t>
      </w:r>
      <w:r>
        <w:rPr>
          <w:color w:val="000000"/>
          <w:spacing w:val="0"/>
          <w:w w:val="100"/>
          <w:position w:val="0"/>
        </w:rPr>
        <w:t>,主要系本期收到的股权激励款较上年同期较少所致;</w:t>
      </w:r>
    </w:p>
    <w:p>
      <w:pPr>
        <w:pStyle w:val="Style35"/>
        <w:keepNext w:val="0"/>
        <w:keepLines w:val="0"/>
        <w:widowControl w:val="0"/>
        <w:numPr>
          <w:ilvl w:val="0"/>
          <w:numId w:val="75"/>
        </w:numPr>
        <w:shd w:val="clear" w:color="auto" w:fill="auto"/>
        <w:tabs>
          <w:tab w:pos="421" w:val="left"/>
        </w:tabs>
        <w:bidi w:val="0"/>
        <w:spacing w:before="0" w:after="0" w:line="314" w:lineRule="exact"/>
        <w:ind w:left="380" w:right="0" w:hanging="380"/>
        <w:jc w:val="left"/>
      </w:pPr>
      <w:bookmarkStart w:id="1868" w:name="bookmark1868"/>
      <w:bookmarkEnd w:id="1868"/>
      <w:r>
        <w:rPr>
          <w:color w:val="000000"/>
          <w:spacing w:val="0"/>
          <w:w w:val="100"/>
          <w:position w:val="0"/>
        </w:rPr>
        <w:t>收到其他与筹资活动有关的现金本期较上年同期下降</w:t>
      </w:r>
      <w:r>
        <w:rPr>
          <w:rFonts w:ascii="Times New Roman" w:eastAsia="Times New Roman" w:hAnsi="Times New Roman" w:cs="Times New Roman"/>
          <w:color w:val="000000"/>
          <w:spacing w:val="0"/>
          <w:w w:val="100"/>
          <w:position w:val="0"/>
        </w:rPr>
        <w:t>100%</w:t>
      </w:r>
      <w:r>
        <w:rPr>
          <w:color w:val="000000"/>
          <w:spacing w:val="0"/>
          <w:w w:val="100"/>
          <w:position w:val="0"/>
        </w:rPr>
        <w:t>,主要系本期未发生出售少数股权事项所 致；</w:t>
      </w:r>
    </w:p>
    <w:p>
      <w:pPr>
        <w:pStyle w:val="Style35"/>
        <w:keepNext w:val="0"/>
        <w:keepLines w:val="0"/>
        <w:widowControl w:val="0"/>
        <w:numPr>
          <w:ilvl w:val="0"/>
          <w:numId w:val="75"/>
        </w:numPr>
        <w:shd w:val="clear" w:color="auto" w:fill="auto"/>
        <w:tabs>
          <w:tab w:pos="421" w:val="left"/>
        </w:tabs>
        <w:bidi w:val="0"/>
        <w:spacing w:before="0" w:after="0" w:line="314" w:lineRule="exact"/>
        <w:ind w:left="380" w:right="0" w:hanging="380"/>
        <w:jc w:val="left"/>
      </w:pPr>
      <w:bookmarkStart w:id="1869" w:name="bookmark1869"/>
      <w:bookmarkEnd w:id="1869"/>
      <w:r>
        <w:rPr>
          <w:color w:val="000000"/>
          <w:spacing w:val="0"/>
          <w:w w:val="100"/>
          <w:position w:val="0"/>
        </w:rPr>
        <w:t>分配股利、利润或偿付利息所支付的现金本期较上年同期下降</w:t>
      </w:r>
      <w:r>
        <w:rPr>
          <w:rFonts w:ascii="Times New Roman" w:eastAsia="Times New Roman" w:hAnsi="Times New Roman" w:cs="Times New Roman"/>
          <w:color w:val="000000"/>
          <w:spacing w:val="0"/>
          <w:w w:val="100"/>
          <w:position w:val="0"/>
        </w:rPr>
        <w:t>48.43%</w:t>
      </w:r>
      <w:r>
        <w:rPr>
          <w:color w:val="000000"/>
          <w:spacing w:val="0"/>
          <w:w w:val="100"/>
          <w:position w:val="0"/>
        </w:rPr>
        <w:t>，主要系本期分配的股利较上年 同期较少所致；</w:t>
      </w:r>
    </w:p>
    <w:p>
      <w:pPr>
        <w:pStyle w:val="Style35"/>
        <w:keepNext w:val="0"/>
        <w:keepLines w:val="0"/>
        <w:widowControl w:val="0"/>
        <w:numPr>
          <w:ilvl w:val="0"/>
          <w:numId w:val="75"/>
        </w:numPr>
        <w:shd w:val="clear" w:color="auto" w:fill="auto"/>
        <w:tabs>
          <w:tab w:pos="421" w:val="left"/>
        </w:tabs>
        <w:bidi w:val="0"/>
        <w:spacing w:before="0" w:after="0" w:line="314" w:lineRule="exact"/>
        <w:ind w:left="0" w:right="0" w:firstLine="0"/>
        <w:jc w:val="left"/>
      </w:pPr>
      <w:bookmarkStart w:id="1870" w:name="bookmark1870"/>
      <w:bookmarkEnd w:id="1870"/>
      <w:r>
        <w:rPr>
          <w:color w:val="000000"/>
          <w:spacing w:val="0"/>
          <w:w w:val="100"/>
          <w:position w:val="0"/>
        </w:rPr>
        <w:t>支付其他与筹资活动有关的现金本期较上年同期下降</w:t>
      </w:r>
      <w:r>
        <w:rPr>
          <w:rFonts w:ascii="Times New Roman" w:eastAsia="Times New Roman" w:hAnsi="Times New Roman" w:cs="Times New Roman"/>
          <w:color w:val="000000"/>
          <w:spacing w:val="0"/>
          <w:w w:val="100"/>
          <w:position w:val="0"/>
        </w:rPr>
        <w:t>98.01%</w:t>
      </w:r>
      <w:r>
        <w:rPr>
          <w:color w:val="000000"/>
          <w:spacing w:val="0"/>
          <w:w w:val="100"/>
          <w:position w:val="0"/>
        </w:rPr>
        <w:t>,主要系本期收购少数股权较少所致；</w:t>
      </w:r>
    </w:p>
    <w:p>
      <w:pPr>
        <w:pStyle w:val="Style35"/>
        <w:keepNext w:val="0"/>
        <w:keepLines w:val="0"/>
        <w:widowControl w:val="0"/>
        <w:numPr>
          <w:ilvl w:val="0"/>
          <w:numId w:val="75"/>
        </w:numPr>
        <w:shd w:val="clear" w:color="auto" w:fill="auto"/>
        <w:tabs>
          <w:tab w:pos="421" w:val="left"/>
        </w:tabs>
        <w:bidi w:val="0"/>
        <w:spacing w:before="0" w:after="0" w:line="314" w:lineRule="exact"/>
        <w:ind w:left="380" w:right="0" w:hanging="380"/>
        <w:jc w:val="both"/>
        <w:sectPr>
          <w:footnotePr>
            <w:pos w:val="pageBottom"/>
            <w:numFmt w:val="decimal"/>
            <w:numRestart w:val="continuous"/>
          </w:footnotePr>
          <w:pgSz w:w="11900" w:h="16840"/>
          <w:pgMar w:top="1402" w:right="1042" w:bottom="1450" w:left="1061" w:header="0" w:footer="3" w:gutter="0"/>
          <w:cols w:space="720"/>
          <w:noEndnote/>
          <w:rtlGutter w:val="0"/>
          <w:docGrid w:linePitch="360"/>
        </w:sectPr>
      </w:pPr>
      <w:bookmarkStart w:id="1871" w:name="bookmark1871"/>
      <w:bookmarkEnd w:id="1871"/>
      <w:r>
        <w:rPr>
          <w:color w:val="000000"/>
          <w:spacing w:val="0"/>
          <w:w w:val="100"/>
          <w:position w:val="0"/>
        </w:rPr>
        <w:t>现金及现金等价物净增加额本期较上年同期增长</w:t>
      </w:r>
      <w:r>
        <w:rPr>
          <w:rFonts w:ascii="Times New Roman" w:eastAsia="Times New Roman" w:hAnsi="Times New Roman" w:cs="Times New Roman"/>
          <w:color w:val="000000"/>
          <w:spacing w:val="0"/>
          <w:w w:val="100"/>
          <w:position w:val="0"/>
        </w:rPr>
        <w:t>38.51%</w:t>
      </w:r>
      <w:r>
        <w:rPr>
          <w:color w:val="000000"/>
          <w:spacing w:val="0"/>
          <w:w w:val="100"/>
          <w:position w:val="0"/>
        </w:rPr>
        <w:t>，主要系本期较上年同期收购事项大幅减少， 导致现金及现金等价物增加较多所致。</w:t>
      </w:r>
    </w:p>
    <w:p>
      <w:pPr>
        <w:pStyle w:val="Style8"/>
        <w:keepNext/>
        <w:keepLines/>
        <w:widowControl w:val="0"/>
        <w:shd w:val="clear" w:color="auto" w:fill="auto"/>
        <w:bidi w:val="0"/>
        <w:spacing w:before="0" w:after="580" w:line="240" w:lineRule="auto"/>
        <w:ind w:left="0" w:right="0" w:firstLine="0"/>
        <w:jc w:val="center"/>
      </w:pPr>
      <w:bookmarkStart w:id="1872" w:name="bookmark1872"/>
      <w:bookmarkStart w:id="1873" w:name="bookmark1873"/>
      <w:bookmarkStart w:id="1874" w:name="bookmark1874"/>
      <w:r>
        <w:rPr>
          <w:color w:val="000000"/>
          <w:spacing w:val="0"/>
          <w:w w:val="100"/>
          <w:position w:val="0"/>
        </w:rPr>
        <w:t>第十三节备查文件目录</w:t>
      </w:r>
      <w:bookmarkEnd w:id="1872"/>
      <w:bookmarkEnd w:id="1873"/>
      <w:bookmarkEnd w:id="1874"/>
    </w:p>
    <w:p>
      <w:pPr>
        <w:pStyle w:val="Style35"/>
        <w:keepNext w:val="0"/>
        <w:keepLines w:val="0"/>
        <w:widowControl w:val="0"/>
        <w:shd w:val="clear" w:color="auto" w:fill="auto"/>
        <w:tabs>
          <w:tab w:pos="469" w:val="left"/>
        </w:tabs>
        <w:bidi w:val="0"/>
        <w:spacing w:before="0" w:after="220" w:line="240" w:lineRule="auto"/>
        <w:ind w:left="0" w:right="0" w:firstLine="0"/>
        <w:jc w:val="left"/>
      </w:pPr>
      <w:bookmarkStart w:id="1875" w:name="bookmark1875"/>
      <w:r>
        <w:rPr>
          <w:color w:val="000000"/>
          <w:spacing w:val="0"/>
          <w:w w:val="100"/>
          <w:position w:val="0"/>
        </w:rPr>
        <w:t>一</w:t>
      </w:r>
      <w:bookmarkEnd w:id="1875"/>
      <w:r>
        <w:rPr>
          <w:color w:val="000000"/>
          <w:spacing w:val="0"/>
          <w:w w:val="100"/>
          <w:position w:val="0"/>
        </w:rPr>
        <w:t>、</w:t>
        <w:tab/>
        <w:t>载有本公司法定代表人、主管会计工作负责人、会计主管签名并盖章的财务报表。</w:t>
      </w:r>
    </w:p>
    <w:p>
      <w:pPr>
        <w:pStyle w:val="Style35"/>
        <w:keepNext w:val="0"/>
        <w:keepLines w:val="0"/>
        <w:widowControl w:val="0"/>
        <w:shd w:val="clear" w:color="auto" w:fill="auto"/>
        <w:tabs>
          <w:tab w:pos="469" w:val="left"/>
        </w:tabs>
        <w:bidi w:val="0"/>
        <w:spacing w:before="0" w:after="220" w:line="240" w:lineRule="auto"/>
        <w:ind w:left="0" w:right="0" w:firstLine="0"/>
        <w:jc w:val="left"/>
      </w:pPr>
      <w:bookmarkStart w:id="1876" w:name="bookmark1876"/>
      <w:r>
        <w:rPr>
          <w:color w:val="000000"/>
          <w:spacing w:val="0"/>
          <w:w w:val="100"/>
          <w:position w:val="0"/>
        </w:rPr>
        <w:t>二</w:t>
      </w:r>
      <w:bookmarkEnd w:id="1876"/>
      <w:r>
        <w:rPr>
          <w:color w:val="000000"/>
          <w:spacing w:val="0"/>
          <w:w w:val="100"/>
          <w:position w:val="0"/>
        </w:rPr>
        <w:t>、</w:t>
        <w:tab/>
        <w:t>载有信永中和会计师事务所（特殊普通合伙）盖章、注册会计师签名并盖章的审计报告原件。</w:t>
      </w:r>
    </w:p>
    <w:p>
      <w:pPr>
        <w:pStyle w:val="Style35"/>
        <w:keepNext w:val="0"/>
        <w:keepLines w:val="0"/>
        <w:widowControl w:val="0"/>
        <w:shd w:val="clear" w:color="auto" w:fill="auto"/>
        <w:tabs>
          <w:tab w:pos="474" w:val="left"/>
        </w:tabs>
        <w:bidi w:val="0"/>
        <w:spacing w:before="0" w:after="220" w:line="240" w:lineRule="auto"/>
        <w:ind w:left="0" w:right="0" w:firstLine="0"/>
        <w:jc w:val="left"/>
      </w:pPr>
      <w:bookmarkStart w:id="1877" w:name="bookmark1877"/>
      <w:r>
        <w:rPr>
          <w:color w:val="000000"/>
          <w:spacing w:val="0"/>
          <w:w w:val="100"/>
          <w:position w:val="0"/>
        </w:rPr>
        <w:t>三</w:t>
      </w:r>
      <w:bookmarkEnd w:id="1877"/>
      <w:r>
        <w:rPr>
          <w:color w:val="000000"/>
          <w:spacing w:val="0"/>
          <w:w w:val="100"/>
          <w:position w:val="0"/>
        </w:rPr>
        <w:t>、</w:t>
        <w:tab/>
        <w:t>报告期内在中国证监会指定网站上公开披露过的所有本公司文件的正本及公告的原稿。</w:t>
      </w:r>
    </w:p>
    <w:p>
      <w:pPr>
        <w:pStyle w:val="Style35"/>
        <w:keepNext w:val="0"/>
        <w:keepLines w:val="0"/>
        <w:widowControl w:val="0"/>
        <w:shd w:val="clear" w:color="auto" w:fill="auto"/>
        <w:tabs>
          <w:tab w:pos="474" w:val="left"/>
        </w:tabs>
        <w:bidi w:val="0"/>
        <w:spacing w:before="0" w:after="220" w:line="240" w:lineRule="auto"/>
        <w:ind w:left="0" w:right="0" w:firstLine="0"/>
        <w:jc w:val="left"/>
      </w:pPr>
      <w:bookmarkStart w:id="1878" w:name="bookmark1878"/>
      <w:r>
        <w:rPr>
          <w:color w:val="000000"/>
          <w:spacing w:val="0"/>
          <w:w w:val="100"/>
          <w:position w:val="0"/>
        </w:rPr>
        <w:t>四</w:t>
      </w:r>
      <w:bookmarkEnd w:id="1878"/>
      <w:r>
        <w:rPr>
          <w:color w:val="000000"/>
          <w:spacing w:val="0"/>
          <w:w w:val="100"/>
          <w:position w:val="0"/>
        </w:rPr>
        <w:t>、</w:t>
        <w:tab/>
        <w:t>载有董事长李仲初先生签名的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sectPr>
      <w:footnotePr>
        <w:pos w:val="pageBottom"/>
        <w:numFmt w:val="decimal"/>
        <w:numRestart w:val="continuous"/>
      </w:footnotePr>
      <w:pgSz w:w="11900" w:h="16840"/>
      <w:pgMar w:top="1959" w:right="1004" w:bottom="195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6640830</wp:posOffset>
              </wp:positionH>
              <wp:positionV relativeFrom="page">
                <wp:posOffset>9958070</wp:posOffset>
              </wp:positionV>
              <wp:extent cx="155575" cy="79375"/>
              <wp:wrapNone/>
              <wp:docPr id="100" name="Shape 1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2.89999999999998pt;margin-top:784.10000000000002pt;width:12.25pt;height:6.25pt;z-index:-1887440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9607550</wp:posOffset>
              </wp:positionH>
              <wp:positionV relativeFrom="page">
                <wp:posOffset>6823710</wp:posOffset>
              </wp:positionV>
              <wp:extent cx="164465" cy="79375"/>
              <wp:wrapNone/>
              <wp:docPr id="105" name="Shape 105"/>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756.5pt;margin-top:537.29999999999995pt;width:12.950000000000001pt;height:6.25pt;z-index:-1887440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6640830</wp:posOffset>
              </wp:positionH>
              <wp:positionV relativeFrom="page">
                <wp:posOffset>9958070</wp:posOffset>
              </wp:positionV>
              <wp:extent cx="155575" cy="79375"/>
              <wp:wrapNone/>
              <wp:docPr id="110" name="Shape 1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22.89999999999998pt;margin-top:784.10000000000002pt;width:12.25pt;height:6.25pt;z-index:-1887440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9607550</wp:posOffset>
              </wp:positionH>
              <wp:positionV relativeFrom="page">
                <wp:posOffset>6823710</wp:posOffset>
              </wp:positionV>
              <wp:extent cx="164465" cy="79375"/>
              <wp:wrapNone/>
              <wp:docPr id="115" name="Shape 115"/>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756.5pt;margin-top:537.29999999999995pt;width:12.950000000000001pt;height:6.25pt;z-index:-1887440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6640830</wp:posOffset>
              </wp:positionH>
              <wp:positionV relativeFrom="page">
                <wp:posOffset>9958070</wp:posOffset>
              </wp:positionV>
              <wp:extent cx="155575" cy="79375"/>
              <wp:wrapNone/>
              <wp:docPr id="120" name="Shape 1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522.89999999999998pt;margin-top:784.10000000000002pt;width:12.25pt;height:6.25pt;z-index:-1887440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6586855</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18.64999999999998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6821805</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1.10000000000002pt;margin-top:537.14999999999998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6586855</wp:posOffset>
              </wp:positionH>
              <wp:positionV relativeFrom="page">
                <wp:posOffset>9958070</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18.64999999999998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9668510</wp:posOffset>
              </wp:positionH>
              <wp:positionV relativeFrom="page">
                <wp:posOffset>6821805</wp:posOffset>
              </wp:positionV>
              <wp:extent cx="103505" cy="79375"/>
              <wp:wrapNone/>
              <wp:docPr id="28" name="Shape 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761.30000000000007pt;margin-top:537.14999999999998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6586855</wp:posOffset>
              </wp:positionH>
              <wp:positionV relativeFrom="page">
                <wp:posOffset>9958070</wp:posOffset>
              </wp:positionV>
              <wp:extent cx="103505" cy="79375"/>
              <wp:wrapNone/>
              <wp:docPr id="34" name="Shape 3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18.64999999999998pt;margin-top:784.10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9622790</wp:posOffset>
              </wp:positionH>
              <wp:positionV relativeFrom="page">
                <wp:posOffset>6822440</wp:posOffset>
              </wp:positionV>
              <wp:extent cx="149225" cy="79375"/>
              <wp:wrapNone/>
              <wp:docPr id="81" name="Shape 8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757.70000000000005pt;margin-top:537.20000000000005pt;width:11.75pt;height:6.25pt;z-index:-1887440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6640830</wp:posOffset>
              </wp:positionH>
              <wp:positionV relativeFrom="page">
                <wp:posOffset>9958070</wp:posOffset>
              </wp:positionV>
              <wp:extent cx="155575" cy="79375"/>
              <wp:wrapNone/>
              <wp:docPr id="86" name="Shape 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522.89999999999998pt;margin-top:784.10000000000002pt;width:12.25pt;height:6.25pt;z-index:-1887440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6384925</wp:posOffset>
              </wp:positionH>
              <wp:positionV relativeFrom="page">
                <wp:posOffset>9793605</wp:posOffset>
              </wp:positionV>
              <wp:extent cx="445135" cy="106680"/>
              <wp:wrapNone/>
              <wp:docPr id="93" name="Shape 9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9" type="#_x0000_t202" style="position:absolute;margin-left:502.75pt;margin-top:771.14999999999998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6674485</wp:posOffset>
              </wp:positionH>
              <wp:positionV relativeFrom="page">
                <wp:posOffset>10150475</wp:posOffset>
              </wp:positionV>
              <wp:extent cx="155575" cy="79375"/>
              <wp:wrapNone/>
              <wp:docPr id="95" name="Shape 9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25.54999999999995pt;margin-top:799.25pt;width:12.25pt;height:6.25pt;z-index:-1887440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3931920</wp:posOffset>
              </wp:positionH>
              <wp:positionV relativeFrom="page">
                <wp:posOffset>478790</wp:posOffset>
              </wp:positionV>
              <wp:extent cx="2901950" cy="106680"/>
              <wp:wrapNone/>
              <wp:docPr id="1" name="Shape 1"/>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北京中长石基信息技术股份有限公司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60000000000002pt;margin-top:37.700000000000003pt;width:228.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北京中长石基信息技术股份有限公司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3894455</wp:posOffset>
              </wp:positionH>
              <wp:positionV relativeFrom="page">
                <wp:posOffset>558165</wp:posOffset>
              </wp:positionV>
              <wp:extent cx="2901950" cy="106680"/>
              <wp:wrapNone/>
              <wp:docPr id="97" name="Shape 97"/>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3" type="#_x0000_t202" style="position:absolute;margin-left:306.65000000000003pt;margin-top:43.950000000000003pt;width:228.5pt;height:8.4000000000000004pt;z-index:-1887440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702945</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5.35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6873875</wp:posOffset>
              </wp:positionH>
              <wp:positionV relativeFrom="page">
                <wp:posOffset>556895</wp:posOffset>
              </wp:positionV>
              <wp:extent cx="2901950" cy="106680"/>
              <wp:wrapNone/>
              <wp:docPr id="102" name="Shape 102"/>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8" type="#_x0000_t202" style="position:absolute;margin-left:541.25pt;margin-top:43.850000000000001pt;width:228.5pt;height:8.4000000000000004pt;z-index:-1887440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04" name="Shape 10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3894455</wp:posOffset>
              </wp:positionH>
              <wp:positionV relativeFrom="page">
                <wp:posOffset>558165</wp:posOffset>
              </wp:positionV>
              <wp:extent cx="2901950" cy="106680"/>
              <wp:wrapNone/>
              <wp:docPr id="107" name="Shape 107"/>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306.65000000000003pt;margin-top:43.950000000000003pt;width:228.5pt;height:8.4000000000000004pt;z-index:-1887440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702945</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5.35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6873875</wp:posOffset>
              </wp:positionH>
              <wp:positionV relativeFrom="page">
                <wp:posOffset>556895</wp:posOffset>
              </wp:positionV>
              <wp:extent cx="2901950" cy="106680"/>
              <wp:wrapNone/>
              <wp:docPr id="112" name="Shape 112"/>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8" type="#_x0000_t202" style="position:absolute;margin-left:541.25pt;margin-top:43.850000000000001pt;width:228.5pt;height:8.4000000000000004pt;z-index:-1887440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14" name="Shape 1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3894455</wp:posOffset>
              </wp:positionH>
              <wp:positionV relativeFrom="page">
                <wp:posOffset>558165</wp:posOffset>
              </wp:positionV>
              <wp:extent cx="2901950" cy="106680"/>
              <wp:wrapNone/>
              <wp:docPr id="117" name="Shape 117"/>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3" type="#_x0000_t202" style="position:absolute;margin-left:306.65000000000003pt;margin-top:43.950000000000003pt;width:228.5pt;height:8.4000000000000004pt;z-index:-1887440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702945</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5.35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3788410</wp:posOffset>
              </wp:positionH>
              <wp:positionV relativeFrom="page">
                <wp:posOffset>561340</wp:posOffset>
              </wp:positionV>
              <wp:extent cx="2901950" cy="106680"/>
              <wp:wrapNone/>
              <wp:docPr id="6" name="Shape 6"/>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北京中长石基信息技术股份有限公司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298.30000000000001pt;margin-top:44.200000000000003pt;width:228.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北京中长石基信息技术股份有限公司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551815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3.45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6873875</wp:posOffset>
              </wp:positionH>
              <wp:positionV relativeFrom="page">
                <wp:posOffset>558165</wp:posOffset>
              </wp:positionV>
              <wp:extent cx="2901950" cy="106680"/>
              <wp:wrapNone/>
              <wp:docPr id="11" name="Shape 11"/>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37" type="#_x0000_t202" style="position:absolute;margin-left:541.25pt;margin-top:43.950000000000003pt;width:228.5pt;height:8.4000000000000004pt;z-index:-1887440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3788410</wp:posOffset>
              </wp:positionH>
              <wp:positionV relativeFrom="page">
                <wp:posOffset>561340</wp:posOffset>
              </wp:positionV>
              <wp:extent cx="2901950" cy="106680"/>
              <wp:wrapNone/>
              <wp:docPr id="16" name="Shape 16"/>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北京中长石基信息技术股份有限公司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298.30000000000001pt;margin-top:44.200000000000003pt;width:228.5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北京中长石基信息技术股份有限公司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551815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3.450000000000003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6873875</wp:posOffset>
              </wp:positionH>
              <wp:positionV relativeFrom="page">
                <wp:posOffset>558165</wp:posOffset>
              </wp:positionV>
              <wp:extent cx="2901950" cy="106680"/>
              <wp:wrapNone/>
              <wp:docPr id="25" name="Shape 25"/>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1" type="#_x0000_t202" style="position:absolute;margin-left:541.25pt;margin-top:43.950000000000003pt;width:228.5pt;height:8.4000000000000004pt;z-index:-1887440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7" name="Shape 2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3788410</wp:posOffset>
              </wp:positionH>
              <wp:positionV relativeFrom="page">
                <wp:posOffset>561340</wp:posOffset>
              </wp:positionV>
              <wp:extent cx="2901950" cy="106680"/>
              <wp:wrapNone/>
              <wp:docPr id="31" name="Shape 31"/>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北京中长石基信息技术股份有限公司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298.30000000000001pt;margin-top:44.200000000000003pt;width:228.5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北京中长石基信息技术股份有限公司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551815</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3.450000000000003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6873240</wp:posOffset>
              </wp:positionH>
              <wp:positionV relativeFrom="page">
                <wp:posOffset>555625</wp:posOffset>
              </wp:positionV>
              <wp:extent cx="2901950" cy="106680"/>
              <wp:wrapNone/>
              <wp:docPr id="78" name="Shape 78"/>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4" type="#_x0000_t202" style="position:absolute;margin-left:541.20000000000005pt;margin-top:43.75pt;width:228.5pt;height:8.4000000000000004pt;z-index:-1887440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703580</wp:posOffset>
              </wp:positionV>
              <wp:extent cx="8906510" cy="0"/>
              <wp:wrapNone/>
              <wp:docPr id="80" name="Shape 8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99999999999999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3894455</wp:posOffset>
              </wp:positionH>
              <wp:positionV relativeFrom="page">
                <wp:posOffset>558165</wp:posOffset>
              </wp:positionV>
              <wp:extent cx="2901950" cy="106680"/>
              <wp:wrapNone/>
              <wp:docPr id="83" name="Shape 83"/>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9" type="#_x0000_t202" style="position:absolute;margin-left:306.65000000000003pt;margin-top:43.950000000000003pt;width:228.5pt;height:8.4000000000000004pt;z-index:-1887440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702945</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5.35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3928110</wp:posOffset>
              </wp:positionH>
              <wp:positionV relativeFrom="page">
                <wp:posOffset>730250</wp:posOffset>
              </wp:positionV>
              <wp:extent cx="2901950" cy="106680"/>
              <wp:wrapNone/>
              <wp:docPr id="90" name="Shape 90"/>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6" type="#_x0000_t202" style="position:absolute;margin-left:309.30000000000001pt;margin-top:57.5pt;width:228.5pt;height:8.4000000000000004pt;z-index:-1887440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897890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70.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6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4)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正文文本 (3)_"/>
    <w:basedOn w:val="DefaultParagraphFont"/>
    <w:link w:val="Style3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88">
    <w:name w:val="正文文本 (8)_"/>
    <w:basedOn w:val="DefaultParagraphFont"/>
    <w:link w:val="Style87"/>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5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4)"/>
    <w:basedOn w:val="Normal"/>
    <w:link w:val="CharStyle15"/>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0">
    <w:name w:val="其他"/>
    <w:basedOn w:val="Normal"/>
    <w:link w:val="CharStyle21"/>
    <w:pPr>
      <w:widowControl w:val="0"/>
      <w:shd w:val="clear" w:color="auto" w:fill="auto"/>
      <w:spacing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标题 #3"/>
    <w:basedOn w:val="Normal"/>
    <w:link w:val="CharStyle25"/>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2)"/>
    <w:basedOn w:val="Normal"/>
    <w:link w:val="CharStyle29"/>
    <w:pPr>
      <w:widowControl w:val="0"/>
      <w:shd w:val="clear" w:color="auto" w:fill="auto"/>
      <w:spacing w:after="13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4"/>
    <w:basedOn w:val="Normal"/>
    <w:link w:val="CharStyle33"/>
    <w:pPr>
      <w:widowControl w:val="0"/>
      <w:shd w:val="clear" w:color="auto" w:fill="auto"/>
      <w:spacing w:after="340" w:line="307" w:lineRule="auto"/>
      <w:ind w:firstLine="2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正文文本 (3)"/>
    <w:basedOn w:val="Normal"/>
    <w:link w:val="CharStyle39"/>
    <w:pPr>
      <w:widowControl w:val="0"/>
      <w:shd w:val="clear" w:color="auto" w:fill="auto"/>
      <w:spacing w:line="312"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7">
    <w:name w:val="正文文本 (8)"/>
    <w:basedOn w:val="Normal"/>
    <w:link w:val="CharStyle88"/>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s>
</file>

<file path=docProps/core.xml><?xml version="1.0" encoding="utf-8"?>
<cp:coreProperties xmlns:cp="http://schemas.openxmlformats.org/package/2006/metadata/core-properties" xmlns:dc="http://purl.org/dc/elements/1.1/">
  <dc:title>北京中长石基信息技术股份有限公司2020年年度报告全文</dc:title>
  <dc:subject/>
  <dc:creator>北京中长石基信息技术股份有限公司</dc:creator>
  <cp:keywords/>
</cp:coreProperties>
</file>